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C1B9E" w14:textId="6CD9100D" w:rsidR="00836549" w:rsidRPr="00013B6E" w:rsidRDefault="00836549" w:rsidP="00013B6E">
      <w:pPr>
        <w:spacing w:after="0"/>
        <w:rPr>
          <w:rFonts w:ascii="Times New Roman" w:hAnsi="Times New Roman" w:cs="Times New Roman"/>
          <w:b/>
          <w:sz w:val="28"/>
          <w:szCs w:val="28"/>
        </w:rPr>
      </w:pPr>
      <w:bookmarkStart w:id="0" w:name="_Hlk536801679"/>
      <w:r w:rsidRPr="00013B6E">
        <w:rPr>
          <w:rFonts w:ascii="Times New Roman" w:hAnsi="Times New Roman" w:cs="Times New Roman"/>
          <w:b/>
          <w:sz w:val="28"/>
          <w:szCs w:val="28"/>
        </w:rPr>
        <w:t>Lost Voices in Research:</w:t>
      </w:r>
      <w:r w:rsidR="00DB2EC0">
        <w:rPr>
          <w:rFonts w:ascii="Times New Roman" w:hAnsi="Times New Roman" w:cs="Times New Roman"/>
          <w:b/>
          <w:sz w:val="28"/>
          <w:szCs w:val="28"/>
        </w:rPr>
        <w:t xml:space="preserve"> Exposing the Gaps in </w:t>
      </w:r>
      <w:r w:rsidRPr="00013B6E">
        <w:rPr>
          <w:rFonts w:ascii="Times New Roman" w:hAnsi="Times New Roman" w:cs="Times New Roman"/>
          <w:b/>
          <w:sz w:val="28"/>
          <w:szCs w:val="28"/>
        </w:rPr>
        <w:t>the Mental Capacity Act 2005</w:t>
      </w:r>
    </w:p>
    <w:p w14:paraId="3BCC33C5" w14:textId="77777777" w:rsidR="00013B6E" w:rsidRDefault="00013B6E" w:rsidP="00013B6E">
      <w:pPr>
        <w:spacing w:after="0"/>
        <w:rPr>
          <w:rFonts w:ascii="Times New Roman" w:hAnsi="Times New Roman" w:cs="Times New Roman"/>
          <w:b/>
          <w:sz w:val="24"/>
          <w:szCs w:val="24"/>
        </w:rPr>
      </w:pPr>
    </w:p>
    <w:p w14:paraId="23EAEF53" w14:textId="06893219" w:rsidR="00DB2EC0" w:rsidRPr="00DB2EC0" w:rsidRDefault="00794517" w:rsidP="00794517">
      <w:pPr>
        <w:spacing w:after="0" w:line="240" w:lineRule="auto"/>
        <w:rPr>
          <w:rFonts w:ascii="Times New Roman" w:hAnsi="Times New Roman" w:cs="Times New Roman"/>
          <w:i/>
          <w:sz w:val="24"/>
          <w:szCs w:val="24"/>
        </w:rPr>
      </w:pPr>
      <w:r>
        <w:rPr>
          <w:rFonts w:ascii="Times New Roman" w:hAnsi="Times New Roman" w:cs="Times New Roman"/>
          <w:i/>
          <w:sz w:val="24"/>
          <w:szCs w:val="24"/>
        </w:rPr>
        <w:t>**</w:t>
      </w:r>
      <w:r w:rsidR="006C2814">
        <w:rPr>
          <w:rFonts w:ascii="Times New Roman" w:hAnsi="Times New Roman" w:cs="Times New Roman"/>
          <w:i/>
          <w:sz w:val="24"/>
          <w:szCs w:val="24"/>
        </w:rPr>
        <w:t>*</w:t>
      </w:r>
    </w:p>
    <w:bookmarkEnd w:id="0"/>
    <w:p w14:paraId="06EC0611" w14:textId="77777777" w:rsidR="00DB2EC0" w:rsidRPr="00DB2EC0" w:rsidRDefault="00DB2EC0" w:rsidP="00DB2EC0">
      <w:pPr>
        <w:spacing w:after="0" w:line="240" w:lineRule="auto"/>
        <w:rPr>
          <w:rFonts w:ascii="Times New Roman" w:hAnsi="Times New Roman" w:cs="Times New Roman"/>
          <w:b/>
          <w:sz w:val="24"/>
          <w:szCs w:val="24"/>
        </w:rPr>
      </w:pPr>
    </w:p>
    <w:p w14:paraId="27B17585" w14:textId="77777777" w:rsidR="00836549" w:rsidRDefault="00DD3F5B" w:rsidP="00836549">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00013B6E">
        <w:rPr>
          <w:rFonts w:ascii="Times New Roman" w:hAnsi="Times New Roman" w:cs="Times New Roman"/>
          <w:b/>
          <w:sz w:val="24"/>
          <w:szCs w:val="24"/>
        </w:rPr>
        <w:t>Introduction</w:t>
      </w:r>
    </w:p>
    <w:p w14:paraId="5DF643C2" w14:textId="3DFAB975" w:rsidR="000D2818" w:rsidRDefault="005F0234" w:rsidP="00910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laudable intentions, since its inception</w:t>
      </w:r>
      <w:r w:rsidR="00616F7B">
        <w:rPr>
          <w:rFonts w:ascii="Times New Roman" w:hAnsi="Times New Roman" w:cs="Times New Roman"/>
          <w:sz w:val="24"/>
          <w:szCs w:val="24"/>
        </w:rPr>
        <w:t>,</w:t>
      </w:r>
      <w:r>
        <w:rPr>
          <w:rFonts w:ascii="Times New Roman" w:hAnsi="Times New Roman" w:cs="Times New Roman"/>
          <w:sz w:val="24"/>
          <w:szCs w:val="24"/>
        </w:rPr>
        <w:t xml:space="preserve"> the Mental Capacity Act 2005</w:t>
      </w:r>
      <w:r w:rsidR="00E6398A">
        <w:rPr>
          <w:rFonts w:ascii="Times New Roman" w:hAnsi="Times New Roman" w:cs="Times New Roman"/>
          <w:sz w:val="24"/>
          <w:szCs w:val="24"/>
        </w:rPr>
        <w:t xml:space="preserve"> of England and Wales (MCA) </w:t>
      </w:r>
      <w:r>
        <w:rPr>
          <w:rFonts w:ascii="Times New Roman" w:hAnsi="Times New Roman" w:cs="Times New Roman"/>
          <w:sz w:val="24"/>
          <w:szCs w:val="24"/>
        </w:rPr>
        <w:t>has proved to be a controversial piece of legislation.</w:t>
      </w:r>
      <w:r w:rsidR="00807E35">
        <w:rPr>
          <w:rStyle w:val="FootnoteReference"/>
          <w:rFonts w:ascii="Times New Roman" w:hAnsi="Times New Roman" w:cs="Times New Roman"/>
          <w:sz w:val="24"/>
          <w:szCs w:val="24"/>
        </w:rPr>
        <w:footnoteReference w:id="1"/>
      </w:r>
      <w:r w:rsidR="001A3A12">
        <w:rPr>
          <w:rFonts w:ascii="Times New Roman" w:hAnsi="Times New Roman" w:cs="Times New Roman"/>
          <w:sz w:val="24"/>
          <w:szCs w:val="24"/>
        </w:rPr>
        <w:t xml:space="preserve">  Some commentators have criticised </w:t>
      </w:r>
      <w:r w:rsidR="003215CD">
        <w:rPr>
          <w:rFonts w:ascii="Times New Roman" w:hAnsi="Times New Roman" w:cs="Times New Roman"/>
          <w:sz w:val="24"/>
          <w:szCs w:val="24"/>
        </w:rPr>
        <w:t xml:space="preserve">the technical legal provisions of the Act, exposing the problems with the legal test for capacity and </w:t>
      </w:r>
      <w:r w:rsidR="005E4A9E">
        <w:rPr>
          <w:rFonts w:ascii="Times New Roman" w:hAnsi="Times New Roman" w:cs="Times New Roman"/>
          <w:sz w:val="24"/>
          <w:szCs w:val="24"/>
        </w:rPr>
        <w:t xml:space="preserve">the interpretational ambiguities associated with </w:t>
      </w:r>
      <w:r w:rsidR="003215CD">
        <w:rPr>
          <w:rFonts w:ascii="Times New Roman" w:hAnsi="Times New Roman" w:cs="Times New Roman"/>
          <w:sz w:val="24"/>
          <w:szCs w:val="24"/>
        </w:rPr>
        <w:t>best interests.</w:t>
      </w:r>
      <w:r w:rsidR="003215CD">
        <w:rPr>
          <w:rStyle w:val="FootnoteReference"/>
          <w:rFonts w:ascii="Times New Roman" w:hAnsi="Times New Roman" w:cs="Times New Roman"/>
          <w:sz w:val="24"/>
          <w:szCs w:val="24"/>
        </w:rPr>
        <w:footnoteReference w:id="2"/>
      </w:r>
      <w:r w:rsidR="003215CD">
        <w:rPr>
          <w:rFonts w:ascii="Times New Roman" w:hAnsi="Times New Roman" w:cs="Times New Roman"/>
          <w:sz w:val="24"/>
          <w:szCs w:val="24"/>
        </w:rPr>
        <w:t xml:space="preserve">  Others have focused on the more philosophical questions underpinning the legislation, exploring </w:t>
      </w:r>
      <w:r w:rsidR="00F83A44">
        <w:rPr>
          <w:rFonts w:ascii="Times New Roman" w:hAnsi="Times New Roman" w:cs="Times New Roman"/>
          <w:sz w:val="24"/>
          <w:szCs w:val="24"/>
        </w:rPr>
        <w:t xml:space="preserve">the </w:t>
      </w:r>
      <w:r w:rsidR="00D975AC">
        <w:rPr>
          <w:rFonts w:ascii="Times New Roman" w:hAnsi="Times New Roman" w:cs="Times New Roman"/>
          <w:sz w:val="24"/>
          <w:szCs w:val="24"/>
        </w:rPr>
        <w:t xml:space="preserve">frictions </w:t>
      </w:r>
      <w:r w:rsidR="00381CEA">
        <w:rPr>
          <w:rFonts w:ascii="Times New Roman" w:hAnsi="Times New Roman" w:cs="Times New Roman"/>
          <w:sz w:val="24"/>
          <w:szCs w:val="24"/>
        </w:rPr>
        <w:t xml:space="preserve">that exist </w:t>
      </w:r>
      <w:r w:rsidR="00F83A44">
        <w:rPr>
          <w:rFonts w:ascii="Times New Roman" w:hAnsi="Times New Roman" w:cs="Times New Roman"/>
          <w:sz w:val="24"/>
          <w:szCs w:val="24"/>
        </w:rPr>
        <w:t>between</w:t>
      </w:r>
      <w:r w:rsidR="003215CD">
        <w:rPr>
          <w:rFonts w:ascii="Times New Roman" w:hAnsi="Times New Roman" w:cs="Times New Roman"/>
          <w:sz w:val="24"/>
          <w:szCs w:val="24"/>
        </w:rPr>
        <w:t xml:space="preserve"> the </w:t>
      </w:r>
      <w:r w:rsidR="005E4A9E">
        <w:rPr>
          <w:rFonts w:ascii="Times New Roman" w:hAnsi="Times New Roman" w:cs="Times New Roman"/>
          <w:sz w:val="24"/>
          <w:szCs w:val="24"/>
        </w:rPr>
        <w:t xml:space="preserve">concepts of paternalism versus </w:t>
      </w:r>
      <w:r w:rsidR="00381CEA">
        <w:rPr>
          <w:rFonts w:ascii="Times New Roman" w:hAnsi="Times New Roman" w:cs="Times New Roman"/>
          <w:sz w:val="24"/>
          <w:szCs w:val="24"/>
        </w:rPr>
        <w:t>autonomy, and</w:t>
      </w:r>
      <w:r w:rsidR="005E4A9E">
        <w:rPr>
          <w:rFonts w:ascii="Times New Roman" w:hAnsi="Times New Roman" w:cs="Times New Roman"/>
          <w:sz w:val="24"/>
          <w:szCs w:val="24"/>
        </w:rPr>
        <w:t xml:space="preserve"> </w:t>
      </w:r>
      <w:r w:rsidR="00DE27F9">
        <w:rPr>
          <w:rFonts w:ascii="Times New Roman" w:hAnsi="Times New Roman" w:cs="Times New Roman"/>
          <w:sz w:val="24"/>
          <w:szCs w:val="24"/>
        </w:rPr>
        <w:t xml:space="preserve">protection </w:t>
      </w:r>
      <w:r w:rsidR="005E4A9E">
        <w:rPr>
          <w:rFonts w:ascii="Times New Roman" w:hAnsi="Times New Roman" w:cs="Times New Roman"/>
          <w:sz w:val="24"/>
          <w:szCs w:val="24"/>
        </w:rPr>
        <w:t>versus</w:t>
      </w:r>
      <w:r w:rsidR="00DE27F9">
        <w:rPr>
          <w:rFonts w:ascii="Times New Roman" w:hAnsi="Times New Roman" w:cs="Times New Roman"/>
          <w:sz w:val="24"/>
          <w:szCs w:val="24"/>
        </w:rPr>
        <w:t xml:space="preserve"> empowerment</w:t>
      </w:r>
      <w:r w:rsidR="00807E35">
        <w:rPr>
          <w:rStyle w:val="FootnoteReference"/>
          <w:rFonts w:ascii="Times New Roman" w:hAnsi="Times New Roman" w:cs="Times New Roman"/>
          <w:sz w:val="24"/>
          <w:szCs w:val="24"/>
        </w:rPr>
        <w:footnoteReference w:id="3"/>
      </w:r>
      <w:r w:rsidR="00C2193D">
        <w:rPr>
          <w:rFonts w:ascii="Times New Roman" w:hAnsi="Times New Roman" w:cs="Times New Roman"/>
          <w:sz w:val="24"/>
          <w:szCs w:val="24"/>
        </w:rPr>
        <w:t xml:space="preserve">.  </w:t>
      </w:r>
      <w:r w:rsidR="00363F6D">
        <w:rPr>
          <w:rFonts w:ascii="Times New Roman" w:hAnsi="Times New Roman" w:cs="Times New Roman"/>
          <w:sz w:val="24"/>
          <w:szCs w:val="24"/>
        </w:rPr>
        <w:t xml:space="preserve">The </w:t>
      </w:r>
      <w:r w:rsidR="00C2193D">
        <w:rPr>
          <w:rFonts w:ascii="Times New Roman" w:hAnsi="Times New Roman" w:cs="Times New Roman"/>
          <w:sz w:val="24"/>
          <w:szCs w:val="24"/>
        </w:rPr>
        <w:t xml:space="preserve">majority of </w:t>
      </w:r>
      <w:r w:rsidR="00345384">
        <w:rPr>
          <w:rFonts w:ascii="Times New Roman" w:hAnsi="Times New Roman" w:cs="Times New Roman"/>
          <w:sz w:val="24"/>
          <w:szCs w:val="24"/>
        </w:rPr>
        <w:t xml:space="preserve">legal scholarship </w:t>
      </w:r>
      <w:r w:rsidR="00363F6D">
        <w:rPr>
          <w:rFonts w:ascii="Times New Roman" w:hAnsi="Times New Roman" w:cs="Times New Roman"/>
          <w:sz w:val="24"/>
          <w:szCs w:val="24"/>
        </w:rPr>
        <w:t xml:space="preserve">has </w:t>
      </w:r>
      <w:r w:rsidR="00345384">
        <w:rPr>
          <w:rFonts w:ascii="Times New Roman" w:hAnsi="Times New Roman" w:cs="Times New Roman"/>
          <w:sz w:val="24"/>
          <w:szCs w:val="24"/>
        </w:rPr>
        <w:t xml:space="preserve">concentrated </w:t>
      </w:r>
      <w:r w:rsidR="00616F7B">
        <w:rPr>
          <w:rFonts w:ascii="Times New Roman" w:hAnsi="Times New Roman" w:cs="Times New Roman"/>
          <w:sz w:val="24"/>
          <w:szCs w:val="24"/>
        </w:rPr>
        <w:t>on how</w:t>
      </w:r>
      <w:r w:rsidR="001E7CBE">
        <w:rPr>
          <w:rFonts w:ascii="Times New Roman" w:hAnsi="Times New Roman" w:cs="Times New Roman"/>
          <w:sz w:val="24"/>
          <w:szCs w:val="24"/>
        </w:rPr>
        <w:t xml:space="preserve"> these various tensions arise, and are dealt with, in relation </w:t>
      </w:r>
      <w:r w:rsidR="00363F6D">
        <w:rPr>
          <w:rFonts w:ascii="Times New Roman" w:hAnsi="Times New Roman" w:cs="Times New Roman"/>
          <w:sz w:val="24"/>
          <w:szCs w:val="24"/>
        </w:rPr>
        <w:t xml:space="preserve">to </w:t>
      </w:r>
      <w:r w:rsidR="00D865BF">
        <w:rPr>
          <w:rFonts w:ascii="Times New Roman" w:hAnsi="Times New Roman" w:cs="Times New Roman"/>
          <w:sz w:val="24"/>
          <w:szCs w:val="24"/>
        </w:rPr>
        <w:t xml:space="preserve">the </w:t>
      </w:r>
      <w:r w:rsidR="00363F6D" w:rsidRPr="005E4A9E">
        <w:rPr>
          <w:rFonts w:ascii="Times New Roman" w:hAnsi="Times New Roman" w:cs="Times New Roman"/>
          <w:sz w:val="24"/>
          <w:szCs w:val="24"/>
        </w:rPr>
        <w:t>treatment</w:t>
      </w:r>
      <w:r w:rsidR="00363F6D">
        <w:rPr>
          <w:rFonts w:ascii="Times New Roman" w:hAnsi="Times New Roman" w:cs="Times New Roman"/>
          <w:sz w:val="24"/>
          <w:szCs w:val="24"/>
        </w:rPr>
        <w:t xml:space="preserve"> of incapacitated patients.</w:t>
      </w:r>
      <w:r w:rsidR="001E7CBE">
        <w:rPr>
          <w:rStyle w:val="FootnoteReference"/>
          <w:rFonts w:ascii="Times New Roman" w:hAnsi="Times New Roman" w:cs="Times New Roman"/>
          <w:sz w:val="24"/>
          <w:szCs w:val="24"/>
        </w:rPr>
        <w:footnoteReference w:id="4"/>
      </w:r>
      <w:r w:rsidR="00363F6D">
        <w:rPr>
          <w:rFonts w:ascii="Times New Roman" w:hAnsi="Times New Roman" w:cs="Times New Roman"/>
          <w:sz w:val="24"/>
          <w:szCs w:val="24"/>
        </w:rPr>
        <w:t xml:space="preserve"> However, there is an additiona</w:t>
      </w:r>
      <w:r w:rsidR="009C1113">
        <w:rPr>
          <w:rFonts w:ascii="Times New Roman" w:hAnsi="Times New Roman" w:cs="Times New Roman"/>
          <w:sz w:val="24"/>
          <w:szCs w:val="24"/>
        </w:rPr>
        <w:t xml:space="preserve">l </w:t>
      </w:r>
      <w:r w:rsidR="000C67C1">
        <w:rPr>
          <w:rFonts w:ascii="Times New Roman" w:hAnsi="Times New Roman" w:cs="Times New Roman"/>
          <w:sz w:val="24"/>
          <w:szCs w:val="24"/>
        </w:rPr>
        <w:t xml:space="preserve">and somewhat unexplored </w:t>
      </w:r>
      <w:r w:rsidR="009C1113">
        <w:rPr>
          <w:rFonts w:ascii="Times New Roman" w:hAnsi="Times New Roman" w:cs="Times New Roman"/>
          <w:sz w:val="24"/>
          <w:szCs w:val="24"/>
        </w:rPr>
        <w:t>dimension to the MCA</w:t>
      </w:r>
      <w:r w:rsidR="000D185A">
        <w:rPr>
          <w:rFonts w:ascii="Times New Roman" w:hAnsi="Times New Roman" w:cs="Times New Roman"/>
          <w:sz w:val="24"/>
          <w:szCs w:val="24"/>
        </w:rPr>
        <w:t xml:space="preserve">, that of </w:t>
      </w:r>
      <w:r w:rsidR="000D185A" w:rsidRPr="005E4A9E">
        <w:rPr>
          <w:rFonts w:ascii="Times New Roman" w:hAnsi="Times New Roman" w:cs="Times New Roman"/>
          <w:sz w:val="24"/>
          <w:szCs w:val="24"/>
        </w:rPr>
        <w:t>research</w:t>
      </w:r>
      <w:r w:rsidR="000D185A">
        <w:rPr>
          <w:rFonts w:ascii="Times New Roman" w:hAnsi="Times New Roman" w:cs="Times New Roman"/>
          <w:sz w:val="24"/>
          <w:szCs w:val="24"/>
        </w:rPr>
        <w:t>.</w:t>
      </w:r>
      <w:r w:rsidR="00D865BF">
        <w:rPr>
          <w:rStyle w:val="FootnoteReference"/>
          <w:rFonts w:ascii="Times New Roman" w:hAnsi="Times New Roman" w:cs="Times New Roman"/>
          <w:sz w:val="24"/>
          <w:szCs w:val="24"/>
        </w:rPr>
        <w:footnoteReference w:id="5"/>
      </w:r>
      <w:r w:rsidR="00126B9F">
        <w:rPr>
          <w:rFonts w:ascii="Times New Roman" w:hAnsi="Times New Roman" w:cs="Times New Roman"/>
          <w:sz w:val="24"/>
          <w:szCs w:val="24"/>
        </w:rPr>
        <w:t xml:space="preserve">  </w:t>
      </w:r>
      <w:r w:rsidR="000C67C1">
        <w:rPr>
          <w:rFonts w:ascii="Times New Roman" w:hAnsi="Times New Roman" w:cs="Times New Roman"/>
          <w:sz w:val="24"/>
          <w:szCs w:val="24"/>
        </w:rPr>
        <w:t>S</w:t>
      </w:r>
      <w:r w:rsidR="000C67C1" w:rsidRPr="000C67C1">
        <w:rPr>
          <w:rFonts w:ascii="Times New Roman" w:hAnsi="Times New Roman" w:cs="Times New Roman"/>
          <w:sz w:val="24"/>
          <w:szCs w:val="24"/>
        </w:rPr>
        <w:t>ection</w:t>
      </w:r>
      <w:r w:rsidR="000C67C1">
        <w:rPr>
          <w:rFonts w:ascii="Times New Roman" w:hAnsi="Times New Roman" w:cs="Times New Roman"/>
          <w:sz w:val="24"/>
          <w:szCs w:val="24"/>
        </w:rPr>
        <w:t xml:space="preserve">s 30 to 33 of the MCA </w:t>
      </w:r>
      <w:r w:rsidR="000C67C1" w:rsidRPr="000C67C1">
        <w:rPr>
          <w:rFonts w:ascii="Times New Roman" w:hAnsi="Times New Roman" w:cs="Times New Roman"/>
          <w:sz w:val="24"/>
          <w:szCs w:val="24"/>
        </w:rPr>
        <w:t>allow intrusive research to be lawfully carried out on, or in relation to, a person who l</w:t>
      </w:r>
      <w:r w:rsidR="00761F67">
        <w:rPr>
          <w:rFonts w:ascii="Times New Roman" w:hAnsi="Times New Roman" w:cs="Times New Roman"/>
          <w:sz w:val="24"/>
          <w:szCs w:val="24"/>
        </w:rPr>
        <w:t>acks capacity.</w:t>
      </w:r>
      <w:r w:rsidR="00616F7B">
        <w:rPr>
          <w:rStyle w:val="FootnoteReference"/>
          <w:rFonts w:ascii="Times New Roman" w:hAnsi="Times New Roman" w:cs="Times New Roman"/>
          <w:sz w:val="24"/>
          <w:szCs w:val="24"/>
        </w:rPr>
        <w:footnoteReference w:id="6"/>
      </w:r>
      <w:r w:rsidR="00F00F3D">
        <w:rPr>
          <w:rFonts w:ascii="Times New Roman" w:hAnsi="Times New Roman" w:cs="Times New Roman"/>
          <w:sz w:val="24"/>
          <w:szCs w:val="24"/>
        </w:rPr>
        <w:t xml:space="preserve">  T</w:t>
      </w:r>
      <w:r w:rsidR="00761F67">
        <w:rPr>
          <w:rFonts w:ascii="Times New Roman" w:hAnsi="Times New Roman" w:cs="Times New Roman"/>
          <w:sz w:val="24"/>
          <w:szCs w:val="24"/>
        </w:rPr>
        <w:t xml:space="preserve">he legislation does </w:t>
      </w:r>
      <w:r w:rsidR="00F00F3D">
        <w:rPr>
          <w:rFonts w:ascii="Times New Roman" w:hAnsi="Times New Roman" w:cs="Times New Roman"/>
          <w:sz w:val="24"/>
          <w:szCs w:val="24"/>
        </w:rPr>
        <w:t xml:space="preserve">not, therefore, </w:t>
      </w:r>
      <w:r w:rsidR="00761F67">
        <w:rPr>
          <w:rFonts w:ascii="Times New Roman" w:hAnsi="Times New Roman" w:cs="Times New Roman"/>
          <w:sz w:val="24"/>
          <w:szCs w:val="24"/>
        </w:rPr>
        <w:t>completely prohibit research</w:t>
      </w:r>
      <w:r w:rsidR="00E6398A">
        <w:rPr>
          <w:rFonts w:ascii="Times New Roman" w:hAnsi="Times New Roman" w:cs="Times New Roman"/>
          <w:sz w:val="24"/>
          <w:szCs w:val="24"/>
        </w:rPr>
        <w:t xml:space="preserve">. </w:t>
      </w:r>
      <w:r w:rsidR="008A63C3">
        <w:rPr>
          <w:rFonts w:ascii="Times New Roman" w:hAnsi="Times New Roman" w:cs="Times New Roman"/>
          <w:sz w:val="24"/>
          <w:szCs w:val="24"/>
        </w:rPr>
        <w:t xml:space="preserve">Rather, it purports to adopt </w:t>
      </w:r>
      <w:r w:rsidR="00761F67">
        <w:rPr>
          <w:rFonts w:ascii="Times New Roman" w:hAnsi="Times New Roman" w:cs="Times New Roman"/>
          <w:sz w:val="24"/>
          <w:szCs w:val="24"/>
        </w:rPr>
        <w:t>a permissive approach,</w:t>
      </w:r>
      <w:r w:rsidR="00891D21">
        <w:rPr>
          <w:rFonts w:ascii="Times New Roman" w:hAnsi="Times New Roman" w:cs="Times New Roman"/>
          <w:sz w:val="24"/>
          <w:szCs w:val="24"/>
        </w:rPr>
        <w:t xml:space="preserve"> seeking to</w:t>
      </w:r>
      <w:r w:rsidR="00C44322">
        <w:rPr>
          <w:rFonts w:ascii="Times New Roman" w:hAnsi="Times New Roman" w:cs="Times New Roman"/>
          <w:sz w:val="24"/>
          <w:szCs w:val="24"/>
        </w:rPr>
        <w:t xml:space="preserve"> recognise </w:t>
      </w:r>
      <w:r w:rsidR="00761F67">
        <w:rPr>
          <w:rFonts w:ascii="Times New Roman" w:hAnsi="Times New Roman" w:cs="Times New Roman"/>
          <w:sz w:val="24"/>
          <w:szCs w:val="24"/>
        </w:rPr>
        <w:t>the potential value tha</w:t>
      </w:r>
      <w:r w:rsidR="00891D21">
        <w:rPr>
          <w:rFonts w:ascii="Times New Roman" w:hAnsi="Times New Roman" w:cs="Times New Roman"/>
          <w:sz w:val="24"/>
          <w:szCs w:val="24"/>
        </w:rPr>
        <w:t xml:space="preserve">t </w:t>
      </w:r>
      <w:r w:rsidR="00C44322">
        <w:rPr>
          <w:rFonts w:ascii="Times New Roman" w:hAnsi="Times New Roman" w:cs="Times New Roman"/>
          <w:sz w:val="24"/>
          <w:szCs w:val="24"/>
        </w:rPr>
        <w:t>incapacitated participants can</w:t>
      </w:r>
      <w:r w:rsidR="00E8243D">
        <w:rPr>
          <w:rFonts w:ascii="Times New Roman" w:hAnsi="Times New Roman" w:cs="Times New Roman"/>
          <w:sz w:val="24"/>
          <w:szCs w:val="24"/>
        </w:rPr>
        <w:t xml:space="preserve"> bring to answering particular research </w:t>
      </w:r>
      <w:r w:rsidR="00E8243D">
        <w:rPr>
          <w:rFonts w:ascii="Times New Roman" w:hAnsi="Times New Roman" w:cs="Times New Roman"/>
          <w:sz w:val="24"/>
          <w:szCs w:val="24"/>
        </w:rPr>
        <w:lastRenderedPageBreak/>
        <w:t xml:space="preserve">questions.  </w:t>
      </w:r>
      <w:r w:rsidR="00761F67" w:rsidRPr="00761F67">
        <w:rPr>
          <w:rFonts w:ascii="Times New Roman" w:hAnsi="Times New Roman" w:cs="Times New Roman"/>
          <w:sz w:val="24"/>
          <w:szCs w:val="24"/>
        </w:rPr>
        <w:t>Nonetheless, given</w:t>
      </w:r>
      <w:r w:rsidR="00F00F3D">
        <w:rPr>
          <w:rFonts w:ascii="Times New Roman" w:hAnsi="Times New Roman" w:cs="Times New Roman"/>
          <w:sz w:val="24"/>
          <w:szCs w:val="24"/>
        </w:rPr>
        <w:t xml:space="preserve"> t</w:t>
      </w:r>
      <w:r w:rsidR="00E8243D">
        <w:rPr>
          <w:rFonts w:ascii="Times New Roman" w:hAnsi="Times New Roman" w:cs="Times New Roman"/>
          <w:sz w:val="24"/>
          <w:szCs w:val="24"/>
        </w:rPr>
        <w:t xml:space="preserve">hat often </w:t>
      </w:r>
      <w:r w:rsidR="00C2193D">
        <w:rPr>
          <w:rFonts w:ascii="Times New Roman" w:hAnsi="Times New Roman" w:cs="Times New Roman"/>
          <w:sz w:val="24"/>
          <w:szCs w:val="24"/>
        </w:rPr>
        <w:t>research</w:t>
      </w:r>
      <w:r w:rsidR="00D975AC">
        <w:rPr>
          <w:rFonts w:ascii="Times New Roman" w:hAnsi="Times New Roman" w:cs="Times New Roman"/>
          <w:sz w:val="24"/>
          <w:szCs w:val="24"/>
        </w:rPr>
        <w:t xml:space="preserve"> </w:t>
      </w:r>
      <w:r w:rsidR="00C2193D">
        <w:rPr>
          <w:rFonts w:ascii="Times New Roman" w:hAnsi="Times New Roman" w:cs="Times New Roman"/>
          <w:sz w:val="24"/>
          <w:szCs w:val="24"/>
        </w:rPr>
        <w:t>may</w:t>
      </w:r>
      <w:r w:rsidR="00D975AC">
        <w:rPr>
          <w:rFonts w:ascii="Times New Roman" w:hAnsi="Times New Roman" w:cs="Times New Roman"/>
          <w:sz w:val="24"/>
          <w:szCs w:val="24"/>
        </w:rPr>
        <w:t xml:space="preserve"> be conducted not for the benefit of an individual, but only </w:t>
      </w:r>
      <w:r w:rsidR="00F00F3D">
        <w:rPr>
          <w:rFonts w:ascii="Times New Roman" w:hAnsi="Times New Roman" w:cs="Times New Roman"/>
          <w:sz w:val="24"/>
          <w:szCs w:val="24"/>
        </w:rPr>
        <w:t>for t</w:t>
      </w:r>
      <w:r w:rsidR="00995ACE">
        <w:rPr>
          <w:rFonts w:ascii="Times New Roman" w:hAnsi="Times New Roman" w:cs="Times New Roman"/>
          <w:sz w:val="24"/>
          <w:szCs w:val="24"/>
        </w:rPr>
        <w:t>he benefit of others, the MCA remains</w:t>
      </w:r>
      <w:r w:rsidR="00F00F3D">
        <w:rPr>
          <w:rFonts w:ascii="Times New Roman" w:hAnsi="Times New Roman" w:cs="Times New Roman"/>
          <w:sz w:val="24"/>
          <w:szCs w:val="24"/>
        </w:rPr>
        <w:t xml:space="preserve"> sensitive to the enhanced vulnerability of incapacitated participants</w:t>
      </w:r>
      <w:r w:rsidR="00D975AC">
        <w:rPr>
          <w:rFonts w:ascii="Times New Roman" w:hAnsi="Times New Roman" w:cs="Times New Roman"/>
          <w:sz w:val="24"/>
          <w:szCs w:val="24"/>
        </w:rPr>
        <w:t xml:space="preserve"> and inserts additional </w:t>
      </w:r>
      <w:r w:rsidR="00A65FD1">
        <w:rPr>
          <w:rFonts w:ascii="Times New Roman" w:hAnsi="Times New Roman" w:cs="Times New Roman"/>
          <w:sz w:val="24"/>
          <w:szCs w:val="24"/>
        </w:rPr>
        <w:t>measures of protection</w:t>
      </w:r>
      <w:r w:rsidR="00F00F3D">
        <w:rPr>
          <w:rFonts w:ascii="Times New Roman" w:hAnsi="Times New Roman" w:cs="Times New Roman"/>
          <w:sz w:val="24"/>
          <w:szCs w:val="24"/>
        </w:rPr>
        <w:t>.</w:t>
      </w:r>
      <w:r w:rsidR="00653EB5">
        <w:rPr>
          <w:rFonts w:ascii="Times New Roman" w:hAnsi="Times New Roman" w:cs="Times New Roman"/>
          <w:sz w:val="24"/>
          <w:szCs w:val="24"/>
        </w:rPr>
        <w:t xml:space="preserve">  </w:t>
      </w:r>
      <w:r w:rsidR="00A47B62">
        <w:rPr>
          <w:rFonts w:ascii="Times New Roman" w:hAnsi="Times New Roman" w:cs="Times New Roman"/>
          <w:sz w:val="24"/>
          <w:szCs w:val="24"/>
        </w:rPr>
        <w:t xml:space="preserve">First, a </w:t>
      </w:r>
      <w:r w:rsidR="00E8243D">
        <w:rPr>
          <w:rFonts w:ascii="Times New Roman" w:hAnsi="Times New Roman" w:cs="Times New Roman"/>
          <w:sz w:val="24"/>
          <w:szCs w:val="24"/>
        </w:rPr>
        <w:t xml:space="preserve">project </w:t>
      </w:r>
      <w:r w:rsidR="00A47B62" w:rsidRPr="00761F67">
        <w:rPr>
          <w:rFonts w:ascii="Times New Roman" w:hAnsi="Times New Roman" w:cs="Times New Roman"/>
          <w:sz w:val="24"/>
          <w:szCs w:val="24"/>
        </w:rPr>
        <w:t>will only</w:t>
      </w:r>
      <w:r w:rsidR="006B1CCC">
        <w:rPr>
          <w:rFonts w:ascii="Times New Roman" w:hAnsi="Times New Roman" w:cs="Times New Roman"/>
          <w:sz w:val="24"/>
          <w:szCs w:val="24"/>
        </w:rPr>
        <w:t xml:space="preserve"> be deemed lawful under the MCA </w:t>
      </w:r>
      <w:r w:rsidR="00A47B62" w:rsidRPr="00761F67">
        <w:rPr>
          <w:rFonts w:ascii="Times New Roman" w:hAnsi="Times New Roman" w:cs="Times New Roman"/>
          <w:sz w:val="24"/>
          <w:szCs w:val="24"/>
        </w:rPr>
        <w:t xml:space="preserve">once an appropriate independent body, which is now defined as an approved MCA Research Ethics </w:t>
      </w:r>
      <w:r w:rsidR="00A47B62">
        <w:rPr>
          <w:rFonts w:ascii="Times New Roman" w:hAnsi="Times New Roman" w:cs="Times New Roman"/>
          <w:sz w:val="24"/>
          <w:szCs w:val="24"/>
        </w:rPr>
        <w:t>Committee (MCA REC), has authorised it.</w:t>
      </w:r>
      <w:r w:rsidR="00834628">
        <w:rPr>
          <w:rStyle w:val="FootnoteReference"/>
          <w:rFonts w:ascii="Times New Roman" w:hAnsi="Times New Roman" w:cs="Times New Roman"/>
          <w:sz w:val="24"/>
          <w:szCs w:val="24"/>
        </w:rPr>
        <w:footnoteReference w:id="7"/>
      </w:r>
      <w:r w:rsidR="00A47B62">
        <w:rPr>
          <w:rFonts w:ascii="Times New Roman" w:hAnsi="Times New Roman" w:cs="Times New Roman"/>
          <w:sz w:val="24"/>
          <w:szCs w:val="24"/>
        </w:rPr>
        <w:t xml:space="preserve">  Secondly, </w:t>
      </w:r>
      <w:r w:rsidR="008A63C3">
        <w:rPr>
          <w:rFonts w:ascii="Times New Roman" w:hAnsi="Times New Roman" w:cs="Times New Roman"/>
          <w:sz w:val="24"/>
          <w:szCs w:val="24"/>
        </w:rPr>
        <w:t>before</w:t>
      </w:r>
      <w:r w:rsidR="00E8243D">
        <w:rPr>
          <w:rFonts w:ascii="Times New Roman" w:hAnsi="Times New Roman" w:cs="Times New Roman"/>
          <w:sz w:val="24"/>
          <w:szCs w:val="24"/>
        </w:rPr>
        <w:t xml:space="preserve"> researchers can proceed with MCA REC sanctioned research, </w:t>
      </w:r>
      <w:r w:rsidR="00761F67" w:rsidRPr="00761F67">
        <w:rPr>
          <w:rFonts w:ascii="Times New Roman" w:hAnsi="Times New Roman" w:cs="Times New Roman"/>
          <w:sz w:val="24"/>
          <w:szCs w:val="24"/>
        </w:rPr>
        <w:t>a p</w:t>
      </w:r>
      <w:r w:rsidR="008A63C3">
        <w:rPr>
          <w:rFonts w:ascii="Times New Roman" w:hAnsi="Times New Roman" w:cs="Times New Roman"/>
          <w:sz w:val="24"/>
          <w:szCs w:val="24"/>
        </w:rPr>
        <w:t>ersonal or nominated consultee</w:t>
      </w:r>
      <w:r w:rsidR="00A014B8">
        <w:rPr>
          <w:rFonts w:ascii="Times New Roman" w:hAnsi="Times New Roman" w:cs="Times New Roman"/>
          <w:sz w:val="24"/>
          <w:szCs w:val="24"/>
        </w:rPr>
        <w:t xml:space="preserve"> </w:t>
      </w:r>
      <w:r w:rsidR="00C44322">
        <w:rPr>
          <w:rFonts w:ascii="Times New Roman" w:hAnsi="Times New Roman" w:cs="Times New Roman"/>
          <w:sz w:val="24"/>
          <w:szCs w:val="24"/>
        </w:rPr>
        <w:t xml:space="preserve">needs to </w:t>
      </w:r>
      <w:r w:rsidR="00834628">
        <w:rPr>
          <w:rFonts w:ascii="Times New Roman" w:hAnsi="Times New Roman" w:cs="Times New Roman"/>
          <w:sz w:val="24"/>
          <w:szCs w:val="24"/>
        </w:rPr>
        <w:t xml:space="preserve">be appointed </w:t>
      </w:r>
      <w:r w:rsidR="00761F67" w:rsidRPr="00761F67">
        <w:rPr>
          <w:rFonts w:ascii="Times New Roman" w:hAnsi="Times New Roman" w:cs="Times New Roman"/>
          <w:sz w:val="24"/>
          <w:szCs w:val="24"/>
        </w:rPr>
        <w:t>who</w:t>
      </w:r>
      <w:r w:rsidR="00C44322">
        <w:rPr>
          <w:rFonts w:ascii="Times New Roman" w:hAnsi="Times New Roman" w:cs="Times New Roman"/>
          <w:sz w:val="24"/>
          <w:szCs w:val="24"/>
        </w:rPr>
        <w:t xml:space="preserve"> must </w:t>
      </w:r>
      <w:r w:rsidR="00834628">
        <w:rPr>
          <w:rFonts w:ascii="Times New Roman" w:hAnsi="Times New Roman" w:cs="Times New Roman"/>
          <w:sz w:val="24"/>
          <w:szCs w:val="24"/>
        </w:rPr>
        <w:t xml:space="preserve">offer an opinion </w:t>
      </w:r>
      <w:r w:rsidR="00761F67" w:rsidRPr="00761F67">
        <w:rPr>
          <w:rFonts w:ascii="Times New Roman" w:hAnsi="Times New Roman" w:cs="Times New Roman"/>
          <w:sz w:val="24"/>
          <w:szCs w:val="24"/>
        </w:rPr>
        <w:t xml:space="preserve">about the willingness and likely wishes of </w:t>
      </w:r>
      <w:r w:rsidR="008A63C3">
        <w:rPr>
          <w:rFonts w:ascii="Times New Roman" w:hAnsi="Times New Roman" w:cs="Times New Roman"/>
          <w:sz w:val="24"/>
          <w:szCs w:val="24"/>
        </w:rPr>
        <w:t>an</w:t>
      </w:r>
      <w:r w:rsidR="00E8243D">
        <w:rPr>
          <w:rFonts w:ascii="Times New Roman" w:hAnsi="Times New Roman" w:cs="Times New Roman"/>
          <w:sz w:val="24"/>
          <w:szCs w:val="24"/>
        </w:rPr>
        <w:t xml:space="preserve">y </w:t>
      </w:r>
      <w:r w:rsidR="00C507D8">
        <w:rPr>
          <w:rFonts w:ascii="Times New Roman" w:hAnsi="Times New Roman" w:cs="Times New Roman"/>
          <w:sz w:val="24"/>
          <w:szCs w:val="24"/>
        </w:rPr>
        <w:t xml:space="preserve">potential </w:t>
      </w:r>
      <w:r w:rsidR="00761F67" w:rsidRPr="00761F67">
        <w:rPr>
          <w:rFonts w:ascii="Times New Roman" w:hAnsi="Times New Roman" w:cs="Times New Roman"/>
          <w:sz w:val="24"/>
          <w:szCs w:val="24"/>
        </w:rPr>
        <w:t>incapacitated pa</w:t>
      </w:r>
      <w:r w:rsidR="00E8243D">
        <w:rPr>
          <w:rFonts w:ascii="Times New Roman" w:hAnsi="Times New Roman" w:cs="Times New Roman"/>
          <w:sz w:val="24"/>
          <w:szCs w:val="24"/>
        </w:rPr>
        <w:t>rticipant.</w:t>
      </w:r>
      <w:r w:rsidR="00834628">
        <w:rPr>
          <w:rStyle w:val="FootnoteReference"/>
          <w:rFonts w:ascii="Times New Roman" w:hAnsi="Times New Roman" w:cs="Times New Roman"/>
          <w:sz w:val="24"/>
          <w:szCs w:val="24"/>
        </w:rPr>
        <w:footnoteReference w:id="8"/>
      </w:r>
      <w:r w:rsidR="00E8243D">
        <w:rPr>
          <w:rFonts w:ascii="Times New Roman" w:hAnsi="Times New Roman" w:cs="Times New Roman"/>
          <w:sz w:val="24"/>
          <w:szCs w:val="24"/>
        </w:rPr>
        <w:t xml:space="preserve">  </w:t>
      </w:r>
    </w:p>
    <w:p w14:paraId="4B925E84" w14:textId="1D2D2B6A" w:rsidR="00896D53" w:rsidRPr="0005267C" w:rsidRDefault="00891D21" w:rsidP="009107B5">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3D06E0">
        <w:rPr>
          <w:rFonts w:ascii="Times New Roman" w:hAnsi="Times New Roman" w:cs="Times New Roman"/>
          <w:sz w:val="24"/>
          <w:szCs w:val="24"/>
        </w:rPr>
        <w:t>T</w:t>
      </w:r>
      <w:r>
        <w:rPr>
          <w:rFonts w:ascii="Times New Roman" w:hAnsi="Times New Roman" w:cs="Times New Roman"/>
          <w:sz w:val="24"/>
          <w:szCs w:val="24"/>
        </w:rPr>
        <w:t>he MCA</w:t>
      </w:r>
      <w:r w:rsidR="006F095E">
        <w:rPr>
          <w:rFonts w:ascii="Times New Roman" w:hAnsi="Times New Roman" w:cs="Times New Roman"/>
          <w:sz w:val="24"/>
          <w:szCs w:val="24"/>
        </w:rPr>
        <w:t xml:space="preserve"> </w:t>
      </w:r>
      <w:r w:rsidR="001B09EB">
        <w:rPr>
          <w:rFonts w:ascii="Times New Roman" w:hAnsi="Times New Roman" w:cs="Times New Roman"/>
          <w:color w:val="FF0000"/>
          <w:sz w:val="24"/>
          <w:szCs w:val="24"/>
        </w:rPr>
        <w:t>operates from</w:t>
      </w:r>
      <w:r w:rsidR="006F095E">
        <w:rPr>
          <w:rFonts w:ascii="Times New Roman" w:hAnsi="Times New Roman" w:cs="Times New Roman"/>
          <w:color w:val="FF0000"/>
          <w:sz w:val="24"/>
          <w:szCs w:val="24"/>
        </w:rPr>
        <w:t xml:space="preserve"> the basis that research involving incapacitated participants </w:t>
      </w:r>
      <w:r w:rsidR="00D45180">
        <w:rPr>
          <w:rFonts w:ascii="Times New Roman" w:hAnsi="Times New Roman" w:cs="Times New Roman"/>
          <w:color w:val="FF0000"/>
          <w:sz w:val="24"/>
          <w:szCs w:val="24"/>
        </w:rPr>
        <w:t>can ordinarily proceed</w:t>
      </w:r>
      <w:r w:rsidR="006F095E">
        <w:rPr>
          <w:rFonts w:ascii="Times New Roman" w:hAnsi="Times New Roman" w:cs="Times New Roman"/>
          <w:color w:val="FF0000"/>
          <w:sz w:val="24"/>
          <w:szCs w:val="24"/>
        </w:rPr>
        <w:t>, unless the activities in question fall with the Act’s definition of intrusive research.</w:t>
      </w:r>
      <w:r w:rsidR="006F095E" w:rsidRPr="006F095E">
        <w:rPr>
          <w:rStyle w:val="FootnoteReference"/>
          <w:rFonts w:ascii="Times New Roman" w:hAnsi="Times New Roman" w:cs="Times New Roman"/>
          <w:sz w:val="24"/>
          <w:szCs w:val="24"/>
        </w:rPr>
        <w:t xml:space="preserve"> </w:t>
      </w:r>
      <w:r w:rsidR="006F095E">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6F095E">
        <w:rPr>
          <w:rFonts w:ascii="Times New Roman" w:hAnsi="Times New Roman" w:cs="Times New Roman"/>
          <w:sz w:val="24"/>
          <w:szCs w:val="24"/>
        </w:rPr>
        <w:t xml:space="preserve">Where research falls within the definition, it will be </w:t>
      </w:r>
      <w:r w:rsidR="006F095E" w:rsidRPr="006F095E">
        <w:rPr>
          <w:rFonts w:ascii="Times New Roman" w:hAnsi="Times New Roman" w:cs="Times New Roman"/>
          <w:i/>
          <w:sz w:val="24"/>
          <w:szCs w:val="24"/>
        </w:rPr>
        <w:t>prima facie</w:t>
      </w:r>
      <w:r w:rsidR="006F095E">
        <w:rPr>
          <w:rFonts w:ascii="Times New Roman" w:hAnsi="Times New Roman" w:cs="Times New Roman"/>
          <w:sz w:val="24"/>
          <w:szCs w:val="24"/>
        </w:rPr>
        <w:t xml:space="preserve"> unlawful unless it adheres to additional requirements stipulated by the legislation.  The</w:t>
      </w:r>
      <w:r w:rsidR="006B1CCC">
        <w:rPr>
          <w:rFonts w:ascii="Times New Roman" w:hAnsi="Times New Roman" w:cs="Times New Roman"/>
          <w:sz w:val="24"/>
          <w:szCs w:val="24"/>
        </w:rPr>
        <w:t xml:space="preserve">se </w:t>
      </w:r>
      <w:r w:rsidR="006F095E">
        <w:rPr>
          <w:rFonts w:ascii="Times New Roman" w:hAnsi="Times New Roman" w:cs="Times New Roman"/>
          <w:sz w:val="24"/>
          <w:szCs w:val="24"/>
        </w:rPr>
        <w:t xml:space="preserve">additional </w:t>
      </w:r>
      <w:r w:rsidR="004E4416">
        <w:rPr>
          <w:rFonts w:ascii="Times New Roman" w:hAnsi="Times New Roman" w:cs="Times New Roman"/>
          <w:sz w:val="24"/>
          <w:szCs w:val="24"/>
        </w:rPr>
        <w:t>requirement</w:t>
      </w:r>
      <w:r w:rsidR="006F095E">
        <w:rPr>
          <w:rFonts w:ascii="Times New Roman" w:hAnsi="Times New Roman" w:cs="Times New Roman"/>
          <w:sz w:val="24"/>
          <w:szCs w:val="24"/>
        </w:rPr>
        <w:t xml:space="preserve">s state </w:t>
      </w:r>
      <w:r w:rsidR="004E4416">
        <w:rPr>
          <w:rFonts w:ascii="Times New Roman" w:hAnsi="Times New Roman" w:cs="Times New Roman"/>
          <w:sz w:val="24"/>
          <w:szCs w:val="24"/>
        </w:rPr>
        <w:t xml:space="preserve">that any research must </w:t>
      </w:r>
      <w:r w:rsidR="006332CA">
        <w:rPr>
          <w:rFonts w:ascii="Times New Roman" w:hAnsi="Times New Roman" w:cs="Times New Roman"/>
          <w:sz w:val="24"/>
          <w:szCs w:val="24"/>
        </w:rPr>
        <w:t xml:space="preserve">be connected </w:t>
      </w:r>
      <w:r w:rsidR="004E4416">
        <w:rPr>
          <w:rFonts w:ascii="Times New Roman" w:hAnsi="Times New Roman" w:cs="Times New Roman"/>
          <w:sz w:val="24"/>
          <w:szCs w:val="24"/>
        </w:rPr>
        <w:t>with an impairing condition affecting P, or its treatment.</w:t>
      </w:r>
      <w:r w:rsidR="004E4416">
        <w:rPr>
          <w:rStyle w:val="FootnoteReference"/>
          <w:rFonts w:ascii="Times New Roman" w:hAnsi="Times New Roman" w:cs="Times New Roman"/>
          <w:sz w:val="24"/>
          <w:szCs w:val="24"/>
        </w:rPr>
        <w:footnoteReference w:id="10"/>
      </w:r>
      <w:r w:rsidR="006F095E">
        <w:rPr>
          <w:rFonts w:ascii="Times New Roman" w:hAnsi="Times New Roman" w:cs="Times New Roman"/>
          <w:sz w:val="24"/>
          <w:szCs w:val="24"/>
        </w:rPr>
        <w:t xml:space="preserve"> </w:t>
      </w:r>
      <w:r w:rsidR="00D45180">
        <w:rPr>
          <w:rFonts w:ascii="Times New Roman" w:hAnsi="Times New Roman" w:cs="Times New Roman"/>
          <w:sz w:val="24"/>
          <w:szCs w:val="24"/>
        </w:rPr>
        <w:t xml:space="preserve">An MCA REC must also </w:t>
      </w:r>
      <w:r w:rsidR="006332CA">
        <w:rPr>
          <w:rFonts w:ascii="Times New Roman" w:hAnsi="Times New Roman" w:cs="Times New Roman"/>
          <w:sz w:val="24"/>
          <w:szCs w:val="24"/>
        </w:rPr>
        <w:t xml:space="preserve">consider from the outset whether or not there are </w:t>
      </w:r>
      <w:r w:rsidR="006332CA" w:rsidRPr="006332CA">
        <w:rPr>
          <w:rFonts w:ascii="Times New Roman" w:hAnsi="Times New Roman" w:cs="Times New Roman"/>
          <w:sz w:val="24"/>
          <w:szCs w:val="24"/>
        </w:rPr>
        <w:t xml:space="preserve">reasonable grounds for believing that research of comparable effectiveness </w:t>
      </w:r>
      <w:r w:rsidR="006332CA">
        <w:rPr>
          <w:rFonts w:ascii="Times New Roman" w:hAnsi="Times New Roman" w:cs="Times New Roman"/>
          <w:sz w:val="24"/>
          <w:szCs w:val="24"/>
        </w:rPr>
        <w:t xml:space="preserve">could be carried out on </w:t>
      </w:r>
      <w:r w:rsidR="006332CA" w:rsidRPr="006332CA">
        <w:rPr>
          <w:rFonts w:ascii="Times New Roman" w:hAnsi="Times New Roman" w:cs="Times New Roman"/>
          <w:sz w:val="24"/>
          <w:szCs w:val="24"/>
        </w:rPr>
        <w:t>persons who have capacity to consent to taking part in it.</w:t>
      </w:r>
      <w:r w:rsidR="006332CA">
        <w:rPr>
          <w:rStyle w:val="FootnoteReference"/>
          <w:rFonts w:ascii="Times New Roman" w:hAnsi="Times New Roman" w:cs="Times New Roman"/>
          <w:sz w:val="24"/>
          <w:szCs w:val="24"/>
        </w:rPr>
        <w:footnoteReference w:id="11"/>
      </w:r>
      <w:r w:rsidR="006332CA">
        <w:rPr>
          <w:rFonts w:ascii="Times New Roman" w:hAnsi="Times New Roman" w:cs="Times New Roman"/>
          <w:sz w:val="24"/>
          <w:szCs w:val="24"/>
        </w:rPr>
        <w:t xml:space="preserve">  Finally, t</w:t>
      </w:r>
      <w:r w:rsidR="00923853">
        <w:rPr>
          <w:rFonts w:ascii="Times New Roman" w:hAnsi="Times New Roman" w:cs="Times New Roman"/>
          <w:sz w:val="24"/>
          <w:szCs w:val="24"/>
        </w:rPr>
        <w:t xml:space="preserve">he best interests test, which is used to render lawful an array of </w:t>
      </w:r>
      <w:r w:rsidR="00896D53">
        <w:rPr>
          <w:rFonts w:ascii="Times New Roman" w:hAnsi="Times New Roman" w:cs="Times New Roman"/>
          <w:sz w:val="24"/>
          <w:szCs w:val="24"/>
        </w:rPr>
        <w:t xml:space="preserve">other decisions under the broader terms of </w:t>
      </w:r>
      <w:r w:rsidR="00923853">
        <w:rPr>
          <w:rFonts w:ascii="Times New Roman" w:hAnsi="Times New Roman" w:cs="Times New Roman"/>
          <w:sz w:val="24"/>
          <w:szCs w:val="24"/>
        </w:rPr>
        <w:t>MCA, does not apply</w:t>
      </w:r>
      <w:r w:rsidR="00252048">
        <w:rPr>
          <w:rFonts w:ascii="Times New Roman" w:hAnsi="Times New Roman" w:cs="Times New Roman"/>
          <w:sz w:val="24"/>
          <w:szCs w:val="24"/>
        </w:rPr>
        <w:t xml:space="preserve"> to research</w:t>
      </w:r>
      <w:r w:rsidR="00923853">
        <w:rPr>
          <w:rFonts w:ascii="Times New Roman" w:hAnsi="Times New Roman" w:cs="Times New Roman"/>
          <w:sz w:val="24"/>
          <w:szCs w:val="24"/>
        </w:rPr>
        <w:t>.</w:t>
      </w:r>
      <w:r w:rsidR="00F04331">
        <w:rPr>
          <w:rStyle w:val="FootnoteReference"/>
          <w:rFonts w:ascii="Times New Roman" w:hAnsi="Times New Roman" w:cs="Times New Roman"/>
          <w:sz w:val="24"/>
          <w:szCs w:val="24"/>
        </w:rPr>
        <w:footnoteReference w:id="12"/>
      </w:r>
      <w:r w:rsidR="00F250DE">
        <w:rPr>
          <w:rFonts w:ascii="Times New Roman" w:hAnsi="Times New Roman" w:cs="Times New Roman"/>
          <w:sz w:val="24"/>
          <w:szCs w:val="24"/>
        </w:rPr>
        <w:t xml:space="preserve">  This is replaced by a set of </w:t>
      </w:r>
      <w:r w:rsidR="00A971D3">
        <w:rPr>
          <w:rFonts w:ascii="Times New Roman" w:hAnsi="Times New Roman" w:cs="Times New Roman"/>
          <w:sz w:val="24"/>
          <w:szCs w:val="24"/>
        </w:rPr>
        <w:t xml:space="preserve">conditions </w:t>
      </w:r>
      <w:r w:rsidR="00995ACE">
        <w:rPr>
          <w:rFonts w:ascii="Times New Roman" w:hAnsi="Times New Roman" w:cs="Times New Roman"/>
          <w:sz w:val="24"/>
          <w:szCs w:val="24"/>
        </w:rPr>
        <w:t xml:space="preserve">that </w:t>
      </w:r>
      <w:r w:rsidR="004E4416">
        <w:rPr>
          <w:rFonts w:ascii="Times New Roman" w:hAnsi="Times New Roman" w:cs="Times New Roman"/>
          <w:sz w:val="24"/>
          <w:szCs w:val="24"/>
        </w:rPr>
        <w:t xml:space="preserve">demand </w:t>
      </w:r>
      <w:r w:rsidR="00995ACE">
        <w:rPr>
          <w:rFonts w:ascii="Times New Roman" w:hAnsi="Times New Roman" w:cs="Times New Roman"/>
          <w:sz w:val="24"/>
          <w:szCs w:val="24"/>
        </w:rPr>
        <w:t xml:space="preserve">an assessment of the </w:t>
      </w:r>
      <w:r w:rsidR="00896D53">
        <w:rPr>
          <w:rFonts w:ascii="Times New Roman" w:hAnsi="Times New Roman" w:cs="Times New Roman"/>
          <w:sz w:val="24"/>
          <w:szCs w:val="24"/>
        </w:rPr>
        <w:t xml:space="preserve">potential </w:t>
      </w:r>
      <w:r w:rsidR="00995ACE">
        <w:rPr>
          <w:rFonts w:ascii="Times New Roman" w:hAnsi="Times New Roman" w:cs="Times New Roman"/>
          <w:sz w:val="24"/>
          <w:szCs w:val="24"/>
        </w:rPr>
        <w:t xml:space="preserve">benefit to risk ratio </w:t>
      </w:r>
      <w:r w:rsidR="00896D53">
        <w:rPr>
          <w:rFonts w:ascii="Times New Roman" w:hAnsi="Times New Roman" w:cs="Times New Roman"/>
          <w:sz w:val="24"/>
          <w:szCs w:val="24"/>
        </w:rPr>
        <w:t xml:space="preserve">that an incapacitated </w:t>
      </w:r>
      <w:r w:rsidR="00C53862">
        <w:rPr>
          <w:rFonts w:ascii="Times New Roman" w:hAnsi="Times New Roman" w:cs="Times New Roman"/>
          <w:sz w:val="24"/>
          <w:szCs w:val="24"/>
        </w:rPr>
        <w:t xml:space="preserve">research </w:t>
      </w:r>
      <w:r w:rsidR="00896D53">
        <w:rPr>
          <w:rFonts w:ascii="Times New Roman" w:hAnsi="Times New Roman" w:cs="Times New Roman"/>
          <w:sz w:val="24"/>
          <w:szCs w:val="24"/>
        </w:rPr>
        <w:t>participant may be expos</w:t>
      </w:r>
      <w:r w:rsidR="00C53862">
        <w:rPr>
          <w:rFonts w:ascii="Times New Roman" w:hAnsi="Times New Roman" w:cs="Times New Roman"/>
          <w:sz w:val="24"/>
          <w:szCs w:val="24"/>
        </w:rPr>
        <w:t xml:space="preserve">ed to </w:t>
      </w:r>
      <w:r w:rsidR="00896D53">
        <w:rPr>
          <w:rFonts w:ascii="Times New Roman" w:hAnsi="Times New Roman" w:cs="Times New Roman"/>
          <w:sz w:val="24"/>
          <w:szCs w:val="24"/>
        </w:rPr>
        <w:t>and</w:t>
      </w:r>
      <w:r w:rsidR="00711D5C">
        <w:rPr>
          <w:rFonts w:ascii="Times New Roman" w:hAnsi="Times New Roman" w:cs="Times New Roman"/>
          <w:sz w:val="24"/>
          <w:szCs w:val="24"/>
        </w:rPr>
        <w:t>, in cases where there may be no value whatsoever to that individual</w:t>
      </w:r>
      <w:r w:rsidR="00711D5C" w:rsidRPr="0005267C">
        <w:rPr>
          <w:rFonts w:ascii="Times New Roman" w:hAnsi="Times New Roman" w:cs="Times New Roman"/>
          <w:color w:val="FF0000"/>
          <w:sz w:val="24"/>
          <w:szCs w:val="24"/>
        </w:rPr>
        <w:t xml:space="preserve">, of the </w:t>
      </w:r>
      <w:r w:rsidR="00896D53" w:rsidRPr="0005267C">
        <w:rPr>
          <w:rFonts w:ascii="Times New Roman" w:hAnsi="Times New Roman" w:cs="Times New Roman"/>
          <w:color w:val="FF0000"/>
          <w:sz w:val="24"/>
          <w:szCs w:val="24"/>
        </w:rPr>
        <w:t>potential benefit</w:t>
      </w:r>
      <w:r w:rsidR="00711D5C" w:rsidRPr="0005267C">
        <w:rPr>
          <w:rFonts w:ascii="Times New Roman" w:hAnsi="Times New Roman" w:cs="Times New Roman"/>
          <w:color w:val="FF0000"/>
          <w:sz w:val="24"/>
          <w:szCs w:val="24"/>
        </w:rPr>
        <w:t>s that may conferred on</w:t>
      </w:r>
      <w:r w:rsidR="00D45180" w:rsidRPr="0005267C">
        <w:rPr>
          <w:rFonts w:ascii="Times New Roman" w:hAnsi="Times New Roman" w:cs="Times New Roman"/>
          <w:color w:val="FF0000"/>
          <w:sz w:val="24"/>
          <w:szCs w:val="24"/>
        </w:rPr>
        <w:t xml:space="preserve"> persons affected by the same or similar condition.</w:t>
      </w:r>
      <w:r w:rsidR="00834628" w:rsidRPr="0005267C">
        <w:rPr>
          <w:rStyle w:val="FootnoteReference"/>
          <w:rFonts w:ascii="Times New Roman" w:hAnsi="Times New Roman" w:cs="Times New Roman"/>
          <w:color w:val="FF0000"/>
          <w:sz w:val="24"/>
          <w:szCs w:val="24"/>
        </w:rPr>
        <w:footnoteReference w:id="13"/>
      </w:r>
      <w:r w:rsidR="0005267C" w:rsidRPr="0005267C">
        <w:rPr>
          <w:rFonts w:ascii="Times New Roman" w:hAnsi="Times New Roman" w:cs="Times New Roman"/>
          <w:color w:val="FF0000"/>
          <w:sz w:val="24"/>
          <w:szCs w:val="24"/>
        </w:rPr>
        <w:t xml:space="preserve">  D</w:t>
      </w:r>
      <w:r w:rsidR="00800E6E" w:rsidRPr="0005267C">
        <w:rPr>
          <w:rFonts w:ascii="Times New Roman" w:hAnsi="Times New Roman" w:cs="Times New Roman"/>
          <w:color w:val="FF0000"/>
          <w:sz w:val="24"/>
          <w:szCs w:val="24"/>
        </w:rPr>
        <w:t>ue to</w:t>
      </w:r>
      <w:r w:rsidR="0005267C" w:rsidRPr="0005267C">
        <w:rPr>
          <w:rFonts w:ascii="Times New Roman" w:hAnsi="Times New Roman" w:cs="Times New Roman"/>
          <w:color w:val="FF0000"/>
          <w:sz w:val="24"/>
          <w:szCs w:val="24"/>
        </w:rPr>
        <w:t xml:space="preserve"> </w:t>
      </w:r>
      <w:r w:rsidR="00D45180" w:rsidRPr="0005267C">
        <w:rPr>
          <w:rFonts w:ascii="Times New Roman" w:hAnsi="Times New Roman" w:cs="Times New Roman"/>
          <w:color w:val="FF0000"/>
          <w:sz w:val="24"/>
          <w:szCs w:val="24"/>
        </w:rPr>
        <w:t xml:space="preserve">incapacitated </w:t>
      </w:r>
      <w:r w:rsidR="00601ADB">
        <w:rPr>
          <w:rFonts w:ascii="Times New Roman" w:hAnsi="Times New Roman" w:cs="Times New Roman"/>
          <w:color w:val="FF0000"/>
          <w:sz w:val="24"/>
          <w:szCs w:val="24"/>
        </w:rPr>
        <w:t xml:space="preserve">participants </w:t>
      </w:r>
      <w:r w:rsidR="0005267C" w:rsidRPr="0005267C">
        <w:rPr>
          <w:rFonts w:ascii="Times New Roman" w:hAnsi="Times New Roman" w:cs="Times New Roman"/>
          <w:color w:val="FF0000"/>
          <w:sz w:val="24"/>
          <w:szCs w:val="24"/>
        </w:rPr>
        <w:t xml:space="preserve">being unable to </w:t>
      </w:r>
      <w:r w:rsidR="00D45180" w:rsidRPr="0005267C">
        <w:rPr>
          <w:rFonts w:ascii="Times New Roman" w:hAnsi="Times New Roman" w:cs="Times New Roman"/>
          <w:color w:val="FF0000"/>
          <w:sz w:val="24"/>
          <w:szCs w:val="24"/>
        </w:rPr>
        <w:t>consent for themselves, and that</w:t>
      </w:r>
      <w:r w:rsidR="0005267C" w:rsidRPr="0005267C">
        <w:rPr>
          <w:rFonts w:ascii="Times New Roman" w:hAnsi="Times New Roman" w:cs="Times New Roman"/>
          <w:color w:val="FF0000"/>
          <w:sz w:val="24"/>
          <w:szCs w:val="24"/>
        </w:rPr>
        <w:t xml:space="preserve"> findings may often </w:t>
      </w:r>
      <w:r w:rsidR="00601ADB">
        <w:rPr>
          <w:rFonts w:ascii="Times New Roman" w:hAnsi="Times New Roman" w:cs="Times New Roman"/>
          <w:color w:val="FF0000"/>
          <w:sz w:val="24"/>
          <w:szCs w:val="24"/>
        </w:rPr>
        <w:t xml:space="preserve">only benefit others, research is </w:t>
      </w:r>
      <w:r w:rsidR="00904D40" w:rsidRPr="0005267C">
        <w:rPr>
          <w:rFonts w:ascii="Times New Roman" w:hAnsi="Times New Roman" w:cs="Times New Roman"/>
          <w:color w:val="FF0000"/>
          <w:sz w:val="24"/>
          <w:szCs w:val="24"/>
        </w:rPr>
        <w:t>set apart from other aspects of the legislation</w:t>
      </w:r>
      <w:r w:rsidR="0005267C" w:rsidRPr="0005267C">
        <w:rPr>
          <w:rFonts w:ascii="Times New Roman" w:hAnsi="Times New Roman" w:cs="Times New Roman"/>
          <w:color w:val="FF0000"/>
          <w:sz w:val="24"/>
          <w:szCs w:val="24"/>
        </w:rPr>
        <w:t>.  T</w:t>
      </w:r>
      <w:r w:rsidR="00800E6E" w:rsidRPr="0005267C">
        <w:rPr>
          <w:rFonts w:ascii="Times New Roman" w:hAnsi="Times New Roman" w:cs="Times New Roman"/>
          <w:color w:val="FF0000"/>
          <w:sz w:val="24"/>
          <w:szCs w:val="24"/>
        </w:rPr>
        <w:t xml:space="preserve">he intention </w:t>
      </w:r>
      <w:r w:rsidR="0005267C" w:rsidRPr="0005267C">
        <w:rPr>
          <w:rFonts w:ascii="Times New Roman" w:hAnsi="Times New Roman" w:cs="Times New Roman"/>
          <w:color w:val="FF0000"/>
          <w:sz w:val="24"/>
          <w:szCs w:val="24"/>
        </w:rPr>
        <w:t>behind this was to provide</w:t>
      </w:r>
      <w:r w:rsidR="00601ADB">
        <w:rPr>
          <w:rFonts w:ascii="Times New Roman" w:hAnsi="Times New Roman" w:cs="Times New Roman"/>
          <w:color w:val="FF0000"/>
          <w:sz w:val="24"/>
          <w:szCs w:val="24"/>
        </w:rPr>
        <w:t xml:space="preserve"> a suitable balance between appropriate protection on the one hand, </w:t>
      </w:r>
      <w:r w:rsidR="00601ADB">
        <w:rPr>
          <w:rFonts w:ascii="Times New Roman" w:hAnsi="Times New Roman" w:cs="Times New Roman"/>
          <w:color w:val="FF0000"/>
          <w:sz w:val="24"/>
          <w:szCs w:val="24"/>
        </w:rPr>
        <w:lastRenderedPageBreak/>
        <w:t xml:space="preserve">and the need to maintain sufficient scope for participant inclusion and </w:t>
      </w:r>
      <w:r w:rsidR="00896D53" w:rsidRPr="0005267C">
        <w:rPr>
          <w:rFonts w:ascii="Times New Roman" w:hAnsi="Times New Roman" w:cs="Times New Roman"/>
          <w:color w:val="FF0000"/>
          <w:sz w:val="24"/>
          <w:szCs w:val="24"/>
        </w:rPr>
        <w:t>empowerment</w:t>
      </w:r>
      <w:r w:rsidR="00601ADB">
        <w:rPr>
          <w:rFonts w:ascii="Times New Roman" w:hAnsi="Times New Roman" w:cs="Times New Roman"/>
          <w:color w:val="FF0000"/>
          <w:sz w:val="24"/>
          <w:szCs w:val="24"/>
        </w:rPr>
        <w:t xml:space="preserve"> on the other.</w:t>
      </w:r>
      <w:r w:rsidR="00E863B2" w:rsidRPr="0005267C">
        <w:rPr>
          <w:rStyle w:val="FootnoteReference"/>
          <w:rFonts w:ascii="Times New Roman" w:hAnsi="Times New Roman" w:cs="Times New Roman"/>
          <w:color w:val="FF0000"/>
          <w:sz w:val="24"/>
          <w:szCs w:val="24"/>
        </w:rPr>
        <w:footnoteReference w:id="14"/>
      </w:r>
    </w:p>
    <w:p w14:paraId="4940BD27" w14:textId="2B071348" w:rsidR="009B3B67" w:rsidRDefault="002463DC" w:rsidP="009107B5">
      <w:pPr>
        <w:spacing w:after="0" w:line="360" w:lineRule="auto"/>
        <w:jc w:val="both"/>
        <w:rPr>
          <w:rFonts w:ascii="Times New Roman" w:hAnsi="Times New Roman" w:cs="Times New Roman"/>
          <w:sz w:val="24"/>
          <w:szCs w:val="24"/>
        </w:rPr>
      </w:pPr>
      <w:r w:rsidRPr="004003DD">
        <w:rPr>
          <w:rFonts w:ascii="Times New Roman" w:hAnsi="Times New Roman" w:cs="Times New Roman"/>
          <w:color w:val="FF0000"/>
          <w:sz w:val="24"/>
          <w:szCs w:val="24"/>
        </w:rPr>
        <w:tab/>
        <w:t>We argue here, however, that the research provisions of the MCA are</w:t>
      </w:r>
      <w:r w:rsidR="004003DD" w:rsidRPr="004003DD">
        <w:rPr>
          <w:rFonts w:ascii="Times New Roman" w:hAnsi="Times New Roman" w:cs="Times New Roman"/>
          <w:color w:val="FF0000"/>
          <w:sz w:val="24"/>
          <w:szCs w:val="24"/>
        </w:rPr>
        <w:t xml:space="preserve"> obscure and that their misinterpretation could lead to an overly restrictive </w:t>
      </w:r>
      <w:r w:rsidR="00555D6F" w:rsidRPr="004003DD">
        <w:rPr>
          <w:rFonts w:ascii="Times New Roman" w:hAnsi="Times New Roman" w:cs="Times New Roman"/>
          <w:color w:val="FF0000"/>
          <w:sz w:val="24"/>
          <w:szCs w:val="24"/>
        </w:rPr>
        <w:t>attitude</w:t>
      </w:r>
      <w:r w:rsidR="00555D6F">
        <w:rPr>
          <w:rFonts w:ascii="Times New Roman" w:hAnsi="Times New Roman" w:cs="Times New Roman"/>
          <w:color w:val="FF0000"/>
          <w:sz w:val="24"/>
          <w:szCs w:val="24"/>
        </w:rPr>
        <w:t>,</w:t>
      </w:r>
      <w:r w:rsidR="006B1CCC">
        <w:rPr>
          <w:rFonts w:ascii="Times New Roman" w:hAnsi="Times New Roman" w:cs="Times New Roman"/>
          <w:color w:val="FF0000"/>
          <w:sz w:val="24"/>
          <w:szCs w:val="24"/>
        </w:rPr>
        <w:t xml:space="preserve"> which is damaging to notions of</w:t>
      </w:r>
      <w:r w:rsidR="00555D6F">
        <w:rPr>
          <w:rFonts w:ascii="Times New Roman" w:hAnsi="Times New Roman" w:cs="Times New Roman"/>
          <w:color w:val="FF0000"/>
          <w:sz w:val="24"/>
          <w:szCs w:val="24"/>
        </w:rPr>
        <w:t xml:space="preserve"> inclusivity and empowerment.  </w:t>
      </w:r>
      <w:r w:rsidR="004003DD">
        <w:rPr>
          <w:rFonts w:ascii="Times New Roman" w:hAnsi="Times New Roman" w:cs="Times New Roman"/>
          <w:sz w:val="24"/>
          <w:szCs w:val="24"/>
        </w:rPr>
        <w:t>First, i</w:t>
      </w:r>
      <w:r w:rsidR="00EE7757">
        <w:rPr>
          <w:rFonts w:ascii="Times New Roman" w:hAnsi="Times New Roman" w:cs="Times New Roman"/>
          <w:sz w:val="24"/>
          <w:szCs w:val="24"/>
        </w:rPr>
        <w:t>t is not entirely clear what type</w:t>
      </w:r>
      <w:r>
        <w:rPr>
          <w:rFonts w:ascii="Times New Roman" w:hAnsi="Times New Roman" w:cs="Times New Roman"/>
          <w:sz w:val="24"/>
          <w:szCs w:val="24"/>
        </w:rPr>
        <w:t xml:space="preserve"> of research should fall within the </w:t>
      </w:r>
      <w:r w:rsidR="006332CA">
        <w:rPr>
          <w:rFonts w:ascii="Times New Roman" w:hAnsi="Times New Roman" w:cs="Times New Roman"/>
          <w:sz w:val="24"/>
          <w:szCs w:val="24"/>
        </w:rPr>
        <w:t>purview</w:t>
      </w:r>
      <w:r>
        <w:rPr>
          <w:rFonts w:ascii="Times New Roman" w:hAnsi="Times New Roman" w:cs="Times New Roman"/>
          <w:sz w:val="24"/>
          <w:szCs w:val="24"/>
        </w:rPr>
        <w:t xml:space="preserve"> of the Act</w:t>
      </w:r>
      <w:r w:rsidR="006332CA">
        <w:rPr>
          <w:rFonts w:ascii="Times New Roman" w:hAnsi="Times New Roman" w:cs="Times New Roman"/>
          <w:sz w:val="24"/>
          <w:szCs w:val="24"/>
        </w:rPr>
        <w:t xml:space="preserve">, and an apparent </w:t>
      </w:r>
      <w:r w:rsidR="00EE7757">
        <w:rPr>
          <w:rFonts w:ascii="Times New Roman" w:hAnsi="Times New Roman" w:cs="Times New Roman"/>
          <w:sz w:val="24"/>
          <w:szCs w:val="24"/>
        </w:rPr>
        <w:t>focus</w:t>
      </w:r>
      <w:r w:rsidR="00847519">
        <w:rPr>
          <w:rFonts w:ascii="Times New Roman" w:hAnsi="Times New Roman" w:cs="Times New Roman"/>
          <w:sz w:val="24"/>
          <w:szCs w:val="24"/>
        </w:rPr>
        <w:t xml:space="preserve"> on medically-</w:t>
      </w:r>
      <w:r w:rsidR="00555D6F">
        <w:rPr>
          <w:rFonts w:ascii="Times New Roman" w:hAnsi="Times New Roman" w:cs="Times New Roman"/>
          <w:sz w:val="24"/>
          <w:szCs w:val="24"/>
        </w:rPr>
        <w:t xml:space="preserve">intrusive </w:t>
      </w:r>
      <w:r w:rsidR="00847519">
        <w:rPr>
          <w:rFonts w:ascii="Times New Roman" w:hAnsi="Times New Roman" w:cs="Times New Roman"/>
          <w:sz w:val="24"/>
          <w:szCs w:val="24"/>
        </w:rPr>
        <w:t xml:space="preserve">research causes </w:t>
      </w:r>
      <w:r w:rsidR="00EE7757">
        <w:rPr>
          <w:rFonts w:ascii="Times New Roman" w:hAnsi="Times New Roman" w:cs="Times New Roman"/>
          <w:sz w:val="24"/>
          <w:szCs w:val="24"/>
        </w:rPr>
        <w:t xml:space="preserve">some key areas </w:t>
      </w:r>
      <w:r w:rsidR="0096116C">
        <w:rPr>
          <w:rFonts w:ascii="Times New Roman" w:hAnsi="Times New Roman" w:cs="Times New Roman"/>
          <w:sz w:val="24"/>
          <w:szCs w:val="24"/>
        </w:rPr>
        <w:t xml:space="preserve">to be </w:t>
      </w:r>
      <w:r w:rsidR="00EE7757">
        <w:rPr>
          <w:rFonts w:ascii="Times New Roman" w:hAnsi="Times New Roman" w:cs="Times New Roman"/>
          <w:sz w:val="24"/>
          <w:szCs w:val="24"/>
        </w:rPr>
        <w:t>overlooked</w:t>
      </w:r>
      <w:r w:rsidR="001E3E5A">
        <w:rPr>
          <w:rFonts w:ascii="Times New Roman" w:hAnsi="Times New Roman" w:cs="Times New Roman"/>
          <w:sz w:val="24"/>
          <w:szCs w:val="24"/>
        </w:rPr>
        <w:t>.  Quite apart from that,</w:t>
      </w:r>
      <w:r w:rsidR="006332CA">
        <w:rPr>
          <w:rFonts w:ascii="Times New Roman" w:hAnsi="Times New Roman" w:cs="Times New Roman"/>
          <w:sz w:val="24"/>
          <w:szCs w:val="24"/>
        </w:rPr>
        <w:t xml:space="preserve"> in initially</w:t>
      </w:r>
      <w:r w:rsidR="00DD33B5">
        <w:rPr>
          <w:rFonts w:ascii="Times New Roman" w:hAnsi="Times New Roman" w:cs="Times New Roman"/>
          <w:sz w:val="24"/>
          <w:szCs w:val="24"/>
        </w:rPr>
        <w:t xml:space="preserve"> calling for some consideration as to whether or </w:t>
      </w:r>
      <w:r w:rsidR="006332CA">
        <w:rPr>
          <w:rFonts w:ascii="Times New Roman" w:hAnsi="Times New Roman" w:cs="Times New Roman"/>
          <w:sz w:val="24"/>
          <w:szCs w:val="24"/>
        </w:rPr>
        <w:t xml:space="preserve">not </w:t>
      </w:r>
      <w:r w:rsidR="00DD33B5">
        <w:rPr>
          <w:rFonts w:ascii="Times New Roman" w:hAnsi="Times New Roman" w:cs="Times New Roman"/>
          <w:sz w:val="24"/>
          <w:szCs w:val="24"/>
        </w:rPr>
        <w:t>more effective research could be carried out</w:t>
      </w:r>
      <w:r w:rsidR="00847519">
        <w:rPr>
          <w:rFonts w:ascii="Times New Roman" w:hAnsi="Times New Roman" w:cs="Times New Roman"/>
          <w:sz w:val="24"/>
          <w:szCs w:val="24"/>
        </w:rPr>
        <w:t xml:space="preserve"> on a </w:t>
      </w:r>
      <w:r w:rsidR="00DD33B5">
        <w:rPr>
          <w:rFonts w:ascii="Times New Roman" w:hAnsi="Times New Roman" w:cs="Times New Roman"/>
          <w:sz w:val="24"/>
          <w:szCs w:val="24"/>
        </w:rPr>
        <w:t>capacitous</w:t>
      </w:r>
      <w:r w:rsidR="00847519">
        <w:rPr>
          <w:rFonts w:ascii="Times New Roman" w:hAnsi="Times New Roman" w:cs="Times New Roman"/>
          <w:sz w:val="24"/>
          <w:szCs w:val="24"/>
        </w:rPr>
        <w:t xml:space="preserve"> individual</w:t>
      </w:r>
      <w:r w:rsidR="00DD33B5">
        <w:rPr>
          <w:rFonts w:ascii="Times New Roman" w:hAnsi="Times New Roman" w:cs="Times New Roman"/>
          <w:sz w:val="24"/>
          <w:szCs w:val="24"/>
        </w:rPr>
        <w:t xml:space="preserve">, </w:t>
      </w:r>
      <w:r w:rsidR="001E3E5A">
        <w:rPr>
          <w:rFonts w:ascii="Times New Roman" w:hAnsi="Times New Roman" w:cs="Times New Roman"/>
          <w:sz w:val="24"/>
          <w:szCs w:val="24"/>
        </w:rPr>
        <w:t>the MCA begins by making a dangerous</w:t>
      </w:r>
      <w:r w:rsidR="006B1CCC">
        <w:rPr>
          <w:rFonts w:ascii="Times New Roman" w:hAnsi="Times New Roman" w:cs="Times New Roman"/>
          <w:color w:val="FF0000"/>
          <w:sz w:val="24"/>
          <w:szCs w:val="24"/>
        </w:rPr>
        <w:t xml:space="preserve"> comparison that could undermine the value and status of an incapacitated participant’s involvement in research. Thus, some of the Act’s research-targeted provisions </w:t>
      </w:r>
      <w:r w:rsidR="006B1CCC">
        <w:rPr>
          <w:rFonts w:ascii="Times New Roman" w:hAnsi="Times New Roman" w:cs="Times New Roman"/>
          <w:sz w:val="24"/>
          <w:szCs w:val="24"/>
        </w:rPr>
        <w:t xml:space="preserve">do </w:t>
      </w:r>
      <w:r w:rsidR="001E3E5A">
        <w:rPr>
          <w:rFonts w:ascii="Times New Roman" w:hAnsi="Times New Roman" w:cs="Times New Roman"/>
          <w:sz w:val="24"/>
          <w:szCs w:val="24"/>
        </w:rPr>
        <w:t>not sit comfortably with th</w:t>
      </w:r>
      <w:r w:rsidR="00DD33B5">
        <w:rPr>
          <w:rFonts w:ascii="Times New Roman" w:hAnsi="Times New Roman" w:cs="Times New Roman"/>
          <w:sz w:val="24"/>
          <w:szCs w:val="24"/>
        </w:rPr>
        <w:t xml:space="preserve">e growing emphasis on supported </w:t>
      </w:r>
      <w:r w:rsidR="001E3E5A">
        <w:rPr>
          <w:rFonts w:ascii="Times New Roman" w:hAnsi="Times New Roman" w:cs="Times New Roman"/>
          <w:sz w:val="24"/>
          <w:szCs w:val="24"/>
        </w:rPr>
        <w:t xml:space="preserve">decision-making promulgated by </w:t>
      </w:r>
      <w:r w:rsidR="005F22AB">
        <w:rPr>
          <w:rFonts w:ascii="Times New Roman" w:hAnsi="Times New Roman" w:cs="Times New Roman"/>
          <w:sz w:val="24"/>
          <w:szCs w:val="24"/>
        </w:rPr>
        <w:t xml:space="preserve">Article 12 of </w:t>
      </w:r>
      <w:r w:rsidR="001E3E5A">
        <w:rPr>
          <w:rFonts w:ascii="Times New Roman" w:hAnsi="Times New Roman" w:cs="Times New Roman"/>
          <w:sz w:val="24"/>
          <w:szCs w:val="24"/>
        </w:rPr>
        <w:t xml:space="preserve">the United Nations Convention on the Rights of Persons with Disabilities (UNCRPD) and so the true extent to which </w:t>
      </w:r>
      <w:r w:rsidR="006B1CCC">
        <w:rPr>
          <w:rFonts w:ascii="Times New Roman" w:hAnsi="Times New Roman" w:cs="Times New Roman"/>
          <w:sz w:val="24"/>
          <w:szCs w:val="24"/>
        </w:rPr>
        <w:t xml:space="preserve">the legislation </w:t>
      </w:r>
      <w:r w:rsidR="001E3E5A">
        <w:rPr>
          <w:rFonts w:ascii="Times New Roman" w:hAnsi="Times New Roman" w:cs="Times New Roman"/>
          <w:sz w:val="24"/>
          <w:szCs w:val="24"/>
        </w:rPr>
        <w:t>empowers participants r</w:t>
      </w:r>
      <w:r w:rsidR="00F250DE">
        <w:rPr>
          <w:rFonts w:ascii="Times New Roman" w:hAnsi="Times New Roman" w:cs="Times New Roman"/>
          <w:sz w:val="24"/>
          <w:szCs w:val="24"/>
        </w:rPr>
        <w:t>e</w:t>
      </w:r>
      <w:r w:rsidR="007F13FA">
        <w:rPr>
          <w:rFonts w:ascii="Times New Roman" w:hAnsi="Times New Roman" w:cs="Times New Roman"/>
          <w:sz w:val="24"/>
          <w:szCs w:val="24"/>
        </w:rPr>
        <w:t>mains a subject of contention.</w:t>
      </w:r>
      <w:r w:rsidR="00834628">
        <w:rPr>
          <w:rStyle w:val="FootnoteReference"/>
          <w:rFonts w:ascii="Times New Roman" w:hAnsi="Times New Roman" w:cs="Times New Roman"/>
          <w:sz w:val="24"/>
          <w:szCs w:val="24"/>
        </w:rPr>
        <w:footnoteReference w:id="15"/>
      </w:r>
      <w:r w:rsidR="007F13FA">
        <w:rPr>
          <w:rFonts w:ascii="Times New Roman" w:hAnsi="Times New Roman" w:cs="Times New Roman"/>
          <w:sz w:val="24"/>
          <w:szCs w:val="24"/>
        </w:rPr>
        <w:t xml:space="preserve">  T</w:t>
      </w:r>
      <w:r w:rsidR="001325ED">
        <w:rPr>
          <w:rFonts w:ascii="Times New Roman" w:hAnsi="Times New Roman" w:cs="Times New Roman"/>
          <w:sz w:val="24"/>
          <w:szCs w:val="24"/>
        </w:rPr>
        <w:t>he</w:t>
      </w:r>
      <w:r w:rsidR="00847519">
        <w:rPr>
          <w:rFonts w:ascii="Times New Roman" w:hAnsi="Times New Roman" w:cs="Times New Roman"/>
          <w:sz w:val="24"/>
          <w:szCs w:val="24"/>
        </w:rPr>
        <w:t xml:space="preserve"> </w:t>
      </w:r>
      <w:r w:rsidR="00C14F71">
        <w:rPr>
          <w:rFonts w:ascii="Times New Roman" w:hAnsi="Times New Roman" w:cs="Times New Roman"/>
          <w:sz w:val="24"/>
          <w:szCs w:val="24"/>
        </w:rPr>
        <w:t xml:space="preserve">tailor-made </w:t>
      </w:r>
      <w:r w:rsidR="00E33729">
        <w:rPr>
          <w:rFonts w:ascii="Times New Roman" w:hAnsi="Times New Roman" w:cs="Times New Roman"/>
          <w:sz w:val="24"/>
          <w:szCs w:val="24"/>
        </w:rPr>
        <w:t>standards</w:t>
      </w:r>
      <w:r w:rsidR="00620C3D">
        <w:rPr>
          <w:rFonts w:ascii="Times New Roman" w:hAnsi="Times New Roman" w:cs="Times New Roman"/>
          <w:sz w:val="24"/>
          <w:szCs w:val="24"/>
        </w:rPr>
        <w:t xml:space="preserve"> for approving research</w:t>
      </w:r>
      <w:r w:rsidR="00F250DE">
        <w:rPr>
          <w:rFonts w:ascii="Times New Roman" w:hAnsi="Times New Roman" w:cs="Times New Roman"/>
          <w:sz w:val="24"/>
          <w:szCs w:val="24"/>
        </w:rPr>
        <w:t xml:space="preserve"> </w:t>
      </w:r>
      <w:r w:rsidR="001F7F4B">
        <w:rPr>
          <w:rFonts w:ascii="Times New Roman" w:hAnsi="Times New Roman" w:cs="Times New Roman"/>
          <w:sz w:val="24"/>
          <w:szCs w:val="24"/>
        </w:rPr>
        <w:t>are also poorly worded</w:t>
      </w:r>
      <w:r w:rsidR="0011029A">
        <w:rPr>
          <w:rFonts w:ascii="Times New Roman" w:hAnsi="Times New Roman" w:cs="Times New Roman"/>
          <w:sz w:val="24"/>
          <w:szCs w:val="24"/>
        </w:rPr>
        <w:t>,</w:t>
      </w:r>
      <w:r w:rsidR="001F7F4B">
        <w:rPr>
          <w:rFonts w:ascii="Times New Roman" w:hAnsi="Times New Roman" w:cs="Times New Roman"/>
          <w:sz w:val="24"/>
          <w:szCs w:val="24"/>
        </w:rPr>
        <w:t xml:space="preserve"> and their inclusion perhaps unnecessary</w:t>
      </w:r>
      <w:r w:rsidR="001325ED">
        <w:rPr>
          <w:rFonts w:ascii="Times New Roman" w:hAnsi="Times New Roman" w:cs="Times New Roman"/>
          <w:sz w:val="24"/>
          <w:szCs w:val="24"/>
        </w:rPr>
        <w:t xml:space="preserve">. </w:t>
      </w:r>
      <w:r w:rsidR="00E26E61">
        <w:rPr>
          <w:rFonts w:ascii="Times New Roman" w:hAnsi="Times New Roman" w:cs="Times New Roman"/>
          <w:sz w:val="24"/>
          <w:szCs w:val="24"/>
        </w:rPr>
        <w:t xml:space="preserve">Finally, </w:t>
      </w:r>
      <w:r w:rsidR="00EE7757">
        <w:rPr>
          <w:rFonts w:ascii="Times New Roman" w:hAnsi="Times New Roman" w:cs="Times New Roman"/>
          <w:sz w:val="24"/>
          <w:szCs w:val="24"/>
        </w:rPr>
        <w:t xml:space="preserve">difficulties are also </w:t>
      </w:r>
      <w:r w:rsidR="00AD1AA8">
        <w:rPr>
          <w:rFonts w:ascii="Times New Roman" w:hAnsi="Times New Roman" w:cs="Times New Roman"/>
          <w:sz w:val="24"/>
          <w:szCs w:val="24"/>
        </w:rPr>
        <w:t>encountered because the</w:t>
      </w:r>
      <w:r w:rsidR="00653B5D">
        <w:rPr>
          <w:rFonts w:ascii="Times New Roman" w:hAnsi="Times New Roman" w:cs="Times New Roman"/>
          <w:sz w:val="24"/>
          <w:szCs w:val="24"/>
        </w:rPr>
        <w:t xml:space="preserve"> aspec</w:t>
      </w:r>
      <w:r w:rsidR="001325ED">
        <w:rPr>
          <w:rFonts w:ascii="Times New Roman" w:hAnsi="Times New Roman" w:cs="Times New Roman"/>
          <w:sz w:val="24"/>
          <w:szCs w:val="24"/>
        </w:rPr>
        <w:t xml:space="preserve">ts of the MCA that attempt to guarantee that </w:t>
      </w:r>
      <w:r w:rsidR="00B82FAC">
        <w:rPr>
          <w:rFonts w:ascii="Times New Roman" w:hAnsi="Times New Roman" w:cs="Times New Roman"/>
          <w:sz w:val="24"/>
          <w:szCs w:val="24"/>
        </w:rPr>
        <w:t>an incapacitated participant’s voice is heard</w:t>
      </w:r>
      <w:r w:rsidR="00EE7757">
        <w:rPr>
          <w:rFonts w:ascii="Times New Roman" w:hAnsi="Times New Roman" w:cs="Times New Roman"/>
          <w:sz w:val="24"/>
          <w:szCs w:val="24"/>
        </w:rPr>
        <w:t xml:space="preserve"> </w:t>
      </w:r>
      <w:r w:rsidR="001325ED">
        <w:rPr>
          <w:rFonts w:ascii="Times New Roman" w:hAnsi="Times New Roman" w:cs="Times New Roman"/>
          <w:sz w:val="24"/>
          <w:szCs w:val="24"/>
        </w:rPr>
        <w:t xml:space="preserve">in the approval process, </w:t>
      </w:r>
      <w:r w:rsidR="00B82FAC">
        <w:rPr>
          <w:rFonts w:ascii="Times New Roman" w:hAnsi="Times New Roman" w:cs="Times New Roman"/>
          <w:sz w:val="24"/>
          <w:szCs w:val="24"/>
        </w:rPr>
        <w:t>operate un</w:t>
      </w:r>
      <w:r w:rsidR="001325ED">
        <w:rPr>
          <w:rFonts w:ascii="Times New Roman" w:hAnsi="Times New Roman" w:cs="Times New Roman"/>
          <w:sz w:val="24"/>
          <w:szCs w:val="24"/>
        </w:rPr>
        <w:t>der some basic misapprehensions.</w:t>
      </w:r>
      <w:r w:rsidR="00267F1D">
        <w:rPr>
          <w:rFonts w:ascii="Times New Roman" w:hAnsi="Times New Roman" w:cs="Times New Roman"/>
          <w:sz w:val="24"/>
          <w:szCs w:val="24"/>
        </w:rPr>
        <w:t xml:space="preserve"> </w:t>
      </w:r>
    </w:p>
    <w:p w14:paraId="752FAD9E" w14:textId="0B0CDC15" w:rsidR="001275FA" w:rsidRDefault="00847519" w:rsidP="009107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w:t>
      </w:r>
      <w:r w:rsidR="00780117">
        <w:rPr>
          <w:rFonts w:ascii="Times New Roman" w:hAnsi="Times New Roman" w:cs="Times New Roman"/>
          <w:sz w:val="24"/>
          <w:szCs w:val="24"/>
        </w:rPr>
        <w:t xml:space="preserve"> paper begins by exploring the exact parameters of the MCA in relation to research.</w:t>
      </w:r>
      <w:r w:rsidR="00555D6F">
        <w:rPr>
          <w:rStyle w:val="FootnoteReference"/>
          <w:rFonts w:ascii="Times New Roman" w:hAnsi="Times New Roman" w:cs="Times New Roman"/>
          <w:sz w:val="24"/>
          <w:szCs w:val="24"/>
        </w:rPr>
        <w:footnoteReference w:id="16"/>
      </w:r>
      <w:r w:rsidR="00780117">
        <w:rPr>
          <w:rFonts w:ascii="Times New Roman" w:hAnsi="Times New Roman" w:cs="Times New Roman"/>
          <w:sz w:val="24"/>
          <w:szCs w:val="24"/>
        </w:rPr>
        <w:t xml:space="preserve"> It seeks to address the critical question of precisely what is meant by ‘i</w:t>
      </w:r>
      <w:r w:rsidR="00732818">
        <w:rPr>
          <w:rFonts w:ascii="Times New Roman" w:hAnsi="Times New Roman" w:cs="Times New Roman"/>
          <w:sz w:val="24"/>
          <w:szCs w:val="24"/>
        </w:rPr>
        <w:t>ntrusive’ research and considers what may fall within this definition</w:t>
      </w:r>
      <w:r w:rsidR="00E85D21">
        <w:rPr>
          <w:rFonts w:ascii="Times New Roman" w:hAnsi="Times New Roman" w:cs="Times New Roman"/>
          <w:sz w:val="24"/>
          <w:szCs w:val="24"/>
        </w:rPr>
        <w:t xml:space="preserve">.  </w:t>
      </w:r>
      <w:r w:rsidR="00E26E61">
        <w:rPr>
          <w:rFonts w:ascii="Times New Roman" w:hAnsi="Times New Roman" w:cs="Times New Roman"/>
          <w:sz w:val="24"/>
          <w:szCs w:val="24"/>
        </w:rPr>
        <w:t xml:space="preserve">We then </w:t>
      </w:r>
      <w:r w:rsidR="001E3E5A">
        <w:rPr>
          <w:rFonts w:ascii="Times New Roman" w:hAnsi="Times New Roman" w:cs="Times New Roman"/>
          <w:sz w:val="24"/>
          <w:szCs w:val="24"/>
        </w:rPr>
        <w:t>argue</w:t>
      </w:r>
      <w:r w:rsidR="001275FA">
        <w:rPr>
          <w:rFonts w:ascii="Times New Roman" w:hAnsi="Times New Roman" w:cs="Times New Roman"/>
          <w:sz w:val="24"/>
          <w:szCs w:val="24"/>
        </w:rPr>
        <w:t xml:space="preserve"> that in demanding an assessment of the comparative effectiveness of incapacitated compared to capacitous participants, the MCA actually sets off on the wrong </w:t>
      </w:r>
      <w:r w:rsidR="002463DC">
        <w:rPr>
          <w:rFonts w:ascii="Times New Roman" w:hAnsi="Times New Roman" w:cs="Times New Roman"/>
          <w:sz w:val="24"/>
          <w:szCs w:val="24"/>
        </w:rPr>
        <w:t xml:space="preserve">foot </w:t>
      </w:r>
      <w:r w:rsidR="001275FA">
        <w:rPr>
          <w:rFonts w:ascii="Times New Roman" w:hAnsi="Times New Roman" w:cs="Times New Roman"/>
          <w:sz w:val="24"/>
          <w:szCs w:val="24"/>
        </w:rPr>
        <w:t xml:space="preserve">and </w:t>
      </w:r>
      <w:r w:rsidR="001325ED">
        <w:rPr>
          <w:rFonts w:ascii="Times New Roman" w:hAnsi="Times New Roman" w:cs="Times New Roman"/>
          <w:sz w:val="24"/>
          <w:szCs w:val="24"/>
        </w:rPr>
        <w:t xml:space="preserve">needs to fundamentally </w:t>
      </w:r>
      <w:r w:rsidR="00E26E61">
        <w:rPr>
          <w:rFonts w:ascii="Times New Roman" w:hAnsi="Times New Roman" w:cs="Times New Roman"/>
          <w:sz w:val="24"/>
          <w:szCs w:val="24"/>
        </w:rPr>
        <w:t xml:space="preserve">rethink </w:t>
      </w:r>
      <w:r w:rsidR="00C14F71">
        <w:rPr>
          <w:rFonts w:ascii="Times New Roman" w:hAnsi="Times New Roman" w:cs="Times New Roman"/>
          <w:sz w:val="24"/>
          <w:szCs w:val="24"/>
        </w:rPr>
        <w:t>its starting premise. I</w:t>
      </w:r>
      <w:r w:rsidR="002463DC">
        <w:rPr>
          <w:rFonts w:ascii="Times New Roman" w:hAnsi="Times New Roman" w:cs="Times New Roman"/>
          <w:sz w:val="24"/>
          <w:szCs w:val="24"/>
        </w:rPr>
        <w:t xml:space="preserve">t also needs to reconsider what research needs to be </w:t>
      </w:r>
      <w:r w:rsidR="00E26E61">
        <w:rPr>
          <w:rFonts w:ascii="Times New Roman" w:hAnsi="Times New Roman" w:cs="Times New Roman"/>
          <w:sz w:val="24"/>
          <w:szCs w:val="24"/>
        </w:rPr>
        <w:t>connected with</w:t>
      </w:r>
      <w:r w:rsidR="00C14F71">
        <w:rPr>
          <w:rFonts w:ascii="Times New Roman" w:hAnsi="Times New Roman" w:cs="Times New Roman"/>
          <w:sz w:val="24"/>
          <w:szCs w:val="24"/>
        </w:rPr>
        <w:t xml:space="preserve"> in order to be countenanced</w:t>
      </w:r>
      <w:r w:rsidR="00E26E61">
        <w:rPr>
          <w:rFonts w:ascii="Times New Roman" w:hAnsi="Times New Roman" w:cs="Times New Roman"/>
          <w:sz w:val="24"/>
          <w:szCs w:val="24"/>
        </w:rPr>
        <w:t>.</w:t>
      </w:r>
      <w:r>
        <w:rPr>
          <w:rFonts w:ascii="Times New Roman" w:hAnsi="Times New Roman" w:cs="Times New Roman"/>
          <w:sz w:val="24"/>
          <w:szCs w:val="24"/>
        </w:rPr>
        <w:t xml:space="preserve">  Thereafter, the rationale for </w:t>
      </w:r>
      <w:r w:rsidR="00F74A66">
        <w:rPr>
          <w:rFonts w:ascii="Times New Roman" w:hAnsi="Times New Roman" w:cs="Times New Roman"/>
          <w:sz w:val="24"/>
          <w:szCs w:val="24"/>
        </w:rPr>
        <w:t>abandoning t</w:t>
      </w:r>
      <w:r w:rsidR="00734280">
        <w:rPr>
          <w:rFonts w:ascii="Times New Roman" w:hAnsi="Times New Roman" w:cs="Times New Roman"/>
          <w:sz w:val="24"/>
          <w:szCs w:val="24"/>
        </w:rPr>
        <w:t xml:space="preserve">he best </w:t>
      </w:r>
      <w:proofErr w:type="gramStart"/>
      <w:r w:rsidR="00734280">
        <w:rPr>
          <w:rFonts w:ascii="Times New Roman" w:hAnsi="Times New Roman" w:cs="Times New Roman"/>
          <w:sz w:val="24"/>
          <w:szCs w:val="24"/>
        </w:rPr>
        <w:t>interests</w:t>
      </w:r>
      <w:proofErr w:type="gramEnd"/>
      <w:r w:rsidR="00734280">
        <w:rPr>
          <w:rFonts w:ascii="Times New Roman" w:hAnsi="Times New Roman" w:cs="Times New Roman"/>
          <w:sz w:val="24"/>
          <w:szCs w:val="24"/>
        </w:rPr>
        <w:t xml:space="preserve"> principle </w:t>
      </w:r>
      <w:r>
        <w:rPr>
          <w:rFonts w:ascii="Times New Roman" w:hAnsi="Times New Roman" w:cs="Times New Roman"/>
          <w:sz w:val="24"/>
          <w:szCs w:val="24"/>
        </w:rPr>
        <w:t xml:space="preserve">is analysed </w:t>
      </w:r>
      <w:r w:rsidR="001275FA">
        <w:rPr>
          <w:rFonts w:ascii="Times New Roman" w:hAnsi="Times New Roman" w:cs="Times New Roman"/>
          <w:sz w:val="24"/>
          <w:szCs w:val="24"/>
        </w:rPr>
        <w:t xml:space="preserve">and we examine </w:t>
      </w:r>
      <w:r w:rsidR="00734280">
        <w:rPr>
          <w:rFonts w:ascii="Times New Roman" w:hAnsi="Times New Roman" w:cs="Times New Roman"/>
          <w:sz w:val="24"/>
          <w:szCs w:val="24"/>
        </w:rPr>
        <w:t xml:space="preserve">whether </w:t>
      </w:r>
      <w:r w:rsidR="00F74A66">
        <w:rPr>
          <w:rFonts w:ascii="Times New Roman" w:hAnsi="Times New Roman" w:cs="Times New Roman"/>
          <w:sz w:val="24"/>
          <w:szCs w:val="24"/>
        </w:rPr>
        <w:t xml:space="preserve">the </w:t>
      </w:r>
      <w:r w:rsidR="00734280">
        <w:rPr>
          <w:rFonts w:ascii="Times New Roman" w:hAnsi="Times New Roman" w:cs="Times New Roman"/>
          <w:sz w:val="24"/>
          <w:szCs w:val="24"/>
        </w:rPr>
        <w:t xml:space="preserve">new substantive thresholds </w:t>
      </w:r>
      <w:r w:rsidR="00F74A66">
        <w:rPr>
          <w:rFonts w:ascii="Times New Roman" w:hAnsi="Times New Roman" w:cs="Times New Roman"/>
          <w:sz w:val="24"/>
          <w:szCs w:val="24"/>
        </w:rPr>
        <w:t>s</w:t>
      </w:r>
      <w:r w:rsidR="00734280">
        <w:rPr>
          <w:rFonts w:ascii="Times New Roman" w:hAnsi="Times New Roman" w:cs="Times New Roman"/>
          <w:sz w:val="24"/>
          <w:szCs w:val="24"/>
        </w:rPr>
        <w:t>erve</w:t>
      </w:r>
      <w:r w:rsidR="00F74A66">
        <w:rPr>
          <w:rFonts w:ascii="Times New Roman" w:hAnsi="Times New Roman" w:cs="Times New Roman"/>
          <w:sz w:val="24"/>
          <w:szCs w:val="24"/>
        </w:rPr>
        <w:t xml:space="preserve"> any meaningful</w:t>
      </w:r>
      <w:r w:rsidR="00801F34">
        <w:rPr>
          <w:rFonts w:ascii="Times New Roman" w:hAnsi="Times New Roman" w:cs="Times New Roman"/>
          <w:sz w:val="24"/>
          <w:szCs w:val="24"/>
        </w:rPr>
        <w:t xml:space="preserve"> purpose</w:t>
      </w:r>
      <w:r w:rsidR="00734280">
        <w:rPr>
          <w:rFonts w:ascii="Times New Roman" w:hAnsi="Times New Roman" w:cs="Times New Roman"/>
          <w:sz w:val="24"/>
          <w:szCs w:val="24"/>
        </w:rPr>
        <w:t xml:space="preserve">.  The discussion finally </w:t>
      </w:r>
      <w:r w:rsidR="00016897">
        <w:rPr>
          <w:rFonts w:ascii="Times New Roman" w:hAnsi="Times New Roman" w:cs="Times New Roman"/>
          <w:sz w:val="24"/>
          <w:szCs w:val="24"/>
        </w:rPr>
        <w:t xml:space="preserve">proceeds </w:t>
      </w:r>
      <w:r w:rsidR="00801F34">
        <w:rPr>
          <w:rFonts w:ascii="Times New Roman" w:hAnsi="Times New Roman" w:cs="Times New Roman"/>
          <w:sz w:val="24"/>
          <w:szCs w:val="24"/>
        </w:rPr>
        <w:t xml:space="preserve">to </w:t>
      </w:r>
      <w:r w:rsidR="00732818">
        <w:rPr>
          <w:rFonts w:ascii="Times New Roman" w:hAnsi="Times New Roman" w:cs="Times New Roman"/>
          <w:sz w:val="24"/>
          <w:szCs w:val="24"/>
        </w:rPr>
        <w:t xml:space="preserve">investigate the other safeguards </w:t>
      </w:r>
      <w:r w:rsidR="00801F34">
        <w:rPr>
          <w:rFonts w:ascii="Times New Roman" w:hAnsi="Times New Roman" w:cs="Times New Roman"/>
          <w:sz w:val="24"/>
          <w:szCs w:val="24"/>
        </w:rPr>
        <w:t xml:space="preserve">introduced by the </w:t>
      </w:r>
      <w:r w:rsidR="00801F34">
        <w:rPr>
          <w:rFonts w:ascii="Times New Roman" w:hAnsi="Times New Roman" w:cs="Times New Roman"/>
          <w:sz w:val="24"/>
          <w:szCs w:val="24"/>
        </w:rPr>
        <w:lastRenderedPageBreak/>
        <w:t xml:space="preserve">Act, focusing on the obligations placed on </w:t>
      </w:r>
      <w:r w:rsidR="00780117">
        <w:rPr>
          <w:rFonts w:ascii="Times New Roman" w:hAnsi="Times New Roman" w:cs="Times New Roman"/>
          <w:sz w:val="24"/>
          <w:szCs w:val="24"/>
        </w:rPr>
        <w:t>the researcher, the co</w:t>
      </w:r>
      <w:r w:rsidR="00C507D8">
        <w:rPr>
          <w:rFonts w:ascii="Times New Roman" w:hAnsi="Times New Roman" w:cs="Times New Roman"/>
          <w:sz w:val="24"/>
          <w:szCs w:val="24"/>
        </w:rPr>
        <w:t xml:space="preserve">nsultee and </w:t>
      </w:r>
      <w:r w:rsidR="00EC4AAB">
        <w:rPr>
          <w:rFonts w:ascii="Times New Roman" w:hAnsi="Times New Roman" w:cs="Times New Roman"/>
          <w:sz w:val="24"/>
          <w:szCs w:val="24"/>
        </w:rPr>
        <w:t xml:space="preserve">MCA </w:t>
      </w:r>
      <w:proofErr w:type="spellStart"/>
      <w:r w:rsidR="00EC4AAB">
        <w:rPr>
          <w:rFonts w:ascii="Times New Roman" w:hAnsi="Times New Roman" w:cs="Times New Roman"/>
          <w:sz w:val="24"/>
          <w:szCs w:val="24"/>
        </w:rPr>
        <w:t>REC</w:t>
      </w:r>
      <w:r w:rsidR="00C507D8">
        <w:rPr>
          <w:rFonts w:ascii="Times New Roman" w:hAnsi="Times New Roman" w:cs="Times New Roman"/>
          <w:sz w:val="24"/>
          <w:szCs w:val="24"/>
        </w:rPr>
        <w:t>s</w:t>
      </w:r>
      <w:r w:rsidR="00780117">
        <w:rPr>
          <w:rFonts w:ascii="Times New Roman" w:hAnsi="Times New Roman" w:cs="Times New Roman"/>
          <w:sz w:val="24"/>
          <w:szCs w:val="24"/>
        </w:rPr>
        <w:t>.</w:t>
      </w:r>
      <w:proofErr w:type="spellEnd"/>
      <w:r w:rsidR="001E3E5A">
        <w:rPr>
          <w:rFonts w:ascii="Times New Roman" w:hAnsi="Times New Roman" w:cs="Times New Roman"/>
          <w:sz w:val="24"/>
          <w:szCs w:val="24"/>
        </w:rPr>
        <w:t xml:space="preserve">  We </w:t>
      </w:r>
      <w:r w:rsidR="00175754">
        <w:rPr>
          <w:rFonts w:ascii="Times New Roman" w:hAnsi="Times New Roman" w:cs="Times New Roman"/>
          <w:sz w:val="24"/>
          <w:szCs w:val="24"/>
        </w:rPr>
        <w:t xml:space="preserve">assert </w:t>
      </w:r>
      <w:r w:rsidR="00780117">
        <w:rPr>
          <w:rFonts w:ascii="Times New Roman" w:hAnsi="Times New Roman" w:cs="Times New Roman"/>
          <w:sz w:val="24"/>
          <w:szCs w:val="24"/>
        </w:rPr>
        <w:t xml:space="preserve">that </w:t>
      </w:r>
      <w:r w:rsidR="00EC4AAB">
        <w:rPr>
          <w:rFonts w:ascii="Times New Roman" w:hAnsi="Times New Roman" w:cs="Times New Roman"/>
          <w:sz w:val="24"/>
          <w:szCs w:val="24"/>
        </w:rPr>
        <w:t xml:space="preserve">contrasting </w:t>
      </w:r>
      <w:r w:rsidR="00016897">
        <w:rPr>
          <w:rFonts w:ascii="Times New Roman" w:hAnsi="Times New Roman" w:cs="Times New Roman"/>
          <w:sz w:val="24"/>
          <w:szCs w:val="24"/>
        </w:rPr>
        <w:t xml:space="preserve">obligations </w:t>
      </w:r>
      <w:r w:rsidR="00780117">
        <w:rPr>
          <w:rFonts w:ascii="Times New Roman" w:hAnsi="Times New Roman" w:cs="Times New Roman"/>
          <w:sz w:val="24"/>
          <w:szCs w:val="24"/>
        </w:rPr>
        <w:t>and expectations are placed on different parties</w:t>
      </w:r>
      <w:r w:rsidR="00734280">
        <w:rPr>
          <w:rFonts w:ascii="Times New Roman" w:hAnsi="Times New Roman" w:cs="Times New Roman"/>
          <w:sz w:val="24"/>
          <w:szCs w:val="24"/>
        </w:rPr>
        <w:t xml:space="preserve"> in the approval process</w:t>
      </w:r>
      <w:r w:rsidR="00513016">
        <w:rPr>
          <w:rFonts w:ascii="Times New Roman" w:hAnsi="Times New Roman" w:cs="Times New Roman"/>
          <w:sz w:val="24"/>
          <w:szCs w:val="24"/>
        </w:rPr>
        <w:t>,</w:t>
      </w:r>
      <w:r w:rsidR="00734280">
        <w:rPr>
          <w:rFonts w:ascii="Times New Roman" w:hAnsi="Times New Roman" w:cs="Times New Roman"/>
          <w:sz w:val="24"/>
          <w:szCs w:val="24"/>
        </w:rPr>
        <w:t xml:space="preserve"> which creates a </w:t>
      </w:r>
      <w:r w:rsidR="00801F34">
        <w:rPr>
          <w:rFonts w:ascii="Times New Roman" w:hAnsi="Times New Roman" w:cs="Times New Roman"/>
          <w:sz w:val="24"/>
          <w:szCs w:val="24"/>
        </w:rPr>
        <w:t xml:space="preserve">blurred </w:t>
      </w:r>
      <w:r w:rsidR="00F74A66">
        <w:rPr>
          <w:rFonts w:ascii="Times New Roman" w:hAnsi="Times New Roman" w:cs="Times New Roman"/>
          <w:sz w:val="24"/>
          <w:szCs w:val="24"/>
        </w:rPr>
        <w:t>sense of responsibility</w:t>
      </w:r>
      <w:r w:rsidR="001E3E5A">
        <w:rPr>
          <w:rFonts w:ascii="Times New Roman" w:hAnsi="Times New Roman" w:cs="Times New Roman"/>
          <w:sz w:val="24"/>
          <w:szCs w:val="24"/>
        </w:rPr>
        <w:t xml:space="preserve"> and</w:t>
      </w:r>
      <w:r>
        <w:rPr>
          <w:rFonts w:ascii="Times New Roman" w:hAnsi="Times New Roman" w:cs="Times New Roman"/>
          <w:sz w:val="24"/>
          <w:szCs w:val="24"/>
        </w:rPr>
        <w:t xml:space="preserve"> a potential chilling effect.</w:t>
      </w:r>
    </w:p>
    <w:p w14:paraId="09988DCA" w14:textId="29D9CE5C" w:rsidR="00734280" w:rsidRDefault="00734280" w:rsidP="00732818">
      <w:pPr>
        <w:spacing w:after="0" w:line="240" w:lineRule="auto"/>
        <w:jc w:val="both"/>
        <w:rPr>
          <w:rFonts w:ascii="Times New Roman" w:hAnsi="Times New Roman" w:cs="Times New Roman"/>
          <w:sz w:val="24"/>
          <w:szCs w:val="24"/>
        </w:rPr>
      </w:pPr>
    </w:p>
    <w:p w14:paraId="3C843DC6" w14:textId="77777777" w:rsidR="003D06E0" w:rsidRDefault="00DD3F5B" w:rsidP="007328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003D06E0">
        <w:rPr>
          <w:rFonts w:ascii="Times New Roman" w:hAnsi="Times New Roman" w:cs="Times New Roman"/>
          <w:b/>
          <w:sz w:val="24"/>
          <w:szCs w:val="24"/>
        </w:rPr>
        <w:t>Setting Off on the Wrong Foot</w:t>
      </w:r>
    </w:p>
    <w:p w14:paraId="3842A208" w14:textId="77777777" w:rsidR="006F3312" w:rsidRDefault="006F3312" w:rsidP="00732818">
      <w:pPr>
        <w:spacing w:after="0" w:line="240" w:lineRule="auto"/>
        <w:jc w:val="both"/>
        <w:rPr>
          <w:rFonts w:ascii="Times New Roman" w:hAnsi="Times New Roman" w:cs="Times New Roman"/>
          <w:b/>
          <w:sz w:val="24"/>
          <w:szCs w:val="24"/>
        </w:rPr>
      </w:pPr>
    </w:p>
    <w:p w14:paraId="6F4EE339" w14:textId="77777777" w:rsidR="00732818" w:rsidRDefault="00653EB5" w:rsidP="00732818">
      <w:pPr>
        <w:spacing w:after="0" w:line="360" w:lineRule="auto"/>
        <w:jc w:val="both"/>
        <w:rPr>
          <w:rFonts w:ascii="Times New Roman" w:hAnsi="Times New Roman" w:cs="Times New Roman"/>
          <w:b/>
          <w:i/>
          <w:sz w:val="24"/>
          <w:szCs w:val="24"/>
        </w:rPr>
      </w:pPr>
      <w:proofErr w:type="spellStart"/>
      <w:r w:rsidRPr="00653EB5">
        <w:rPr>
          <w:rFonts w:ascii="Times New Roman" w:hAnsi="Times New Roman" w:cs="Times New Roman"/>
          <w:b/>
          <w:i/>
          <w:sz w:val="24"/>
          <w:szCs w:val="24"/>
        </w:rPr>
        <w:t>i</w:t>
      </w:r>
      <w:proofErr w:type="spellEnd"/>
      <w:r w:rsidRPr="00653EB5">
        <w:rPr>
          <w:rFonts w:ascii="Times New Roman" w:hAnsi="Times New Roman" w:cs="Times New Roman"/>
          <w:b/>
          <w:i/>
          <w:sz w:val="24"/>
          <w:szCs w:val="24"/>
        </w:rPr>
        <w:t>) Imprecise Parameters</w:t>
      </w:r>
    </w:p>
    <w:p w14:paraId="406FE523" w14:textId="7DC3BF4A" w:rsidR="00F277CD" w:rsidRPr="00AD0520" w:rsidRDefault="00732818" w:rsidP="00FB56C1">
      <w:pPr>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Th</w:t>
      </w:r>
      <w:r w:rsidR="00FB56C1">
        <w:rPr>
          <w:rFonts w:ascii="Times New Roman" w:hAnsi="Times New Roman" w:cs="Times New Roman"/>
          <w:sz w:val="24"/>
          <w:szCs w:val="24"/>
        </w:rPr>
        <w:t xml:space="preserve">e provisions of the MCA apply only to ‘intrusive’ research, which is defined as research of a kind that would be unlawful it if was carried </w:t>
      </w:r>
      <w:r w:rsidR="00952F49">
        <w:rPr>
          <w:rFonts w:ascii="Times New Roman" w:hAnsi="Times New Roman" w:cs="Times New Roman"/>
          <w:sz w:val="24"/>
          <w:szCs w:val="24"/>
        </w:rPr>
        <w:t xml:space="preserve">out </w:t>
      </w:r>
      <w:r w:rsidR="00FB56C1">
        <w:rPr>
          <w:rFonts w:ascii="Times New Roman" w:hAnsi="Times New Roman" w:cs="Times New Roman"/>
          <w:sz w:val="24"/>
          <w:szCs w:val="24"/>
        </w:rPr>
        <w:t>on</w:t>
      </w:r>
      <w:r w:rsidR="00952F49">
        <w:rPr>
          <w:rFonts w:ascii="Times New Roman" w:hAnsi="Times New Roman" w:cs="Times New Roman"/>
          <w:sz w:val="24"/>
          <w:szCs w:val="24"/>
        </w:rPr>
        <w:t>,</w:t>
      </w:r>
      <w:r w:rsidR="00FB56C1">
        <w:rPr>
          <w:rFonts w:ascii="Times New Roman" w:hAnsi="Times New Roman" w:cs="Times New Roman"/>
          <w:sz w:val="24"/>
          <w:szCs w:val="24"/>
        </w:rPr>
        <w:t xml:space="preserve"> or in relation to</w:t>
      </w:r>
      <w:r w:rsidR="00952F49">
        <w:rPr>
          <w:rFonts w:ascii="Times New Roman" w:hAnsi="Times New Roman" w:cs="Times New Roman"/>
          <w:sz w:val="24"/>
          <w:szCs w:val="24"/>
        </w:rPr>
        <w:t>,</w:t>
      </w:r>
      <w:r w:rsidR="00FB56C1">
        <w:rPr>
          <w:rFonts w:ascii="Times New Roman" w:hAnsi="Times New Roman" w:cs="Times New Roman"/>
          <w:sz w:val="24"/>
          <w:szCs w:val="24"/>
        </w:rPr>
        <w:t xml:space="preserve"> a person who had capacity to consent to it, but without his consent.</w:t>
      </w:r>
      <w:r w:rsidR="00FB56C1">
        <w:rPr>
          <w:rStyle w:val="FootnoteReference"/>
          <w:rFonts w:ascii="Times New Roman" w:hAnsi="Times New Roman" w:cs="Times New Roman"/>
          <w:sz w:val="24"/>
          <w:szCs w:val="24"/>
        </w:rPr>
        <w:footnoteReference w:id="17"/>
      </w:r>
      <w:r w:rsidR="00FB56C1">
        <w:rPr>
          <w:rFonts w:ascii="Times New Roman" w:hAnsi="Times New Roman" w:cs="Times New Roman"/>
          <w:sz w:val="24"/>
          <w:szCs w:val="24"/>
        </w:rPr>
        <w:t xml:space="preserve">  </w:t>
      </w:r>
      <w:r w:rsidR="003D5BD8">
        <w:rPr>
          <w:rFonts w:ascii="Times New Roman" w:hAnsi="Times New Roman" w:cs="Times New Roman"/>
          <w:sz w:val="24"/>
          <w:szCs w:val="24"/>
        </w:rPr>
        <w:t xml:space="preserve">It is only if research falls within this </w:t>
      </w:r>
      <w:r w:rsidR="00203B19">
        <w:rPr>
          <w:rFonts w:ascii="Times New Roman" w:hAnsi="Times New Roman" w:cs="Times New Roman"/>
          <w:sz w:val="24"/>
          <w:szCs w:val="24"/>
        </w:rPr>
        <w:t xml:space="preserve">category </w:t>
      </w:r>
      <w:r w:rsidR="003D5BD8">
        <w:rPr>
          <w:rFonts w:ascii="Times New Roman" w:hAnsi="Times New Roman" w:cs="Times New Roman"/>
          <w:sz w:val="24"/>
          <w:szCs w:val="24"/>
        </w:rPr>
        <w:t>that the further provisions of the MCA will be engaged.</w:t>
      </w:r>
      <w:r w:rsidR="00AD0520">
        <w:rPr>
          <w:rFonts w:ascii="Times New Roman" w:hAnsi="Times New Roman" w:cs="Times New Roman"/>
          <w:b/>
          <w:i/>
          <w:sz w:val="24"/>
          <w:szCs w:val="24"/>
        </w:rPr>
        <w:t xml:space="preserve">  </w:t>
      </w:r>
      <w:r w:rsidR="00750F42">
        <w:rPr>
          <w:rFonts w:ascii="Times New Roman" w:hAnsi="Times New Roman" w:cs="Times New Roman"/>
          <w:sz w:val="24"/>
          <w:szCs w:val="24"/>
        </w:rPr>
        <w:t xml:space="preserve">The </w:t>
      </w:r>
      <w:r w:rsidR="004D3BEB">
        <w:rPr>
          <w:rFonts w:ascii="Times New Roman" w:hAnsi="Times New Roman" w:cs="Times New Roman"/>
          <w:sz w:val="24"/>
          <w:szCs w:val="24"/>
        </w:rPr>
        <w:t xml:space="preserve">principal focus of this </w:t>
      </w:r>
      <w:r w:rsidR="00CA34B4">
        <w:rPr>
          <w:rFonts w:ascii="Times New Roman" w:hAnsi="Times New Roman" w:cs="Times New Roman"/>
          <w:sz w:val="24"/>
          <w:szCs w:val="24"/>
        </w:rPr>
        <w:t>definition</w:t>
      </w:r>
      <w:r w:rsidR="004D3BEB">
        <w:rPr>
          <w:rFonts w:ascii="Times New Roman" w:hAnsi="Times New Roman" w:cs="Times New Roman"/>
          <w:sz w:val="24"/>
          <w:szCs w:val="24"/>
        </w:rPr>
        <w:t xml:space="preserve"> </w:t>
      </w:r>
      <w:r w:rsidR="00BC1A74">
        <w:rPr>
          <w:rFonts w:ascii="Times New Roman" w:hAnsi="Times New Roman" w:cs="Times New Roman"/>
          <w:sz w:val="24"/>
          <w:szCs w:val="24"/>
        </w:rPr>
        <w:t>initially appeared</w:t>
      </w:r>
      <w:r w:rsidR="004D3BEB">
        <w:rPr>
          <w:rFonts w:ascii="Times New Roman" w:hAnsi="Times New Roman" w:cs="Times New Roman"/>
          <w:sz w:val="24"/>
          <w:szCs w:val="24"/>
        </w:rPr>
        <w:t xml:space="preserve"> to be on </w:t>
      </w:r>
      <w:r w:rsidR="00952F49">
        <w:rPr>
          <w:rFonts w:ascii="Times New Roman" w:hAnsi="Times New Roman" w:cs="Times New Roman"/>
          <w:sz w:val="24"/>
          <w:szCs w:val="24"/>
        </w:rPr>
        <w:t xml:space="preserve">invasive </w:t>
      </w:r>
      <w:r w:rsidR="00DE68FA">
        <w:rPr>
          <w:rFonts w:ascii="Times New Roman" w:hAnsi="Times New Roman" w:cs="Times New Roman"/>
          <w:sz w:val="24"/>
          <w:szCs w:val="24"/>
        </w:rPr>
        <w:t>medical research, typically involving</w:t>
      </w:r>
      <w:r w:rsidR="00C507D8">
        <w:rPr>
          <w:rFonts w:ascii="Times New Roman" w:hAnsi="Times New Roman" w:cs="Times New Roman"/>
          <w:sz w:val="24"/>
          <w:szCs w:val="24"/>
        </w:rPr>
        <w:t xml:space="preserve"> some </w:t>
      </w:r>
      <w:r w:rsidR="00231C74">
        <w:rPr>
          <w:rFonts w:ascii="Times New Roman" w:hAnsi="Times New Roman" w:cs="Times New Roman"/>
          <w:sz w:val="24"/>
          <w:szCs w:val="24"/>
        </w:rPr>
        <w:t xml:space="preserve">physical interference with </w:t>
      </w:r>
      <w:r w:rsidR="00DE68FA">
        <w:rPr>
          <w:rFonts w:ascii="Times New Roman" w:hAnsi="Times New Roman" w:cs="Times New Roman"/>
          <w:sz w:val="24"/>
          <w:szCs w:val="24"/>
        </w:rPr>
        <w:t xml:space="preserve">a </w:t>
      </w:r>
      <w:r w:rsidR="00231C74">
        <w:rPr>
          <w:rFonts w:ascii="Times New Roman" w:hAnsi="Times New Roman" w:cs="Times New Roman"/>
          <w:sz w:val="24"/>
          <w:szCs w:val="24"/>
        </w:rPr>
        <w:t>participant’s body.</w:t>
      </w:r>
      <w:r w:rsidR="00231C74">
        <w:rPr>
          <w:rStyle w:val="FootnoteReference"/>
          <w:rFonts w:ascii="Times New Roman" w:hAnsi="Times New Roman" w:cs="Times New Roman"/>
          <w:sz w:val="24"/>
          <w:szCs w:val="24"/>
        </w:rPr>
        <w:footnoteReference w:id="18"/>
      </w:r>
      <w:r w:rsidR="00952F49">
        <w:rPr>
          <w:rFonts w:ascii="Times New Roman" w:hAnsi="Times New Roman" w:cs="Times New Roman"/>
          <w:sz w:val="24"/>
          <w:szCs w:val="24"/>
        </w:rPr>
        <w:t xml:space="preserve">  Thus, </w:t>
      </w:r>
      <w:r w:rsidR="00231C74">
        <w:rPr>
          <w:rFonts w:ascii="Times New Roman" w:hAnsi="Times New Roman" w:cs="Times New Roman"/>
          <w:sz w:val="24"/>
          <w:szCs w:val="24"/>
        </w:rPr>
        <w:t>if a resear</w:t>
      </w:r>
      <w:r w:rsidR="00750F42">
        <w:rPr>
          <w:rFonts w:ascii="Times New Roman" w:hAnsi="Times New Roman" w:cs="Times New Roman"/>
          <w:sz w:val="24"/>
          <w:szCs w:val="24"/>
        </w:rPr>
        <w:t xml:space="preserve">cher embarked </w:t>
      </w:r>
      <w:r w:rsidR="003D5BD8">
        <w:rPr>
          <w:rFonts w:ascii="Times New Roman" w:hAnsi="Times New Roman" w:cs="Times New Roman"/>
          <w:sz w:val="24"/>
          <w:szCs w:val="24"/>
        </w:rPr>
        <w:t xml:space="preserve">upon a </w:t>
      </w:r>
      <w:r w:rsidR="00DE68FA">
        <w:rPr>
          <w:rFonts w:ascii="Times New Roman" w:hAnsi="Times New Roman" w:cs="Times New Roman"/>
          <w:sz w:val="24"/>
          <w:szCs w:val="24"/>
        </w:rPr>
        <w:t xml:space="preserve">project which involved some </w:t>
      </w:r>
      <w:r w:rsidR="00231C74">
        <w:rPr>
          <w:rFonts w:ascii="Times New Roman" w:hAnsi="Times New Roman" w:cs="Times New Roman"/>
          <w:sz w:val="24"/>
          <w:szCs w:val="24"/>
        </w:rPr>
        <w:t>physical manipulation of a</w:t>
      </w:r>
      <w:r w:rsidR="0046027A">
        <w:rPr>
          <w:rFonts w:ascii="Times New Roman" w:hAnsi="Times New Roman" w:cs="Times New Roman"/>
          <w:sz w:val="24"/>
          <w:szCs w:val="24"/>
        </w:rPr>
        <w:t xml:space="preserve">n incapacitated patient’s knee, that </w:t>
      </w:r>
      <w:r w:rsidR="00750F42">
        <w:rPr>
          <w:rFonts w:ascii="Times New Roman" w:hAnsi="Times New Roman" w:cs="Times New Roman"/>
          <w:sz w:val="24"/>
          <w:szCs w:val="24"/>
        </w:rPr>
        <w:t xml:space="preserve">would amount to ‘intrusive </w:t>
      </w:r>
      <w:r w:rsidR="003D5BD8">
        <w:rPr>
          <w:rFonts w:ascii="Times New Roman" w:hAnsi="Times New Roman" w:cs="Times New Roman"/>
          <w:sz w:val="24"/>
          <w:szCs w:val="24"/>
        </w:rPr>
        <w:t>research</w:t>
      </w:r>
      <w:r w:rsidR="00750F42">
        <w:rPr>
          <w:rFonts w:ascii="Times New Roman" w:hAnsi="Times New Roman" w:cs="Times New Roman"/>
          <w:sz w:val="24"/>
          <w:szCs w:val="24"/>
        </w:rPr>
        <w:t>’</w:t>
      </w:r>
      <w:r w:rsidR="0046027A">
        <w:rPr>
          <w:rFonts w:ascii="Times New Roman" w:hAnsi="Times New Roman" w:cs="Times New Roman"/>
          <w:sz w:val="24"/>
          <w:szCs w:val="24"/>
        </w:rPr>
        <w:t xml:space="preserve">.  The reason for this is that if identical </w:t>
      </w:r>
      <w:r w:rsidR="0083441B">
        <w:rPr>
          <w:rFonts w:ascii="Times New Roman" w:hAnsi="Times New Roman" w:cs="Times New Roman"/>
          <w:sz w:val="24"/>
          <w:szCs w:val="24"/>
        </w:rPr>
        <w:t xml:space="preserve">research </w:t>
      </w:r>
      <w:r w:rsidR="00252155">
        <w:rPr>
          <w:rFonts w:ascii="Times New Roman" w:hAnsi="Times New Roman" w:cs="Times New Roman"/>
          <w:sz w:val="24"/>
          <w:szCs w:val="24"/>
        </w:rPr>
        <w:t xml:space="preserve">were to be performed on a capacitous </w:t>
      </w:r>
      <w:r w:rsidR="003D5BD8">
        <w:rPr>
          <w:rFonts w:ascii="Times New Roman" w:hAnsi="Times New Roman" w:cs="Times New Roman"/>
          <w:sz w:val="24"/>
          <w:szCs w:val="24"/>
        </w:rPr>
        <w:t xml:space="preserve">participant, </w:t>
      </w:r>
      <w:r w:rsidR="00231C74">
        <w:rPr>
          <w:rFonts w:ascii="Times New Roman" w:hAnsi="Times New Roman" w:cs="Times New Roman"/>
          <w:sz w:val="24"/>
          <w:szCs w:val="24"/>
        </w:rPr>
        <w:t xml:space="preserve">her </w:t>
      </w:r>
      <w:r w:rsidR="003D5BD8">
        <w:rPr>
          <w:rFonts w:ascii="Times New Roman" w:hAnsi="Times New Roman" w:cs="Times New Roman"/>
          <w:sz w:val="24"/>
          <w:szCs w:val="24"/>
        </w:rPr>
        <w:t>consent would be needed for it to be lawful</w:t>
      </w:r>
      <w:r w:rsidR="0046027A">
        <w:rPr>
          <w:rFonts w:ascii="Times New Roman" w:hAnsi="Times New Roman" w:cs="Times New Roman"/>
          <w:sz w:val="24"/>
          <w:szCs w:val="24"/>
        </w:rPr>
        <w:t xml:space="preserve"> and not characterised as </w:t>
      </w:r>
      <w:r w:rsidR="00231C74">
        <w:rPr>
          <w:rFonts w:ascii="Times New Roman" w:hAnsi="Times New Roman" w:cs="Times New Roman"/>
          <w:sz w:val="24"/>
          <w:szCs w:val="24"/>
        </w:rPr>
        <w:t>tortious battery.</w:t>
      </w:r>
      <w:r w:rsidR="00252155">
        <w:rPr>
          <w:rStyle w:val="FootnoteReference"/>
          <w:rFonts w:ascii="Times New Roman" w:hAnsi="Times New Roman" w:cs="Times New Roman"/>
          <w:sz w:val="24"/>
          <w:szCs w:val="24"/>
        </w:rPr>
        <w:footnoteReference w:id="19"/>
      </w:r>
      <w:r w:rsidR="00252155">
        <w:rPr>
          <w:rFonts w:ascii="Times New Roman" w:hAnsi="Times New Roman" w:cs="Times New Roman"/>
          <w:sz w:val="24"/>
          <w:szCs w:val="24"/>
        </w:rPr>
        <w:t xml:space="preserve">  </w:t>
      </w:r>
      <w:r w:rsidR="0083441B">
        <w:rPr>
          <w:rFonts w:ascii="Times New Roman" w:hAnsi="Times New Roman" w:cs="Times New Roman"/>
          <w:sz w:val="24"/>
          <w:szCs w:val="24"/>
        </w:rPr>
        <w:t>Nevertheless,</w:t>
      </w:r>
      <w:r w:rsidR="00203B19">
        <w:rPr>
          <w:rFonts w:ascii="Times New Roman" w:hAnsi="Times New Roman" w:cs="Times New Roman"/>
          <w:sz w:val="24"/>
          <w:szCs w:val="24"/>
        </w:rPr>
        <w:t xml:space="preserve"> there is a </w:t>
      </w:r>
      <w:r w:rsidR="003D5BD8">
        <w:rPr>
          <w:rFonts w:ascii="Times New Roman" w:hAnsi="Times New Roman" w:cs="Times New Roman"/>
          <w:sz w:val="24"/>
          <w:szCs w:val="24"/>
        </w:rPr>
        <w:t>grey ar</w:t>
      </w:r>
      <w:r w:rsidR="00CA34B4">
        <w:rPr>
          <w:rFonts w:ascii="Times New Roman" w:hAnsi="Times New Roman" w:cs="Times New Roman"/>
          <w:sz w:val="24"/>
          <w:szCs w:val="24"/>
        </w:rPr>
        <w:t>ea</w:t>
      </w:r>
      <w:r w:rsidR="00203B19">
        <w:rPr>
          <w:rFonts w:ascii="Times New Roman" w:hAnsi="Times New Roman" w:cs="Times New Roman"/>
          <w:sz w:val="24"/>
          <w:szCs w:val="24"/>
        </w:rPr>
        <w:t xml:space="preserve"> in the legislation </w:t>
      </w:r>
      <w:r w:rsidR="00DE68FA">
        <w:rPr>
          <w:rFonts w:ascii="Times New Roman" w:hAnsi="Times New Roman" w:cs="Times New Roman"/>
          <w:sz w:val="24"/>
          <w:szCs w:val="24"/>
        </w:rPr>
        <w:t>that call</w:t>
      </w:r>
      <w:r w:rsidR="00CA34B4">
        <w:rPr>
          <w:rFonts w:ascii="Times New Roman" w:hAnsi="Times New Roman" w:cs="Times New Roman"/>
          <w:sz w:val="24"/>
          <w:szCs w:val="24"/>
        </w:rPr>
        <w:t>s</w:t>
      </w:r>
      <w:r w:rsidR="00DE68FA">
        <w:rPr>
          <w:rFonts w:ascii="Times New Roman" w:hAnsi="Times New Roman" w:cs="Times New Roman"/>
          <w:sz w:val="24"/>
          <w:szCs w:val="24"/>
        </w:rPr>
        <w:t xml:space="preserve"> into question </w:t>
      </w:r>
      <w:r w:rsidR="00CA34B4">
        <w:rPr>
          <w:rFonts w:ascii="Times New Roman" w:hAnsi="Times New Roman" w:cs="Times New Roman"/>
          <w:sz w:val="24"/>
          <w:szCs w:val="24"/>
        </w:rPr>
        <w:t>certain types of non-invasive research.</w:t>
      </w:r>
    </w:p>
    <w:p w14:paraId="1FB64B0E" w14:textId="7DF95F66" w:rsidR="00386974" w:rsidRDefault="00972FD1" w:rsidP="001A2B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Observational research, for example, raises a number of issues and arguably recasts the</w:t>
      </w:r>
      <w:r w:rsidR="00886F7E">
        <w:rPr>
          <w:rFonts w:ascii="Times New Roman" w:hAnsi="Times New Roman" w:cs="Times New Roman"/>
          <w:sz w:val="24"/>
          <w:szCs w:val="24"/>
        </w:rPr>
        <w:t xml:space="preserve"> original scope of the MCA</w:t>
      </w:r>
      <w:r w:rsidR="00CA34B4">
        <w:rPr>
          <w:rFonts w:ascii="Times New Roman" w:hAnsi="Times New Roman" w:cs="Times New Roman"/>
          <w:sz w:val="24"/>
          <w:szCs w:val="24"/>
        </w:rPr>
        <w:t>’s research provisions</w:t>
      </w:r>
      <w:r w:rsidR="00886F7E">
        <w:rPr>
          <w:rFonts w:ascii="Times New Roman" w:hAnsi="Times New Roman" w:cs="Times New Roman"/>
          <w:sz w:val="24"/>
          <w:szCs w:val="24"/>
        </w:rPr>
        <w:t xml:space="preserve">.  </w:t>
      </w:r>
      <w:r w:rsidR="00685B13">
        <w:rPr>
          <w:rFonts w:ascii="Times New Roman" w:hAnsi="Times New Roman" w:cs="Times New Roman"/>
          <w:sz w:val="24"/>
          <w:szCs w:val="24"/>
        </w:rPr>
        <w:t>In order for this type</w:t>
      </w:r>
      <w:r w:rsidR="00886F7E">
        <w:rPr>
          <w:rFonts w:ascii="Times New Roman" w:hAnsi="Times New Roman" w:cs="Times New Roman"/>
          <w:sz w:val="24"/>
          <w:szCs w:val="24"/>
        </w:rPr>
        <w:t xml:space="preserve"> of </w:t>
      </w:r>
      <w:r w:rsidR="00B5418A">
        <w:rPr>
          <w:rFonts w:ascii="Times New Roman" w:hAnsi="Times New Roman" w:cs="Times New Roman"/>
          <w:sz w:val="24"/>
          <w:szCs w:val="24"/>
        </w:rPr>
        <w:t xml:space="preserve">activity </w:t>
      </w:r>
      <w:r w:rsidR="00886F7E">
        <w:rPr>
          <w:rFonts w:ascii="Times New Roman" w:hAnsi="Times New Roman" w:cs="Times New Roman"/>
          <w:sz w:val="24"/>
          <w:szCs w:val="24"/>
        </w:rPr>
        <w:t xml:space="preserve">to fall within the </w:t>
      </w:r>
      <w:r w:rsidR="00685B13">
        <w:rPr>
          <w:rFonts w:ascii="Times New Roman" w:hAnsi="Times New Roman" w:cs="Times New Roman"/>
          <w:sz w:val="24"/>
          <w:szCs w:val="24"/>
        </w:rPr>
        <w:t>de</w:t>
      </w:r>
      <w:r w:rsidR="00886F7E">
        <w:rPr>
          <w:rFonts w:ascii="Times New Roman" w:hAnsi="Times New Roman" w:cs="Times New Roman"/>
          <w:sz w:val="24"/>
          <w:szCs w:val="24"/>
        </w:rPr>
        <w:t xml:space="preserve">finition of intrusive research, </w:t>
      </w:r>
      <w:r w:rsidR="00CA34B4">
        <w:rPr>
          <w:rFonts w:ascii="Times New Roman" w:hAnsi="Times New Roman" w:cs="Times New Roman"/>
          <w:sz w:val="24"/>
          <w:szCs w:val="24"/>
        </w:rPr>
        <w:t xml:space="preserve">a </w:t>
      </w:r>
      <w:r w:rsidR="00685B13">
        <w:rPr>
          <w:rFonts w:ascii="Times New Roman" w:hAnsi="Times New Roman" w:cs="Times New Roman"/>
          <w:sz w:val="24"/>
          <w:szCs w:val="24"/>
        </w:rPr>
        <w:t xml:space="preserve">rule of law </w:t>
      </w:r>
      <w:r w:rsidR="00DE68FA">
        <w:rPr>
          <w:rFonts w:ascii="Times New Roman" w:hAnsi="Times New Roman" w:cs="Times New Roman"/>
          <w:sz w:val="24"/>
          <w:szCs w:val="24"/>
        </w:rPr>
        <w:t xml:space="preserve">must be identified </w:t>
      </w:r>
      <w:r w:rsidR="00685B13">
        <w:rPr>
          <w:rFonts w:ascii="Times New Roman" w:hAnsi="Times New Roman" w:cs="Times New Roman"/>
          <w:sz w:val="24"/>
          <w:szCs w:val="24"/>
        </w:rPr>
        <w:t>that would cause</w:t>
      </w:r>
      <w:r w:rsidR="00203B19">
        <w:rPr>
          <w:rFonts w:ascii="Times New Roman" w:hAnsi="Times New Roman" w:cs="Times New Roman"/>
          <w:sz w:val="24"/>
          <w:szCs w:val="24"/>
        </w:rPr>
        <w:t xml:space="preserve"> the</w:t>
      </w:r>
      <w:r w:rsidR="00886F7E">
        <w:rPr>
          <w:rFonts w:ascii="Times New Roman" w:hAnsi="Times New Roman" w:cs="Times New Roman"/>
          <w:sz w:val="24"/>
          <w:szCs w:val="24"/>
        </w:rPr>
        <w:t xml:space="preserve"> </w:t>
      </w:r>
      <w:r w:rsidR="00203B19">
        <w:rPr>
          <w:rFonts w:ascii="Times New Roman" w:hAnsi="Times New Roman" w:cs="Times New Roman"/>
          <w:sz w:val="24"/>
          <w:szCs w:val="24"/>
        </w:rPr>
        <w:t xml:space="preserve">research </w:t>
      </w:r>
      <w:r w:rsidR="00886F7E">
        <w:rPr>
          <w:rFonts w:ascii="Times New Roman" w:hAnsi="Times New Roman" w:cs="Times New Roman"/>
          <w:sz w:val="24"/>
          <w:szCs w:val="24"/>
        </w:rPr>
        <w:t xml:space="preserve">to be unlawful if it were to be carried out </w:t>
      </w:r>
      <w:r w:rsidR="00685B13">
        <w:rPr>
          <w:rFonts w:ascii="Times New Roman" w:hAnsi="Times New Roman" w:cs="Times New Roman"/>
          <w:sz w:val="24"/>
          <w:szCs w:val="24"/>
        </w:rPr>
        <w:t>on a</w:t>
      </w:r>
      <w:r w:rsidR="00CA34B4">
        <w:rPr>
          <w:rFonts w:ascii="Times New Roman" w:hAnsi="Times New Roman" w:cs="Times New Roman"/>
          <w:sz w:val="24"/>
          <w:szCs w:val="24"/>
        </w:rPr>
        <w:t xml:space="preserve"> non-consenting </w:t>
      </w:r>
      <w:r w:rsidR="00685B13">
        <w:rPr>
          <w:rFonts w:ascii="Times New Roman" w:hAnsi="Times New Roman" w:cs="Times New Roman"/>
          <w:sz w:val="24"/>
          <w:szCs w:val="24"/>
        </w:rPr>
        <w:t>capacit</w:t>
      </w:r>
      <w:r w:rsidR="00886F7E">
        <w:rPr>
          <w:rFonts w:ascii="Times New Roman" w:hAnsi="Times New Roman" w:cs="Times New Roman"/>
          <w:sz w:val="24"/>
          <w:szCs w:val="24"/>
        </w:rPr>
        <w:t>ous patient.</w:t>
      </w:r>
      <w:r w:rsidR="00685B13">
        <w:rPr>
          <w:rStyle w:val="FootnoteReference"/>
          <w:rFonts w:ascii="Times New Roman" w:hAnsi="Times New Roman" w:cs="Times New Roman"/>
          <w:sz w:val="24"/>
          <w:szCs w:val="24"/>
        </w:rPr>
        <w:footnoteReference w:id="20"/>
      </w:r>
      <w:r w:rsidR="00734C26">
        <w:rPr>
          <w:rFonts w:ascii="Times New Roman" w:hAnsi="Times New Roman" w:cs="Times New Roman"/>
          <w:sz w:val="24"/>
          <w:szCs w:val="24"/>
        </w:rPr>
        <w:t xml:space="preserve">  B</w:t>
      </w:r>
      <w:r w:rsidR="00685B13">
        <w:rPr>
          <w:rFonts w:ascii="Times New Roman" w:hAnsi="Times New Roman" w:cs="Times New Roman"/>
          <w:sz w:val="24"/>
          <w:szCs w:val="24"/>
        </w:rPr>
        <w:t>attery would</w:t>
      </w:r>
      <w:r w:rsidR="00734C26">
        <w:rPr>
          <w:rFonts w:ascii="Times New Roman" w:hAnsi="Times New Roman" w:cs="Times New Roman"/>
          <w:sz w:val="24"/>
          <w:szCs w:val="24"/>
        </w:rPr>
        <w:t xml:space="preserve"> not apply unless there was any unauthorised touching, and this would seldom occur in most types of observational research.</w:t>
      </w:r>
      <w:r w:rsidR="008D4517">
        <w:rPr>
          <w:rStyle w:val="FootnoteReference"/>
          <w:rFonts w:ascii="Times New Roman" w:hAnsi="Times New Roman" w:cs="Times New Roman"/>
          <w:sz w:val="24"/>
          <w:szCs w:val="24"/>
        </w:rPr>
        <w:footnoteReference w:id="21"/>
      </w:r>
      <w:r w:rsidR="00734C26">
        <w:rPr>
          <w:rFonts w:ascii="Times New Roman" w:hAnsi="Times New Roman" w:cs="Times New Roman"/>
          <w:sz w:val="24"/>
          <w:szCs w:val="24"/>
        </w:rPr>
        <w:t xml:space="preserve">  </w:t>
      </w:r>
      <w:r w:rsidR="00322E6F">
        <w:rPr>
          <w:rFonts w:ascii="Times New Roman" w:hAnsi="Times New Roman" w:cs="Times New Roman"/>
          <w:sz w:val="24"/>
          <w:szCs w:val="24"/>
        </w:rPr>
        <w:t>Bartlet</w:t>
      </w:r>
      <w:r w:rsidR="00734C26">
        <w:rPr>
          <w:rFonts w:ascii="Times New Roman" w:hAnsi="Times New Roman" w:cs="Times New Roman"/>
          <w:sz w:val="24"/>
          <w:szCs w:val="24"/>
        </w:rPr>
        <w:t xml:space="preserve">t, however, argues that </w:t>
      </w:r>
      <w:r w:rsidR="0014003A">
        <w:rPr>
          <w:rFonts w:ascii="Times New Roman" w:hAnsi="Times New Roman" w:cs="Times New Roman"/>
          <w:sz w:val="24"/>
          <w:szCs w:val="24"/>
        </w:rPr>
        <w:t>Article 8 of the European Convention on Human Rights (ECHR) could be engaged</w:t>
      </w:r>
      <w:r w:rsidR="00C549D3">
        <w:rPr>
          <w:rFonts w:ascii="Times New Roman" w:hAnsi="Times New Roman" w:cs="Times New Roman"/>
          <w:sz w:val="24"/>
          <w:szCs w:val="24"/>
        </w:rPr>
        <w:t xml:space="preserve"> to render some observational research unlawful, where a capacitous participant </w:t>
      </w:r>
      <w:r w:rsidR="0046027A">
        <w:rPr>
          <w:rFonts w:ascii="Times New Roman" w:hAnsi="Times New Roman" w:cs="Times New Roman"/>
          <w:sz w:val="24"/>
          <w:szCs w:val="24"/>
        </w:rPr>
        <w:t xml:space="preserve">did not consent </w:t>
      </w:r>
      <w:r w:rsidR="00C549D3">
        <w:rPr>
          <w:rFonts w:ascii="Times New Roman" w:hAnsi="Times New Roman" w:cs="Times New Roman"/>
          <w:sz w:val="24"/>
          <w:szCs w:val="24"/>
        </w:rPr>
        <w:t>to it</w:t>
      </w:r>
      <w:r w:rsidR="008B314B">
        <w:rPr>
          <w:rFonts w:ascii="Times New Roman" w:hAnsi="Times New Roman" w:cs="Times New Roman"/>
          <w:sz w:val="24"/>
          <w:szCs w:val="24"/>
        </w:rPr>
        <w:t>.</w:t>
      </w:r>
      <w:r w:rsidR="0076773C">
        <w:rPr>
          <w:rStyle w:val="FootnoteReference"/>
          <w:rFonts w:ascii="Times New Roman" w:hAnsi="Times New Roman" w:cs="Times New Roman"/>
          <w:sz w:val="24"/>
          <w:szCs w:val="24"/>
        </w:rPr>
        <w:footnoteReference w:id="22"/>
      </w:r>
      <w:r w:rsidR="00386974">
        <w:rPr>
          <w:rFonts w:ascii="Times New Roman" w:hAnsi="Times New Roman" w:cs="Times New Roman"/>
          <w:sz w:val="24"/>
          <w:szCs w:val="24"/>
        </w:rPr>
        <w:t xml:space="preserve">  Article </w:t>
      </w:r>
      <w:r w:rsidR="00386974">
        <w:rPr>
          <w:rFonts w:ascii="Times New Roman" w:hAnsi="Times New Roman" w:cs="Times New Roman"/>
          <w:sz w:val="24"/>
          <w:szCs w:val="24"/>
        </w:rPr>
        <w:lastRenderedPageBreak/>
        <w:t>8 (1) of the ECHR provides that e</w:t>
      </w:r>
      <w:r w:rsidR="00386974" w:rsidRPr="008B314B">
        <w:rPr>
          <w:rFonts w:ascii="Times New Roman" w:hAnsi="Times New Roman" w:cs="Times New Roman"/>
          <w:sz w:val="24"/>
          <w:szCs w:val="24"/>
        </w:rPr>
        <w:t>veryone has the right to respect for his private and family life, his home</w:t>
      </w:r>
      <w:r w:rsidR="00386974">
        <w:rPr>
          <w:rFonts w:ascii="Times New Roman" w:hAnsi="Times New Roman" w:cs="Times New Roman"/>
          <w:sz w:val="24"/>
          <w:szCs w:val="24"/>
        </w:rPr>
        <w:t xml:space="preserve"> and his correspondence, and section 6 (1) of the Human Rights Act 1998 states that it </w:t>
      </w:r>
      <w:r w:rsidR="00386974" w:rsidRPr="00386974">
        <w:rPr>
          <w:rFonts w:ascii="Times New Roman" w:hAnsi="Times New Roman" w:cs="Times New Roman"/>
          <w:sz w:val="24"/>
          <w:szCs w:val="24"/>
        </w:rPr>
        <w:t>is unlawful for a public authority</w:t>
      </w:r>
      <w:r w:rsidR="00386974">
        <w:rPr>
          <w:rFonts w:ascii="Times New Roman" w:hAnsi="Times New Roman" w:cs="Times New Roman"/>
          <w:sz w:val="24"/>
          <w:szCs w:val="24"/>
        </w:rPr>
        <w:t>, such as an NHS body</w:t>
      </w:r>
      <w:r w:rsidR="0046027A">
        <w:rPr>
          <w:rFonts w:ascii="Times New Roman" w:hAnsi="Times New Roman" w:cs="Times New Roman"/>
          <w:sz w:val="24"/>
          <w:szCs w:val="24"/>
        </w:rPr>
        <w:t xml:space="preserve"> or a university</w:t>
      </w:r>
      <w:r w:rsidR="00386974">
        <w:rPr>
          <w:rFonts w:ascii="Times New Roman" w:hAnsi="Times New Roman" w:cs="Times New Roman"/>
          <w:sz w:val="24"/>
          <w:szCs w:val="24"/>
        </w:rPr>
        <w:t xml:space="preserve">, </w:t>
      </w:r>
      <w:r w:rsidR="00386974" w:rsidRPr="00386974">
        <w:rPr>
          <w:rFonts w:ascii="Times New Roman" w:hAnsi="Times New Roman" w:cs="Times New Roman"/>
          <w:sz w:val="24"/>
          <w:szCs w:val="24"/>
        </w:rPr>
        <w:t>to act in a way which is incompatible with a Convention right</w:t>
      </w:r>
      <w:r w:rsidR="00386974">
        <w:rPr>
          <w:rFonts w:ascii="Times New Roman" w:hAnsi="Times New Roman" w:cs="Times New Roman"/>
          <w:sz w:val="24"/>
          <w:szCs w:val="24"/>
        </w:rPr>
        <w:t>.</w:t>
      </w:r>
      <w:r w:rsidR="0076773C">
        <w:rPr>
          <w:rStyle w:val="FootnoteReference"/>
          <w:rFonts w:ascii="Times New Roman" w:hAnsi="Times New Roman" w:cs="Times New Roman"/>
          <w:sz w:val="24"/>
          <w:szCs w:val="24"/>
        </w:rPr>
        <w:footnoteReference w:id="23"/>
      </w:r>
      <w:r w:rsidR="00386974">
        <w:rPr>
          <w:rFonts w:ascii="Times New Roman" w:hAnsi="Times New Roman" w:cs="Times New Roman"/>
          <w:sz w:val="24"/>
          <w:szCs w:val="24"/>
        </w:rPr>
        <w:t xml:space="preserve">  Article 8 (1) is </w:t>
      </w:r>
      <w:r w:rsidR="008B314B">
        <w:rPr>
          <w:rFonts w:ascii="Times New Roman" w:hAnsi="Times New Roman" w:cs="Times New Roman"/>
          <w:sz w:val="24"/>
          <w:szCs w:val="24"/>
        </w:rPr>
        <w:t>qualified</w:t>
      </w:r>
      <w:r w:rsidR="00386974">
        <w:rPr>
          <w:rFonts w:ascii="Times New Roman" w:hAnsi="Times New Roman" w:cs="Times New Roman"/>
          <w:sz w:val="24"/>
          <w:szCs w:val="24"/>
        </w:rPr>
        <w:t xml:space="preserve"> </w:t>
      </w:r>
      <w:r w:rsidR="008B314B">
        <w:rPr>
          <w:rFonts w:ascii="Times New Roman" w:hAnsi="Times New Roman" w:cs="Times New Roman"/>
          <w:sz w:val="24"/>
          <w:szCs w:val="24"/>
        </w:rPr>
        <w:t>and can be legitimately interfered with in certain circumstances</w:t>
      </w:r>
      <w:r w:rsidR="00386974">
        <w:rPr>
          <w:rFonts w:ascii="Times New Roman" w:hAnsi="Times New Roman" w:cs="Times New Roman"/>
          <w:sz w:val="24"/>
          <w:szCs w:val="24"/>
        </w:rPr>
        <w:t xml:space="preserve"> under Article 8 (2)</w:t>
      </w:r>
      <w:r w:rsidR="008B314B">
        <w:rPr>
          <w:rFonts w:ascii="Times New Roman" w:hAnsi="Times New Roman" w:cs="Times New Roman"/>
          <w:sz w:val="24"/>
          <w:szCs w:val="24"/>
        </w:rPr>
        <w:t>.</w:t>
      </w:r>
      <w:r w:rsidR="0076773C">
        <w:rPr>
          <w:rStyle w:val="FootnoteReference"/>
          <w:rFonts w:ascii="Times New Roman" w:hAnsi="Times New Roman" w:cs="Times New Roman"/>
          <w:sz w:val="24"/>
          <w:szCs w:val="24"/>
        </w:rPr>
        <w:footnoteReference w:id="24"/>
      </w:r>
      <w:r w:rsidR="008B314B">
        <w:rPr>
          <w:rFonts w:ascii="Times New Roman" w:hAnsi="Times New Roman" w:cs="Times New Roman"/>
          <w:sz w:val="24"/>
          <w:szCs w:val="24"/>
        </w:rPr>
        <w:t xml:space="preserve">  </w:t>
      </w:r>
    </w:p>
    <w:p w14:paraId="14B4692F" w14:textId="161196CA" w:rsidR="002535F3" w:rsidRDefault="00386974" w:rsidP="001A2B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314B">
        <w:rPr>
          <w:rFonts w:ascii="Times New Roman" w:hAnsi="Times New Roman" w:cs="Times New Roman"/>
          <w:sz w:val="24"/>
          <w:szCs w:val="24"/>
        </w:rPr>
        <w:t>The difficulty is that not all observational re</w:t>
      </w:r>
      <w:r w:rsidR="004E16BC">
        <w:rPr>
          <w:rFonts w:ascii="Times New Roman" w:hAnsi="Times New Roman" w:cs="Times New Roman"/>
          <w:sz w:val="24"/>
          <w:szCs w:val="24"/>
        </w:rPr>
        <w:t xml:space="preserve">search is the same and </w:t>
      </w:r>
      <w:r w:rsidR="00CC5CC2">
        <w:rPr>
          <w:rFonts w:ascii="Times New Roman" w:hAnsi="Times New Roman" w:cs="Times New Roman"/>
          <w:sz w:val="24"/>
          <w:szCs w:val="24"/>
        </w:rPr>
        <w:t xml:space="preserve">could, </w:t>
      </w:r>
      <w:r w:rsidR="008B314B">
        <w:rPr>
          <w:rFonts w:ascii="Times New Roman" w:hAnsi="Times New Roman" w:cs="Times New Roman"/>
          <w:sz w:val="24"/>
          <w:szCs w:val="24"/>
        </w:rPr>
        <w:t>potentially</w:t>
      </w:r>
      <w:r w:rsidR="00CC5CC2">
        <w:rPr>
          <w:rFonts w:ascii="Times New Roman" w:hAnsi="Times New Roman" w:cs="Times New Roman"/>
          <w:sz w:val="24"/>
          <w:szCs w:val="24"/>
        </w:rPr>
        <w:t>,</w:t>
      </w:r>
      <w:r w:rsidR="008B314B">
        <w:rPr>
          <w:rFonts w:ascii="Times New Roman" w:hAnsi="Times New Roman" w:cs="Times New Roman"/>
          <w:sz w:val="24"/>
          <w:szCs w:val="24"/>
        </w:rPr>
        <w:t xml:space="preserve"> interfere with a participant’s privac</w:t>
      </w:r>
      <w:r w:rsidR="00C549D3">
        <w:rPr>
          <w:rFonts w:ascii="Times New Roman" w:hAnsi="Times New Roman" w:cs="Times New Roman"/>
          <w:sz w:val="24"/>
          <w:szCs w:val="24"/>
        </w:rPr>
        <w:t xml:space="preserve">y to varying </w:t>
      </w:r>
      <w:r w:rsidR="008B314B">
        <w:rPr>
          <w:rFonts w:ascii="Times New Roman" w:hAnsi="Times New Roman" w:cs="Times New Roman"/>
          <w:sz w:val="24"/>
          <w:szCs w:val="24"/>
        </w:rPr>
        <w:t xml:space="preserve">degrees. In recognition of this, Bartlett draws </w:t>
      </w:r>
      <w:r w:rsidR="00C507D8">
        <w:rPr>
          <w:rFonts w:ascii="Times New Roman" w:hAnsi="Times New Roman" w:cs="Times New Roman"/>
          <w:sz w:val="24"/>
          <w:szCs w:val="24"/>
        </w:rPr>
        <w:t xml:space="preserve">a </w:t>
      </w:r>
      <w:r w:rsidR="008B314B">
        <w:rPr>
          <w:rFonts w:ascii="Times New Roman" w:hAnsi="Times New Roman" w:cs="Times New Roman"/>
          <w:sz w:val="24"/>
          <w:szCs w:val="24"/>
        </w:rPr>
        <w:t>distinction between observation</w:t>
      </w:r>
      <w:r w:rsidR="00F9209B">
        <w:rPr>
          <w:rFonts w:ascii="Times New Roman" w:hAnsi="Times New Roman" w:cs="Times New Roman"/>
          <w:sz w:val="24"/>
          <w:szCs w:val="24"/>
        </w:rPr>
        <w:t xml:space="preserve">al research that may involve a participant </w:t>
      </w:r>
      <w:r w:rsidR="00F9209B" w:rsidRPr="00F9209B">
        <w:rPr>
          <w:rFonts w:ascii="Times New Roman" w:hAnsi="Times New Roman" w:cs="Times New Roman"/>
          <w:sz w:val="24"/>
          <w:szCs w:val="24"/>
        </w:rPr>
        <w:t xml:space="preserve">undergoing a medical examination in </w:t>
      </w:r>
      <w:r w:rsidR="00B5418A">
        <w:rPr>
          <w:rFonts w:ascii="Times New Roman" w:hAnsi="Times New Roman" w:cs="Times New Roman"/>
          <w:sz w:val="24"/>
          <w:szCs w:val="24"/>
        </w:rPr>
        <w:t xml:space="preserve">a </w:t>
      </w:r>
      <w:r w:rsidR="00F9209B" w:rsidRPr="00F9209B">
        <w:rPr>
          <w:rFonts w:ascii="Times New Roman" w:hAnsi="Times New Roman" w:cs="Times New Roman"/>
          <w:sz w:val="24"/>
          <w:szCs w:val="24"/>
        </w:rPr>
        <w:t>doctor’s surgery</w:t>
      </w:r>
      <w:r w:rsidR="00F9209B">
        <w:rPr>
          <w:rFonts w:ascii="Times New Roman" w:hAnsi="Times New Roman" w:cs="Times New Roman"/>
          <w:sz w:val="24"/>
          <w:szCs w:val="24"/>
        </w:rPr>
        <w:t xml:space="preserve">, compared to that which may be conducted </w:t>
      </w:r>
      <w:r w:rsidR="0047356E">
        <w:rPr>
          <w:rFonts w:ascii="Times New Roman" w:hAnsi="Times New Roman" w:cs="Times New Roman"/>
          <w:sz w:val="24"/>
          <w:szCs w:val="24"/>
        </w:rPr>
        <w:t>o</w:t>
      </w:r>
      <w:r w:rsidR="00CC5CC2">
        <w:rPr>
          <w:rFonts w:ascii="Times New Roman" w:hAnsi="Times New Roman" w:cs="Times New Roman"/>
          <w:sz w:val="24"/>
          <w:szCs w:val="24"/>
        </w:rPr>
        <w:t xml:space="preserve">n </w:t>
      </w:r>
      <w:r w:rsidR="008B314B">
        <w:rPr>
          <w:rFonts w:ascii="Times New Roman" w:hAnsi="Times New Roman" w:cs="Times New Roman"/>
          <w:sz w:val="24"/>
          <w:szCs w:val="24"/>
        </w:rPr>
        <w:t>a hospital ward.</w:t>
      </w:r>
      <w:r w:rsidR="0076773C">
        <w:rPr>
          <w:rStyle w:val="FootnoteReference"/>
          <w:rFonts w:ascii="Times New Roman" w:hAnsi="Times New Roman" w:cs="Times New Roman"/>
          <w:sz w:val="24"/>
          <w:szCs w:val="24"/>
        </w:rPr>
        <w:footnoteReference w:id="25"/>
      </w:r>
      <w:r w:rsidR="0076773C">
        <w:rPr>
          <w:rFonts w:ascii="Times New Roman" w:hAnsi="Times New Roman" w:cs="Times New Roman"/>
          <w:sz w:val="24"/>
          <w:szCs w:val="24"/>
        </w:rPr>
        <w:t xml:space="preserve">  </w:t>
      </w:r>
      <w:r w:rsidR="00F9209B">
        <w:rPr>
          <w:rFonts w:ascii="Times New Roman" w:hAnsi="Times New Roman" w:cs="Times New Roman"/>
          <w:sz w:val="24"/>
          <w:szCs w:val="24"/>
        </w:rPr>
        <w:t>He argues that the former would invoke a ‘particularly strong’ expectation of privacy, whereas the latter, due to its more public nature, may not</w:t>
      </w:r>
      <w:r w:rsidR="00CC5CC2">
        <w:rPr>
          <w:rFonts w:ascii="Times New Roman" w:hAnsi="Times New Roman" w:cs="Times New Roman"/>
          <w:sz w:val="24"/>
          <w:szCs w:val="24"/>
        </w:rPr>
        <w:t xml:space="preserve"> do so to the same extent</w:t>
      </w:r>
      <w:r w:rsidR="00F9209B">
        <w:rPr>
          <w:rFonts w:ascii="Times New Roman" w:hAnsi="Times New Roman" w:cs="Times New Roman"/>
          <w:sz w:val="24"/>
          <w:szCs w:val="24"/>
        </w:rPr>
        <w:t>.</w:t>
      </w:r>
      <w:r w:rsidR="0076773C">
        <w:rPr>
          <w:rStyle w:val="FootnoteReference"/>
          <w:rFonts w:ascii="Times New Roman" w:hAnsi="Times New Roman" w:cs="Times New Roman"/>
          <w:sz w:val="24"/>
          <w:szCs w:val="24"/>
        </w:rPr>
        <w:footnoteReference w:id="26"/>
      </w:r>
      <w:r w:rsidR="00B03DF5">
        <w:rPr>
          <w:rFonts w:ascii="Times New Roman" w:hAnsi="Times New Roman" w:cs="Times New Roman"/>
          <w:sz w:val="24"/>
          <w:szCs w:val="24"/>
        </w:rPr>
        <w:t xml:space="preserve"> While we accept that the applicability of Article 8 (1) is very much fact-specific, g</w:t>
      </w:r>
      <w:r>
        <w:rPr>
          <w:rFonts w:ascii="Times New Roman" w:hAnsi="Times New Roman" w:cs="Times New Roman"/>
          <w:sz w:val="24"/>
          <w:szCs w:val="24"/>
        </w:rPr>
        <w:t xml:space="preserve">iven the </w:t>
      </w:r>
      <w:r w:rsidR="00F9209B">
        <w:rPr>
          <w:rFonts w:ascii="Times New Roman" w:hAnsi="Times New Roman" w:cs="Times New Roman"/>
          <w:sz w:val="24"/>
          <w:szCs w:val="24"/>
        </w:rPr>
        <w:t>evolving nature</w:t>
      </w:r>
      <w:r w:rsidR="0097735A">
        <w:rPr>
          <w:rFonts w:ascii="Times New Roman" w:hAnsi="Times New Roman" w:cs="Times New Roman"/>
          <w:sz w:val="24"/>
          <w:szCs w:val="24"/>
        </w:rPr>
        <w:t xml:space="preserve"> of the </w:t>
      </w:r>
      <w:r w:rsidR="00D67CF0">
        <w:rPr>
          <w:rFonts w:ascii="Times New Roman" w:hAnsi="Times New Roman" w:cs="Times New Roman"/>
          <w:sz w:val="24"/>
          <w:szCs w:val="24"/>
        </w:rPr>
        <w:t xml:space="preserve">jurisprudence, we </w:t>
      </w:r>
      <w:r w:rsidR="001A2B54">
        <w:rPr>
          <w:rFonts w:ascii="Times New Roman" w:hAnsi="Times New Roman" w:cs="Times New Roman"/>
          <w:sz w:val="24"/>
          <w:szCs w:val="24"/>
        </w:rPr>
        <w:t xml:space="preserve">suggest that nowadays a strong argument could be advanced </w:t>
      </w:r>
      <w:r w:rsidR="0097735A">
        <w:rPr>
          <w:rFonts w:ascii="Times New Roman" w:hAnsi="Times New Roman" w:cs="Times New Roman"/>
          <w:sz w:val="24"/>
          <w:szCs w:val="24"/>
        </w:rPr>
        <w:t xml:space="preserve">in favour of </w:t>
      </w:r>
      <w:r w:rsidR="001A2B54">
        <w:rPr>
          <w:rFonts w:ascii="Times New Roman" w:hAnsi="Times New Roman" w:cs="Times New Roman"/>
          <w:sz w:val="24"/>
          <w:szCs w:val="24"/>
        </w:rPr>
        <w:t>Article 8</w:t>
      </w:r>
      <w:r>
        <w:rPr>
          <w:rFonts w:ascii="Times New Roman" w:hAnsi="Times New Roman" w:cs="Times New Roman"/>
          <w:sz w:val="24"/>
          <w:szCs w:val="24"/>
        </w:rPr>
        <w:t xml:space="preserve"> (1) of the ECHR </w:t>
      </w:r>
      <w:r w:rsidR="001A2B54">
        <w:rPr>
          <w:rFonts w:ascii="Times New Roman" w:hAnsi="Times New Roman" w:cs="Times New Roman"/>
          <w:sz w:val="24"/>
          <w:szCs w:val="24"/>
        </w:rPr>
        <w:t>b</w:t>
      </w:r>
      <w:r w:rsidR="00A763B6">
        <w:rPr>
          <w:rFonts w:ascii="Times New Roman" w:hAnsi="Times New Roman" w:cs="Times New Roman"/>
          <w:sz w:val="24"/>
          <w:szCs w:val="24"/>
        </w:rPr>
        <w:t xml:space="preserve">eing engaged in both of the above </w:t>
      </w:r>
      <w:r w:rsidR="00D67CF0">
        <w:rPr>
          <w:rFonts w:ascii="Times New Roman" w:hAnsi="Times New Roman" w:cs="Times New Roman"/>
          <w:sz w:val="24"/>
          <w:szCs w:val="24"/>
        </w:rPr>
        <w:t>scenarios</w:t>
      </w:r>
      <w:r w:rsidR="00DE4893">
        <w:rPr>
          <w:rFonts w:ascii="Times New Roman" w:hAnsi="Times New Roman" w:cs="Times New Roman"/>
          <w:sz w:val="24"/>
          <w:szCs w:val="24"/>
        </w:rPr>
        <w:t xml:space="preserve">, and indeed </w:t>
      </w:r>
      <w:r w:rsidR="00D67CF0">
        <w:rPr>
          <w:rFonts w:ascii="Times New Roman" w:hAnsi="Times New Roman" w:cs="Times New Roman"/>
          <w:sz w:val="24"/>
          <w:szCs w:val="24"/>
        </w:rPr>
        <w:t xml:space="preserve">in </w:t>
      </w:r>
      <w:r w:rsidR="00DE4893">
        <w:rPr>
          <w:rFonts w:ascii="Times New Roman" w:hAnsi="Times New Roman" w:cs="Times New Roman"/>
          <w:sz w:val="24"/>
          <w:szCs w:val="24"/>
        </w:rPr>
        <w:t>many more</w:t>
      </w:r>
      <w:r w:rsidR="00922C0C">
        <w:rPr>
          <w:rFonts w:ascii="Times New Roman" w:hAnsi="Times New Roman" w:cs="Times New Roman"/>
          <w:sz w:val="24"/>
          <w:szCs w:val="24"/>
        </w:rPr>
        <w:t xml:space="preserve"> observational </w:t>
      </w:r>
      <w:r w:rsidR="00CC5CC2">
        <w:rPr>
          <w:rFonts w:ascii="Times New Roman" w:hAnsi="Times New Roman" w:cs="Times New Roman"/>
          <w:sz w:val="24"/>
          <w:szCs w:val="24"/>
        </w:rPr>
        <w:t>research</w:t>
      </w:r>
      <w:r w:rsidR="004E16BC">
        <w:rPr>
          <w:rFonts w:ascii="Times New Roman" w:hAnsi="Times New Roman" w:cs="Times New Roman"/>
          <w:sz w:val="24"/>
          <w:szCs w:val="24"/>
        </w:rPr>
        <w:t xml:space="preserve"> settings.</w:t>
      </w:r>
      <w:r w:rsidR="004E16BC">
        <w:rPr>
          <w:rStyle w:val="FootnoteReference"/>
          <w:rFonts w:ascii="Times New Roman" w:hAnsi="Times New Roman" w:cs="Times New Roman"/>
          <w:sz w:val="24"/>
          <w:szCs w:val="24"/>
        </w:rPr>
        <w:footnoteReference w:id="27"/>
      </w:r>
      <w:r w:rsidR="004E16BC">
        <w:rPr>
          <w:rFonts w:ascii="Times New Roman" w:hAnsi="Times New Roman" w:cs="Times New Roman"/>
          <w:sz w:val="24"/>
          <w:szCs w:val="24"/>
        </w:rPr>
        <w:t xml:space="preserve"> </w:t>
      </w:r>
      <w:r w:rsidR="00D67CF0">
        <w:rPr>
          <w:rFonts w:ascii="Times New Roman" w:hAnsi="Times New Roman" w:cs="Times New Roman"/>
          <w:sz w:val="24"/>
          <w:szCs w:val="24"/>
        </w:rPr>
        <w:t xml:space="preserve"> The fact </w:t>
      </w:r>
      <w:r w:rsidR="001A2B54">
        <w:rPr>
          <w:rFonts w:ascii="Times New Roman" w:hAnsi="Times New Roman" w:cs="Times New Roman"/>
          <w:sz w:val="24"/>
          <w:szCs w:val="24"/>
        </w:rPr>
        <w:t xml:space="preserve">that any observation </w:t>
      </w:r>
      <w:r w:rsidR="001A2B54" w:rsidRPr="001A2B54">
        <w:rPr>
          <w:rFonts w:ascii="Times New Roman" w:hAnsi="Times New Roman" w:cs="Times New Roman"/>
          <w:sz w:val="24"/>
          <w:szCs w:val="24"/>
        </w:rPr>
        <w:t>takes place in a more public environmen</w:t>
      </w:r>
      <w:r w:rsidR="001A2B54">
        <w:rPr>
          <w:rFonts w:ascii="Times New Roman" w:hAnsi="Times New Roman" w:cs="Times New Roman"/>
          <w:sz w:val="24"/>
          <w:szCs w:val="24"/>
        </w:rPr>
        <w:t>t</w:t>
      </w:r>
      <w:r w:rsidR="00D67CF0">
        <w:rPr>
          <w:rFonts w:ascii="Times New Roman" w:hAnsi="Times New Roman" w:cs="Times New Roman"/>
          <w:sz w:val="24"/>
          <w:szCs w:val="24"/>
        </w:rPr>
        <w:t xml:space="preserve">, in our view, would </w:t>
      </w:r>
      <w:r w:rsidR="00DE4893">
        <w:rPr>
          <w:rFonts w:ascii="Times New Roman" w:hAnsi="Times New Roman" w:cs="Times New Roman"/>
          <w:sz w:val="24"/>
          <w:szCs w:val="24"/>
        </w:rPr>
        <w:t xml:space="preserve">not automatically render Article 8 (1) </w:t>
      </w:r>
      <w:r w:rsidR="001A2B54">
        <w:rPr>
          <w:rFonts w:ascii="Times New Roman" w:hAnsi="Times New Roman" w:cs="Times New Roman"/>
          <w:sz w:val="24"/>
          <w:szCs w:val="24"/>
        </w:rPr>
        <w:t>redundant</w:t>
      </w:r>
      <w:r w:rsidR="004B3092">
        <w:rPr>
          <w:rFonts w:ascii="Times New Roman" w:hAnsi="Times New Roman" w:cs="Times New Roman"/>
          <w:sz w:val="24"/>
          <w:szCs w:val="24"/>
        </w:rPr>
        <w:t xml:space="preserve">.   It has been recognised </w:t>
      </w:r>
      <w:r w:rsidR="001A2B54" w:rsidRPr="001A2B54">
        <w:rPr>
          <w:rFonts w:ascii="Times New Roman" w:hAnsi="Times New Roman" w:cs="Times New Roman"/>
          <w:sz w:val="24"/>
          <w:szCs w:val="24"/>
        </w:rPr>
        <w:t>that ‘there is a zone of interaction of a person with others, even in a public context, which may fall with</w:t>
      </w:r>
      <w:r w:rsidR="004E16BC">
        <w:rPr>
          <w:rFonts w:ascii="Times New Roman" w:hAnsi="Times New Roman" w:cs="Times New Roman"/>
          <w:sz w:val="24"/>
          <w:szCs w:val="24"/>
        </w:rPr>
        <w:t>in the scope of “private life”’.</w:t>
      </w:r>
      <w:r w:rsidR="0076773C">
        <w:rPr>
          <w:rStyle w:val="FootnoteReference"/>
          <w:rFonts w:ascii="Times New Roman" w:hAnsi="Times New Roman" w:cs="Times New Roman"/>
          <w:sz w:val="24"/>
          <w:szCs w:val="24"/>
        </w:rPr>
        <w:footnoteReference w:id="28"/>
      </w:r>
      <w:r w:rsidR="004E16BC">
        <w:rPr>
          <w:rFonts w:ascii="Times New Roman" w:hAnsi="Times New Roman" w:cs="Times New Roman"/>
          <w:sz w:val="24"/>
          <w:szCs w:val="24"/>
        </w:rPr>
        <w:t xml:space="preserve">  </w:t>
      </w:r>
      <w:r w:rsidR="00A763B6">
        <w:rPr>
          <w:rFonts w:ascii="Times New Roman" w:hAnsi="Times New Roman" w:cs="Times New Roman"/>
          <w:sz w:val="24"/>
          <w:szCs w:val="24"/>
        </w:rPr>
        <w:t xml:space="preserve">Expanding upon this, </w:t>
      </w:r>
      <w:r w:rsidR="00CC5CC2">
        <w:rPr>
          <w:rFonts w:ascii="Times New Roman" w:hAnsi="Times New Roman" w:cs="Times New Roman"/>
          <w:sz w:val="24"/>
          <w:szCs w:val="24"/>
        </w:rPr>
        <w:t>Bartlett alludes to common examples of observational research in</w:t>
      </w:r>
      <w:r w:rsidR="002535F3">
        <w:rPr>
          <w:rFonts w:ascii="Times New Roman" w:hAnsi="Times New Roman" w:cs="Times New Roman"/>
          <w:sz w:val="24"/>
          <w:szCs w:val="24"/>
        </w:rPr>
        <w:t xml:space="preserve"> healthcare settings that could invoke </w:t>
      </w:r>
      <w:r w:rsidR="00CC5CC2">
        <w:rPr>
          <w:rFonts w:ascii="Times New Roman" w:hAnsi="Times New Roman" w:cs="Times New Roman"/>
          <w:sz w:val="24"/>
          <w:szCs w:val="24"/>
        </w:rPr>
        <w:t xml:space="preserve">a reasonable </w:t>
      </w:r>
      <w:r w:rsidR="0047356E">
        <w:rPr>
          <w:rFonts w:ascii="Times New Roman" w:hAnsi="Times New Roman" w:cs="Times New Roman"/>
          <w:sz w:val="24"/>
          <w:szCs w:val="24"/>
        </w:rPr>
        <w:t xml:space="preserve">expectation </w:t>
      </w:r>
      <w:r w:rsidR="00CC5CC2">
        <w:rPr>
          <w:rFonts w:ascii="Times New Roman" w:hAnsi="Times New Roman" w:cs="Times New Roman"/>
          <w:sz w:val="24"/>
          <w:szCs w:val="24"/>
        </w:rPr>
        <w:t xml:space="preserve">of privacy, such as observations in hospital wards, care homes, </w:t>
      </w:r>
      <w:r w:rsidR="00AB4398">
        <w:rPr>
          <w:rFonts w:ascii="Times New Roman" w:hAnsi="Times New Roman" w:cs="Times New Roman"/>
          <w:sz w:val="24"/>
          <w:szCs w:val="24"/>
        </w:rPr>
        <w:t>surgeries</w:t>
      </w:r>
      <w:r w:rsidR="00CC5CC2">
        <w:rPr>
          <w:rFonts w:ascii="Times New Roman" w:hAnsi="Times New Roman" w:cs="Times New Roman"/>
          <w:sz w:val="24"/>
          <w:szCs w:val="24"/>
        </w:rPr>
        <w:t xml:space="preserve"> and </w:t>
      </w:r>
      <w:r w:rsidR="0047356E">
        <w:rPr>
          <w:rFonts w:ascii="Times New Roman" w:hAnsi="Times New Roman" w:cs="Times New Roman"/>
          <w:sz w:val="24"/>
          <w:szCs w:val="24"/>
        </w:rPr>
        <w:t xml:space="preserve">a </w:t>
      </w:r>
      <w:r w:rsidR="00CC5CC2">
        <w:rPr>
          <w:rFonts w:ascii="Times New Roman" w:hAnsi="Times New Roman" w:cs="Times New Roman"/>
          <w:sz w:val="24"/>
          <w:szCs w:val="24"/>
        </w:rPr>
        <w:t>patient’s own home.</w:t>
      </w:r>
      <w:r w:rsidR="0076773C">
        <w:rPr>
          <w:rStyle w:val="FootnoteReference"/>
          <w:rFonts w:ascii="Times New Roman" w:hAnsi="Times New Roman" w:cs="Times New Roman"/>
          <w:sz w:val="24"/>
          <w:szCs w:val="24"/>
        </w:rPr>
        <w:footnoteReference w:id="29"/>
      </w:r>
      <w:r w:rsidR="00CC5CC2">
        <w:rPr>
          <w:rFonts w:ascii="Times New Roman" w:hAnsi="Times New Roman" w:cs="Times New Roman"/>
          <w:sz w:val="24"/>
          <w:szCs w:val="24"/>
        </w:rPr>
        <w:t xml:space="preserve">  This list </w:t>
      </w:r>
      <w:r w:rsidR="004A21EE">
        <w:rPr>
          <w:rFonts w:ascii="Times New Roman" w:hAnsi="Times New Roman" w:cs="Times New Roman"/>
          <w:sz w:val="24"/>
          <w:szCs w:val="24"/>
        </w:rPr>
        <w:t xml:space="preserve">is not exhaustive and </w:t>
      </w:r>
      <w:r w:rsidR="00CC5CC2">
        <w:rPr>
          <w:rFonts w:ascii="Times New Roman" w:hAnsi="Times New Roman" w:cs="Times New Roman"/>
          <w:sz w:val="24"/>
          <w:szCs w:val="24"/>
        </w:rPr>
        <w:t xml:space="preserve">could be </w:t>
      </w:r>
      <w:r w:rsidR="00A763B6">
        <w:rPr>
          <w:rFonts w:ascii="Times New Roman" w:hAnsi="Times New Roman" w:cs="Times New Roman"/>
          <w:sz w:val="24"/>
          <w:szCs w:val="24"/>
        </w:rPr>
        <w:t xml:space="preserve">developed </w:t>
      </w:r>
      <w:r w:rsidR="00CC5CC2">
        <w:rPr>
          <w:rFonts w:ascii="Times New Roman" w:hAnsi="Times New Roman" w:cs="Times New Roman"/>
          <w:sz w:val="24"/>
          <w:szCs w:val="24"/>
        </w:rPr>
        <w:lastRenderedPageBreak/>
        <w:t>to include</w:t>
      </w:r>
      <w:r w:rsidR="004A21EE">
        <w:rPr>
          <w:rFonts w:ascii="Times New Roman" w:hAnsi="Times New Roman" w:cs="Times New Roman"/>
          <w:sz w:val="24"/>
          <w:szCs w:val="24"/>
        </w:rPr>
        <w:t xml:space="preserve"> observations of focus group discussions, behaviour of inhabitants of specific communities, and communications between individuals in i</w:t>
      </w:r>
      <w:r w:rsidR="0047356E">
        <w:rPr>
          <w:rFonts w:ascii="Times New Roman" w:hAnsi="Times New Roman" w:cs="Times New Roman"/>
          <w:sz w:val="24"/>
          <w:szCs w:val="24"/>
        </w:rPr>
        <w:t xml:space="preserve">nstitutions and places of work.  These </w:t>
      </w:r>
      <w:r w:rsidR="00AB4398">
        <w:rPr>
          <w:rFonts w:ascii="Times New Roman" w:hAnsi="Times New Roman" w:cs="Times New Roman"/>
          <w:sz w:val="24"/>
          <w:szCs w:val="24"/>
        </w:rPr>
        <w:t xml:space="preserve">are all </w:t>
      </w:r>
      <w:r w:rsidR="00687167">
        <w:rPr>
          <w:rFonts w:ascii="Times New Roman" w:hAnsi="Times New Roman" w:cs="Times New Roman"/>
          <w:sz w:val="24"/>
          <w:szCs w:val="24"/>
        </w:rPr>
        <w:t xml:space="preserve">environments in which </w:t>
      </w:r>
      <w:r w:rsidR="0047356E">
        <w:rPr>
          <w:rFonts w:ascii="Times New Roman" w:hAnsi="Times New Roman" w:cs="Times New Roman"/>
          <w:sz w:val="24"/>
          <w:szCs w:val="24"/>
        </w:rPr>
        <w:t>a ‘</w:t>
      </w:r>
      <w:r w:rsidR="00AB4398">
        <w:rPr>
          <w:rFonts w:ascii="Times New Roman" w:hAnsi="Times New Roman" w:cs="Times New Roman"/>
          <w:sz w:val="24"/>
          <w:szCs w:val="24"/>
        </w:rPr>
        <w:t>zone</w:t>
      </w:r>
      <w:r w:rsidR="00687167">
        <w:rPr>
          <w:rFonts w:ascii="Times New Roman" w:hAnsi="Times New Roman" w:cs="Times New Roman"/>
          <w:sz w:val="24"/>
          <w:szCs w:val="24"/>
        </w:rPr>
        <w:t xml:space="preserve"> of interaction</w:t>
      </w:r>
      <w:r w:rsidR="0047356E">
        <w:rPr>
          <w:rFonts w:ascii="Times New Roman" w:hAnsi="Times New Roman" w:cs="Times New Roman"/>
          <w:sz w:val="24"/>
          <w:szCs w:val="24"/>
        </w:rPr>
        <w:t>’</w:t>
      </w:r>
      <w:r w:rsidR="00687167">
        <w:rPr>
          <w:rFonts w:ascii="Times New Roman" w:hAnsi="Times New Roman" w:cs="Times New Roman"/>
          <w:sz w:val="24"/>
          <w:szCs w:val="24"/>
        </w:rPr>
        <w:t xml:space="preserve"> </w:t>
      </w:r>
      <w:r w:rsidR="004A21EE">
        <w:rPr>
          <w:rFonts w:ascii="Times New Roman" w:hAnsi="Times New Roman" w:cs="Times New Roman"/>
          <w:sz w:val="24"/>
          <w:szCs w:val="24"/>
        </w:rPr>
        <w:t xml:space="preserve">of a person with others </w:t>
      </w:r>
      <w:r w:rsidR="00687167">
        <w:rPr>
          <w:rFonts w:ascii="Times New Roman" w:hAnsi="Times New Roman" w:cs="Times New Roman"/>
          <w:sz w:val="24"/>
          <w:szCs w:val="24"/>
        </w:rPr>
        <w:t>could be present, causin</w:t>
      </w:r>
      <w:r w:rsidR="00C507D8">
        <w:rPr>
          <w:rFonts w:ascii="Times New Roman" w:hAnsi="Times New Roman" w:cs="Times New Roman"/>
          <w:sz w:val="24"/>
          <w:szCs w:val="24"/>
        </w:rPr>
        <w:t xml:space="preserve">g notions of what is public and </w:t>
      </w:r>
      <w:r w:rsidR="00687167">
        <w:rPr>
          <w:rFonts w:ascii="Times New Roman" w:hAnsi="Times New Roman" w:cs="Times New Roman"/>
          <w:sz w:val="24"/>
          <w:szCs w:val="24"/>
        </w:rPr>
        <w:t xml:space="preserve">private to intersect.  </w:t>
      </w:r>
    </w:p>
    <w:p w14:paraId="6833DF6D" w14:textId="1DD19744" w:rsidR="001A2B54" w:rsidRDefault="002535F3" w:rsidP="001A2B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27A0">
        <w:rPr>
          <w:rFonts w:ascii="Times New Roman" w:hAnsi="Times New Roman" w:cs="Times New Roman"/>
          <w:sz w:val="24"/>
          <w:szCs w:val="24"/>
        </w:rPr>
        <w:t>I</w:t>
      </w:r>
      <w:r w:rsidR="00E3790D">
        <w:rPr>
          <w:rFonts w:ascii="Times New Roman" w:hAnsi="Times New Roman" w:cs="Times New Roman"/>
          <w:sz w:val="24"/>
          <w:szCs w:val="24"/>
        </w:rPr>
        <w:t xml:space="preserve">t thus seems likely that a certain </w:t>
      </w:r>
      <w:r w:rsidR="00D67CF0">
        <w:rPr>
          <w:rFonts w:ascii="Times New Roman" w:hAnsi="Times New Roman" w:cs="Times New Roman"/>
          <w:sz w:val="24"/>
          <w:szCs w:val="24"/>
        </w:rPr>
        <w:t xml:space="preserve">amount </w:t>
      </w:r>
      <w:r w:rsidR="004B3092">
        <w:rPr>
          <w:rFonts w:ascii="Times New Roman" w:hAnsi="Times New Roman" w:cs="Times New Roman"/>
          <w:sz w:val="24"/>
          <w:szCs w:val="24"/>
        </w:rPr>
        <w:t>of observation</w:t>
      </w:r>
      <w:r w:rsidR="00DE4893">
        <w:rPr>
          <w:rFonts w:ascii="Times New Roman" w:hAnsi="Times New Roman" w:cs="Times New Roman"/>
          <w:sz w:val="24"/>
          <w:szCs w:val="24"/>
        </w:rPr>
        <w:t>al</w:t>
      </w:r>
      <w:r w:rsidR="004B3092">
        <w:rPr>
          <w:rFonts w:ascii="Times New Roman" w:hAnsi="Times New Roman" w:cs="Times New Roman"/>
          <w:sz w:val="24"/>
          <w:szCs w:val="24"/>
        </w:rPr>
        <w:t xml:space="preserve"> research conducte</w:t>
      </w:r>
      <w:r w:rsidR="00DE4893">
        <w:rPr>
          <w:rFonts w:ascii="Times New Roman" w:hAnsi="Times New Roman" w:cs="Times New Roman"/>
          <w:sz w:val="24"/>
          <w:szCs w:val="24"/>
        </w:rPr>
        <w:t xml:space="preserve">d by an NHS body would </w:t>
      </w:r>
      <w:r w:rsidR="004B3092">
        <w:rPr>
          <w:rFonts w:ascii="Times New Roman" w:hAnsi="Times New Roman" w:cs="Times New Roman"/>
          <w:sz w:val="24"/>
          <w:szCs w:val="24"/>
        </w:rPr>
        <w:t xml:space="preserve">at least engage the Article 8 </w:t>
      </w:r>
      <w:r w:rsidR="0097735A">
        <w:rPr>
          <w:rFonts w:ascii="Times New Roman" w:hAnsi="Times New Roman" w:cs="Times New Roman"/>
          <w:sz w:val="24"/>
          <w:szCs w:val="24"/>
        </w:rPr>
        <w:t xml:space="preserve">(1) </w:t>
      </w:r>
      <w:r w:rsidR="004B3092">
        <w:rPr>
          <w:rFonts w:ascii="Times New Roman" w:hAnsi="Times New Roman" w:cs="Times New Roman"/>
          <w:sz w:val="24"/>
          <w:szCs w:val="24"/>
        </w:rPr>
        <w:t xml:space="preserve">rights of a </w:t>
      </w:r>
      <w:r w:rsidR="00DE4893">
        <w:rPr>
          <w:rFonts w:ascii="Times New Roman" w:hAnsi="Times New Roman" w:cs="Times New Roman"/>
          <w:sz w:val="24"/>
          <w:szCs w:val="24"/>
        </w:rPr>
        <w:t xml:space="preserve">capacitous </w:t>
      </w:r>
      <w:r w:rsidR="004B3092">
        <w:rPr>
          <w:rFonts w:ascii="Times New Roman" w:hAnsi="Times New Roman" w:cs="Times New Roman"/>
          <w:sz w:val="24"/>
          <w:szCs w:val="24"/>
        </w:rPr>
        <w:t>participant</w:t>
      </w:r>
      <w:r w:rsidR="0076773C">
        <w:rPr>
          <w:rFonts w:ascii="Times New Roman" w:hAnsi="Times New Roman" w:cs="Times New Roman"/>
          <w:sz w:val="24"/>
          <w:szCs w:val="24"/>
        </w:rPr>
        <w:t xml:space="preserve"> </w:t>
      </w:r>
      <w:r w:rsidR="00DE4893">
        <w:rPr>
          <w:rFonts w:ascii="Times New Roman" w:hAnsi="Times New Roman" w:cs="Times New Roman"/>
          <w:sz w:val="24"/>
          <w:szCs w:val="24"/>
        </w:rPr>
        <w:t xml:space="preserve">if it were to be conducted without her </w:t>
      </w:r>
      <w:r w:rsidR="00C507D8">
        <w:rPr>
          <w:rFonts w:ascii="Times New Roman" w:hAnsi="Times New Roman" w:cs="Times New Roman"/>
          <w:sz w:val="24"/>
          <w:szCs w:val="24"/>
        </w:rPr>
        <w:t xml:space="preserve">consent and would, </w:t>
      </w:r>
      <w:r w:rsidR="0076773C">
        <w:rPr>
          <w:rFonts w:ascii="Times New Roman" w:hAnsi="Times New Roman" w:cs="Times New Roman"/>
          <w:sz w:val="24"/>
          <w:szCs w:val="24"/>
        </w:rPr>
        <w:t>therefore</w:t>
      </w:r>
      <w:r w:rsidR="00C507D8">
        <w:rPr>
          <w:rFonts w:ascii="Times New Roman" w:hAnsi="Times New Roman" w:cs="Times New Roman"/>
          <w:sz w:val="24"/>
          <w:szCs w:val="24"/>
        </w:rPr>
        <w:t xml:space="preserve">, </w:t>
      </w:r>
      <w:r w:rsidR="0076773C" w:rsidRPr="0076773C">
        <w:rPr>
          <w:rFonts w:ascii="Times New Roman" w:hAnsi="Times New Roman" w:cs="Times New Roman"/>
          <w:i/>
          <w:sz w:val="24"/>
          <w:szCs w:val="24"/>
        </w:rPr>
        <w:t>prima facie</w:t>
      </w:r>
      <w:r w:rsidR="0076773C">
        <w:rPr>
          <w:rFonts w:ascii="Times New Roman" w:hAnsi="Times New Roman" w:cs="Times New Roman"/>
          <w:sz w:val="24"/>
          <w:szCs w:val="24"/>
        </w:rPr>
        <w:t xml:space="preserve"> fall within the MCA’s definition of intrusive research</w:t>
      </w:r>
      <w:r w:rsidR="00C507D8">
        <w:rPr>
          <w:rFonts w:ascii="Times New Roman" w:hAnsi="Times New Roman" w:cs="Times New Roman"/>
          <w:sz w:val="24"/>
          <w:szCs w:val="24"/>
        </w:rPr>
        <w:t xml:space="preserve"> if the same were to be performed on an incapacitated participant</w:t>
      </w:r>
      <w:r w:rsidR="0076773C">
        <w:rPr>
          <w:rFonts w:ascii="Times New Roman" w:hAnsi="Times New Roman" w:cs="Times New Roman"/>
          <w:sz w:val="24"/>
          <w:szCs w:val="24"/>
        </w:rPr>
        <w:t>.</w:t>
      </w:r>
      <w:r w:rsidR="00EA2C12">
        <w:rPr>
          <w:rStyle w:val="FootnoteReference"/>
          <w:rFonts w:ascii="Times New Roman" w:hAnsi="Times New Roman" w:cs="Times New Roman"/>
          <w:sz w:val="24"/>
          <w:szCs w:val="24"/>
        </w:rPr>
        <w:footnoteReference w:id="30"/>
      </w:r>
      <w:r w:rsidR="00C507D8">
        <w:rPr>
          <w:rFonts w:ascii="Times New Roman" w:hAnsi="Times New Roman" w:cs="Times New Roman"/>
          <w:sz w:val="24"/>
          <w:szCs w:val="24"/>
        </w:rPr>
        <w:t xml:space="preserve">  </w:t>
      </w:r>
      <w:r w:rsidR="0076773C">
        <w:rPr>
          <w:rFonts w:ascii="Times New Roman" w:hAnsi="Times New Roman" w:cs="Times New Roman"/>
          <w:sz w:val="24"/>
          <w:szCs w:val="24"/>
        </w:rPr>
        <w:t>To make a final determination on</w:t>
      </w:r>
      <w:r w:rsidR="00C507D8">
        <w:rPr>
          <w:rFonts w:ascii="Times New Roman" w:hAnsi="Times New Roman" w:cs="Times New Roman"/>
          <w:sz w:val="24"/>
          <w:szCs w:val="24"/>
        </w:rPr>
        <w:t xml:space="preserve"> breach</w:t>
      </w:r>
      <w:r w:rsidR="0076773C">
        <w:rPr>
          <w:rFonts w:ascii="Times New Roman" w:hAnsi="Times New Roman" w:cs="Times New Roman"/>
          <w:sz w:val="24"/>
          <w:szCs w:val="24"/>
        </w:rPr>
        <w:t xml:space="preserve">, </w:t>
      </w:r>
      <w:r w:rsidR="00DE4893">
        <w:rPr>
          <w:rFonts w:ascii="Times New Roman" w:hAnsi="Times New Roman" w:cs="Times New Roman"/>
          <w:sz w:val="24"/>
          <w:szCs w:val="24"/>
        </w:rPr>
        <w:t>t</w:t>
      </w:r>
      <w:r w:rsidR="00C507D8">
        <w:rPr>
          <w:rFonts w:ascii="Times New Roman" w:hAnsi="Times New Roman" w:cs="Times New Roman"/>
          <w:sz w:val="24"/>
          <w:szCs w:val="24"/>
        </w:rPr>
        <w:t xml:space="preserve">he </w:t>
      </w:r>
      <w:r w:rsidR="00386974">
        <w:rPr>
          <w:rFonts w:ascii="Times New Roman" w:hAnsi="Times New Roman" w:cs="Times New Roman"/>
          <w:sz w:val="24"/>
          <w:szCs w:val="24"/>
        </w:rPr>
        <w:t>question</w:t>
      </w:r>
      <w:r w:rsidR="00C507D8">
        <w:rPr>
          <w:rFonts w:ascii="Times New Roman" w:hAnsi="Times New Roman" w:cs="Times New Roman"/>
          <w:sz w:val="24"/>
          <w:szCs w:val="24"/>
        </w:rPr>
        <w:t xml:space="preserve"> of </w:t>
      </w:r>
      <w:r w:rsidR="004B3092">
        <w:rPr>
          <w:rFonts w:ascii="Times New Roman" w:hAnsi="Times New Roman" w:cs="Times New Roman"/>
          <w:sz w:val="24"/>
          <w:szCs w:val="24"/>
        </w:rPr>
        <w:t xml:space="preserve">whether any interference with her right was legitimate </w:t>
      </w:r>
      <w:r w:rsidR="00DE4893">
        <w:rPr>
          <w:rFonts w:ascii="Times New Roman" w:hAnsi="Times New Roman" w:cs="Times New Roman"/>
          <w:sz w:val="24"/>
          <w:szCs w:val="24"/>
        </w:rPr>
        <w:t>under Article 8 (2)</w:t>
      </w:r>
      <w:r w:rsidR="00C507D8">
        <w:rPr>
          <w:rFonts w:ascii="Times New Roman" w:hAnsi="Times New Roman" w:cs="Times New Roman"/>
          <w:sz w:val="24"/>
          <w:szCs w:val="24"/>
        </w:rPr>
        <w:t xml:space="preserve"> would then need to be addressed</w:t>
      </w:r>
      <w:r w:rsidR="00DE4893">
        <w:rPr>
          <w:rFonts w:ascii="Times New Roman" w:hAnsi="Times New Roman" w:cs="Times New Roman"/>
          <w:sz w:val="24"/>
          <w:szCs w:val="24"/>
        </w:rPr>
        <w:t xml:space="preserve">.  </w:t>
      </w:r>
      <w:r w:rsidR="004A21EE">
        <w:rPr>
          <w:rFonts w:ascii="Times New Roman" w:hAnsi="Times New Roman" w:cs="Times New Roman"/>
          <w:sz w:val="24"/>
          <w:szCs w:val="24"/>
        </w:rPr>
        <w:t xml:space="preserve">It is conceivable that some </w:t>
      </w:r>
      <w:r w:rsidR="0097735A">
        <w:rPr>
          <w:rFonts w:ascii="Times New Roman" w:hAnsi="Times New Roman" w:cs="Times New Roman"/>
          <w:sz w:val="24"/>
          <w:szCs w:val="24"/>
        </w:rPr>
        <w:t xml:space="preserve">observational </w:t>
      </w:r>
      <w:r w:rsidR="00C507D8">
        <w:rPr>
          <w:rFonts w:ascii="Times New Roman" w:hAnsi="Times New Roman" w:cs="Times New Roman"/>
          <w:sz w:val="24"/>
          <w:szCs w:val="24"/>
        </w:rPr>
        <w:t xml:space="preserve">healthcare </w:t>
      </w:r>
      <w:r w:rsidR="0097735A">
        <w:rPr>
          <w:rFonts w:ascii="Times New Roman" w:hAnsi="Times New Roman" w:cs="Times New Roman"/>
          <w:sz w:val="24"/>
          <w:szCs w:val="24"/>
        </w:rPr>
        <w:t xml:space="preserve">research could be justified on </w:t>
      </w:r>
      <w:r w:rsidR="00DE4893">
        <w:rPr>
          <w:rFonts w:ascii="Times New Roman" w:hAnsi="Times New Roman" w:cs="Times New Roman"/>
          <w:sz w:val="24"/>
          <w:szCs w:val="24"/>
        </w:rPr>
        <w:t xml:space="preserve">the grounds that is necessary </w:t>
      </w:r>
      <w:r w:rsidR="007C35B5">
        <w:rPr>
          <w:rFonts w:ascii="Times New Roman" w:hAnsi="Times New Roman" w:cs="Times New Roman"/>
          <w:sz w:val="24"/>
          <w:szCs w:val="24"/>
        </w:rPr>
        <w:t xml:space="preserve">in a democratic society </w:t>
      </w:r>
      <w:r w:rsidR="00DE4893">
        <w:rPr>
          <w:rFonts w:ascii="Times New Roman" w:hAnsi="Times New Roman" w:cs="Times New Roman"/>
          <w:sz w:val="24"/>
          <w:szCs w:val="24"/>
        </w:rPr>
        <w:t>for</w:t>
      </w:r>
      <w:r w:rsidR="0097735A">
        <w:rPr>
          <w:rFonts w:ascii="Times New Roman" w:hAnsi="Times New Roman" w:cs="Times New Roman"/>
          <w:sz w:val="24"/>
          <w:szCs w:val="24"/>
        </w:rPr>
        <w:t xml:space="preserve"> </w:t>
      </w:r>
      <w:r w:rsidR="00DE4893">
        <w:rPr>
          <w:rFonts w:ascii="Times New Roman" w:hAnsi="Times New Roman" w:cs="Times New Roman"/>
          <w:sz w:val="24"/>
          <w:szCs w:val="24"/>
        </w:rPr>
        <w:t xml:space="preserve">public safety or to </w:t>
      </w:r>
      <w:r w:rsidR="0097735A">
        <w:rPr>
          <w:rFonts w:ascii="Times New Roman" w:hAnsi="Times New Roman" w:cs="Times New Roman"/>
          <w:sz w:val="24"/>
          <w:szCs w:val="24"/>
        </w:rPr>
        <w:t>protect healt</w:t>
      </w:r>
      <w:r w:rsidR="00646DD6">
        <w:rPr>
          <w:rFonts w:ascii="Times New Roman" w:hAnsi="Times New Roman" w:cs="Times New Roman"/>
          <w:sz w:val="24"/>
          <w:szCs w:val="24"/>
        </w:rPr>
        <w:t xml:space="preserve">h and morals and that, provided it was done in accordance with the law, </w:t>
      </w:r>
      <w:r w:rsidR="004342B1">
        <w:rPr>
          <w:rFonts w:ascii="Times New Roman" w:hAnsi="Times New Roman" w:cs="Times New Roman"/>
          <w:sz w:val="24"/>
          <w:szCs w:val="24"/>
        </w:rPr>
        <w:t>any interference with the right could be justified under Article 8 (2).</w:t>
      </w:r>
      <w:r w:rsidR="00FB36CB">
        <w:rPr>
          <w:rStyle w:val="FootnoteReference"/>
          <w:rFonts w:ascii="Times New Roman" w:hAnsi="Times New Roman" w:cs="Times New Roman"/>
          <w:sz w:val="24"/>
          <w:szCs w:val="24"/>
        </w:rPr>
        <w:footnoteReference w:id="31"/>
      </w:r>
      <w:r w:rsidR="004A21EE">
        <w:rPr>
          <w:rFonts w:ascii="Times New Roman" w:hAnsi="Times New Roman" w:cs="Times New Roman"/>
          <w:sz w:val="24"/>
          <w:szCs w:val="24"/>
        </w:rPr>
        <w:t xml:space="preserve"> If this held sway, </w:t>
      </w:r>
      <w:r w:rsidR="00292F84">
        <w:rPr>
          <w:rFonts w:ascii="Times New Roman" w:hAnsi="Times New Roman" w:cs="Times New Roman"/>
          <w:sz w:val="24"/>
          <w:szCs w:val="24"/>
        </w:rPr>
        <w:t xml:space="preserve">the research would not be unlawful and so would fall outside the definition of intrusive research for the purposes of the MCA.  </w:t>
      </w:r>
      <w:r w:rsidR="00771AD4">
        <w:rPr>
          <w:rFonts w:ascii="Times New Roman" w:hAnsi="Times New Roman" w:cs="Times New Roman"/>
          <w:sz w:val="24"/>
          <w:szCs w:val="24"/>
        </w:rPr>
        <w:t xml:space="preserve">However, </w:t>
      </w:r>
      <w:r w:rsidR="00292F84">
        <w:rPr>
          <w:rFonts w:ascii="Times New Roman" w:hAnsi="Times New Roman" w:cs="Times New Roman"/>
          <w:sz w:val="24"/>
          <w:szCs w:val="24"/>
        </w:rPr>
        <w:t>it will not be possible to justify all research</w:t>
      </w:r>
      <w:r w:rsidR="001F6DBA">
        <w:rPr>
          <w:rFonts w:ascii="Times New Roman" w:hAnsi="Times New Roman" w:cs="Times New Roman"/>
          <w:sz w:val="24"/>
          <w:szCs w:val="24"/>
        </w:rPr>
        <w:t xml:space="preserve"> on these </w:t>
      </w:r>
      <w:r w:rsidR="00292F84">
        <w:rPr>
          <w:rFonts w:ascii="Times New Roman" w:hAnsi="Times New Roman" w:cs="Times New Roman"/>
          <w:sz w:val="24"/>
          <w:szCs w:val="24"/>
        </w:rPr>
        <w:t>grounds, especially where it is a smaller and more concentrated</w:t>
      </w:r>
      <w:r>
        <w:rPr>
          <w:rFonts w:ascii="Times New Roman" w:hAnsi="Times New Roman" w:cs="Times New Roman"/>
          <w:sz w:val="24"/>
          <w:szCs w:val="24"/>
        </w:rPr>
        <w:t xml:space="preserve"> project that does not have the scope </w:t>
      </w:r>
      <w:r w:rsidR="00292F84">
        <w:rPr>
          <w:rFonts w:ascii="Times New Roman" w:hAnsi="Times New Roman" w:cs="Times New Roman"/>
          <w:sz w:val="24"/>
          <w:szCs w:val="24"/>
        </w:rPr>
        <w:t>to benefit</w:t>
      </w:r>
      <w:r w:rsidR="00E3790D">
        <w:rPr>
          <w:rFonts w:ascii="Times New Roman" w:hAnsi="Times New Roman" w:cs="Times New Roman"/>
          <w:sz w:val="24"/>
          <w:szCs w:val="24"/>
        </w:rPr>
        <w:t xml:space="preserve"> society more widely</w:t>
      </w:r>
      <w:r w:rsidR="00292F84">
        <w:rPr>
          <w:rFonts w:ascii="Times New Roman" w:hAnsi="Times New Roman" w:cs="Times New Roman"/>
          <w:sz w:val="24"/>
          <w:szCs w:val="24"/>
        </w:rPr>
        <w:t>.  Where</w:t>
      </w:r>
      <w:r w:rsidR="001F6DBA">
        <w:rPr>
          <w:rFonts w:ascii="Times New Roman" w:hAnsi="Times New Roman" w:cs="Times New Roman"/>
          <w:sz w:val="24"/>
          <w:szCs w:val="24"/>
        </w:rPr>
        <w:t xml:space="preserve"> i</w:t>
      </w:r>
      <w:r w:rsidR="00FB36CB">
        <w:rPr>
          <w:rFonts w:ascii="Times New Roman" w:hAnsi="Times New Roman" w:cs="Times New Roman"/>
          <w:sz w:val="24"/>
          <w:szCs w:val="24"/>
        </w:rPr>
        <w:t xml:space="preserve">nterference </w:t>
      </w:r>
      <w:r w:rsidR="001F6DBA">
        <w:rPr>
          <w:rFonts w:ascii="Times New Roman" w:hAnsi="Times New Roman" w:cs="Times New Roman"/>
          <w:sz w:val="24"/>
          <w:szCs w:val="24"/>
        </w:rPr>
        <w:t>is incapable of such justification</w:t>
      </w:r>
      <w:r w:rsidR="00292F84">
        <w:rPr>
          <w:rFonts w:ascii="Times New Roman" w:hAnsi="Times New Roman" w:cs="Times New Roman"/>
          <w:sz w:val="24"/>
          <w:szCs w:val="24"/>
        </w:rPr>
        <w:t xml:space="preserve">, </w:t>
      </w:r>
      <w:r w:rsidR="00646DD6">
        <w:rPr>
          <w:rFonts w:ascii="Times New Roman" w:hAnsi="Times New Roman" w:cs="Times New Roman"/>
          <w:sz w:val="24"/>
          <w:szCs w:val="24"/>
        </w:rPr>
        <w:t xml:space="preserve">the </w:t>
      </w:r>
      <w:r w:rsidR="00292F84">
        <w:rPr>
          <w:rFonts w:ascii="Times New Roman" w:hAnsi="Times New Roman" w:cs="Times New Roman"/>
          <w:sz w:val="24"/>
          <w:szCs w:val="24"/>
        </w:rPr>
        <w:t>research would</w:t>
      </w:r>
      <w:r w:rsidR="001F6DBA">
        <w:rPr>
          <w:rFonts w:ascii="Times New Roman" w:hAnsi="Times New Roman" w:cs="Times New Roman"/>
          <w:sz w:val="24"/>
          <w:szCs w:val="24"/>
        </w:rPr>
        <w:t xml:space="preserve"> </w:t>
      </w:r>
      <w:r w:rsidR="00B67177">
        <w:rPr>
          <w:rFonts w:ascii="Times New Roman" w:hAnsi="Times New Roman" w:cs="Times New Roman"/>
          <w:sz w:val="24"/>
          <w:szCs w:val="24"/>
        </w:rPr>
        <w:t xml:space="preserve">be </w:t>
      </w:r>
      <w:r w:rsidR="00DF3437">
        <w:rPr>
          <w:rFonts w:ascii="Times New Roman" w:hAnsi="Times New Roman" w:cs="Times New Roman"/>
          <w:sz w:val="24"/>
          <w:szCs w:val="24"/>
        </w:rPr>
        <w:t xml:space="preserve">unlawful and thus correspond with the </w:t>
      </w:r>
      <w:r w:rsidR="00292F84">
        <w:rPr>
          <w:rFonts w:ascii="Times New Roman" w:hAnsi="Times New Roman" w:cs="Times New Roman"/>
          <w:sz w:val="24"/>
          <w:szCs w:val="24"/>
        </w:rPr>
        <w:t>MCA’s de</w:t>
      </w:r>
      <w:r w:rsidR="001F6DBA">
        <w:rPr>
          <w:rFonts w:ascii="Times New Roman" w:hAnsi="Times New Roman" w:cs="Times New Roman"/>
          <w:sz w:val="24"/>
          <w:szCs w:val="24"/>
        </w:rPr>
        <w:t xml:space="preserve">finition of intrusive research.  </w:t>
      </w:r>
      <w:r w:rsidR="005816C4">
        <w:rPr>
          <w:rFonts w:ascii="Times New Roman" w:hAnsi="Times New Roman" w:cs="Times New Roman"/>
          <w:sz w:val="24"/>
          <w:szCs w:val="24"/>
        </w:rPr>
        <w:t>Considering matters through the lens of Article 8</w:t>
      </w:r>
      <w:r w:rsidR="00BF28AE">
        <w:rPr>
          <w:rFonts w:ascii="Times New Roman" w:hAnsi="Times New Roman" w:cs="Times New Roman"/>
          <w:sz w:val="24"/>
          <w:szCs w:val="24"/>
        </w:rPr>
        <w:t xml:space="preserve">, </w:t>
      </w:r>
      <w:r w:rsidR="005816C4">
        <w:rPr>
          <w:rFonts w:ascii="Times New Roman" w:hAnsi="Times New Roman" w:cs="Times New Roman"/>
          <w:sz w:val="24"/>
          <w:szCs w:val="24"/>
        </w:rPr>
        <w:t>t</w:t>
      </w:r>
      <w:r w:rsidR="00DE4893">
        <w:rPr>
          <w:rFonts w:ascii="Times New Roman" w:hAnsi="Times New Roman" w:cs="Times New Roman"/>
          <w:sz w:val="24"/>
          <w:szCs w:val="24"/>
        </w:rPr>
        <w:t>he overall conclusion as to which type</w:t>
      </w:r>
      <w:r w:rsidR="005816C4">
        <w:rPr>
          <w:rFonts w:ascii="Times New Roman" w:hAnsi="Times New Roman" w:cs="Times New Roman"/>
          <w:sz w:val="24"/>
          <w:szCs w:val="24"/>
        </w:rPr>
        <w:t>s</w:t>
      </w:r>
      <w:r w:rsidR="00DE4893">
        <w:rPr>
          <w:rFonts w:ascii="Times New Roman" w:hAnsi="Times New Roman" w:cs="Times New Roman"/>
          <w:sz w:val="24"/>
          <w:szCs w:val="24"/>
        </w:rPr>
        <w:t xml:space="preserve"> of observational</w:t>
      </w:r>
      <w:r w:rsidR="001F6DBA">
        <w:rPr>
          <w:rFonts w:ascii="Times New Roman" w:hAnsi="Times New Roman" w:cs="Times New Roman"/>
          <w:sz w:val="24"/>
          <w:szCs w:val="24"/>
        </w:rPr>
        <w:t xml:space="preserve"> research would be caught by the </w:t>
      </w:r>
      <w:r w:rsidR="005816C4">
        <w:rPr>
          <w:rFonts w:ascii="Times New Roman" w:hAnsi="Times New Roman" w:cs="Times New Roman"/>
          <w:sz w:val="24"/>
          <w:szCs w:val="24"/>
        </w:rPr>
        <w:t>definition</w:t>
      </w:r>
      <w:r w:rsidR="00FB36CB">
        <w:rPr>
          <w:rFonts w:ascii="Times New Roman" w:hAnsi="Times New Roman" w:cs="Times New Roman"/>
          <w:sz w:val="24"/>
          <w:szCs w:val="24"/>
        </w:rPr>
        <w:t xml:space="preserve"> </w:t>
      </w:r>
      <w:r w:rsidR="005816C4">
        <w:rPr>
          <w:rFonts w:ascii="Times New Roman" w:hAnsi="Times New Roman" w:cs="Times New Roman"/>
          <w:sz w:val="24"/>
          <w:szCs w:val="24"/>
        </w:rPr>
        <w:t xml:space="preserve">is far from straightforward. Yet, </w:t>
      </w:r>
      <w:r w:rsidR="004342B1">
        <w:rPr>
          <w:rFonts w:ascii="Times New Roman" w:hAnsi="Times New Roman" w:cs="Times New Roman"/>
          <w:sz w:val="24"/>
          <w:szCs w:val="24"/>
        </w:rPr>
        <w:t xml:space="preserve">it does appear </w:t>
      </w:r>
      <w:r w:rsidR="005816C4">
        <w:rPr>
          <w:rFonts w:ascii="Times New Roman" w:hAnsi="Times New Roman" w:cs="Times New Roman"/>
          <w:sz w:val="24"/>
          <w:szCs w:val="24"/>
        </w:rPr>
        <w:t>tha</w:t>
      </w:r>
      <w:r w:rsidR="004342B1">
        <w:rPr>
          <w:rFonts w:ascii="Times New Roman" w:hAnsi="Times New Roman" w:cs="Times New Roman"/>
          <w:sz w:val="24"/>
          <w:szCs w:val="24"/>
        </w:rPr>
        <w:t>t</w:t>
      </w:r>
      <w:r w:rsidR="00292F84">
        <w:rPr>
          <w:rFonts w:ascii="Times New Roman" w:hAnsi="Times New Roman" w:cs="Times New Roman"/>
          <w:sz w:val="24"/>
          <w:szCs w:val="24"/>
        </w:rPr>
        <w:t xml:space="preserve"> some of it would, </w:t>
      </w:r>
      <w:r w:rsidR="001F6DBA">
        <w:rPr>
          <w:rFonts w:ascii="Times New Roman" w:hAnsi="Times New Roman" w:cs="Times New Roman"/>
          <w:sz w:val="24"/>
          <w:szCs w:val="24"/>
        </w:rPr>
        <w:t xml:space="preserve">which </w:t>
      </w:r>
      <w:r w:rsidR="00871230">
        <w:rPr>
          <w:rFonts w:ascii="Times New Roman" w:hAnsi="Times New Roman" w:cs="Times New Roman"/>
          <w:sz w:val="24"/>
          <w:szCs w:val="24"/>
        </w:rPr>
        <w:t xml:space="preserve">may well be beyond the initial contemplation of the </w:t>
      </w:r>
      <w:r w:rsidR="001F6DBA">
        <w:rPr>
          <w:rFonts w:ascii="Times New Roman" w:hAnsi="Times New Roman" w:cs="Times New Roman"/>
          <w:sz w:val="24"/>
          <w:szCs w:val="24"/>
        </w:rPr>
        <w:t>MCA’s research-targeted provisions.</w:t>
      </w:r>
      <w:r w:rsidR="00FB36CB">
        <w:rPr>
          <w:rStyle w:val="FootnoteReference"/>
          <w:rFonts w:ascii="Times New Roman" w:hAnsi="Times New Roman" w:cs="Times New Roman"/>
          <w:sz w:val="24"/>
          <w:szCs w:val="24"/>
        </w:rPr>
        <w:footnoteReference w:id="32"/>
      </w:r>
    </w:p>
    <w:p w14:paraId="290F5102" w14:textId="7FF710E4" w:rsidR="001F6DBA" w:rsidRDefault="002535F3" w:rsidP="00FB56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w:t>
      </w:r>
      <w:r w:rsidR="00D4790B">
        <w:rPr>
          <w:rFonts w:ascii="Times New Roman" w:hAnsi="Times New Roman" w:cs="Times New Roman"/>
          <w:sz w:val="24"/>
          <w:szCs w:val="24"/>
        </w:rPr>
        <w:t>urthe</w:t>
      </w:r>
      <w:r w:rsidR="00BF2271">
        <w:rPr>
          <w:rFonts w:ascii="Times New Roman" w:hAnsi="Times New Roman" w:cs="Times New Roman"/>
          <w:sz w:val="24"/>
          <w:szCs w:val="24"/>
        </w:rPr>
        <w:t xml:space="preserve">r </w:t>
      </w:r>
      <w:r w:rsidR="00871230">
        <w:rPr>
          <w:rFonts w:ascii="Times New Roman" w:hAnsi="Times New Roman" w:cs="Times New Roman"/>
          <w:sz w:val="24"/>
          <w:szCs w:val="24"/>
        </w:rPr>
        <w:t xml:space="preserve">methods </w:t>
      </w:r>
      <w:r>
        <w:rPr>
          <w:rFonts w:ascii="Times New Roman" w:hAnsi="Times New Roman" w:cs="Times New Roman"/>
          <w:sz w:val="24"/>
          <w:szCs w:val="24"/>
        </w:rPr>
        <w:t>of research that remain</w:t>
      </w:r>
      <w:r w:rsidR="00BF2271">
        <w:rPr>
          <w:rFonts w:ascii="Times New Roman" w:hAnsi="Times New Roman" w:cs="Times New Roman"/>
          <w:sz w:val="24"/>
          <w:szCs w:val="24"/>
        </w:rPr>
        <w:t xml:space="preserve"> contentious </w:t>
      </w:r>
      <w:r>
        <w:rPr>
          <w:rFonts w:ascii="Times New Roman" w:hAnsi="Times New Roman" w:cs="Times New Roman"/>
          <w:sz w:val="24"/>
          <w:szCs w:val="24"/>
        </w:rPr>
        <w:t xml:space="preserve">are </w:t>
      </w:r>
      <w:r w:rsidR="00D4790B">
        <w:rPr>
          <w:rFonts w:ascii="Times New Roman" w:hAnsi="Times New Roman" w:cs="Times New Roman"/>
          <w:sz w:val="24"/>
          <w:szCs w:val="24"/>
        </w:rPr>
        <w:t>interview</w:t>
      </w:r>
      <w:r>
        <w:rPr>
          <w:rFonts w:ascii="Times New Roman" w:hAnsi="Times New Roman" w:cs="Times New Roman"/>
          <w:sz w:val="24"/>
          <w:szCs w:val="24"/>
        </w:rPr>
        <w:t>s</w:t>
      </w:r>
      <w:r w:rsidR="00D4790B">
        <w:rPr>
          <w:rFonts w:ascii="Times New Roman" w:hAnsi="Times New Roman" w:cs="Times New Roman"/>
          <w:sz w:val="24"/>
          <w:szCs w:val="24"/>
        </w:rPr>
        <w:t xml:space="preserve"> </w:t>
      </w:r>
      <w:r w:rsidR="00BF2271">
        <w:rPr>
          <w:rFonts w:ascii="Times New Roman" w:hAnsi="Times New Roman" w:cs="Times New Roman"/>
          <w:sz w:val="24"/>
          <w:szCs w:val="24"/>
        </w:rPr>
        <w:t>and questionnaire</w:t>
      </w:r>
      <w:r>
        <w:rPr>
          <w:rFonts w:ascii="Times New Roman" w:hAnsi="Times New Roman" w:cs="Times New Roman"/>
          <w:sz w:val="24"/>
          <w:szCs w:val="24"/>
        </w:rPr>
        <w:t>s</w:t>
      </w:r>
      <w:r w:rsidR="00D4790B">
        <w:rPr>
          <w:rFonts w:ascii="Times New Roman" w:hAnsi="Times New Roman" w:cs="Times New Roman"/>
          <w:sz w:val="24"/>
          <w:szCs w:val="24"/>
        </w:rPr>
        <w:t xml:space="preserve">. Where, for instance, a </w:t>
      </w:r>
      <w:r w:rsidR="00C507D8">
        <w:rPr>
          <w:rFonts w:ascii="Times New Roman" w:hAnsi="Times New Roman" w:cs="Times New Roman"/>
          <w:sz w:val="24"/>
          <w:szCs w:val="24"/>
        </w:rPr>
        <w:t xml:space="preserve">university researcher wishes to involve </w:t>
      </w:r>
      <w:r w:rsidR="00D4790B">
        <w:rPr>
          <w:rFonts w:ascii="Times New Roman" w:hAnsi="Times New Roman" w:cs="Times New Roman"/>
          <w:sz w:val="24"/>
          <w:szCs w:val="24"/>
        </w:rPr>
        <w:t>incapacitated participants in her project, would her work fall within the MCA’s definition of intrusive research and thus require her to comply with the additional regulatory requirements</w:t>
      </w:r>
      <w:r w:rsidR="00C507D8">
        <w:rPr>
          <w:rFonts w:ascii="Times New Roman" w:hAnsi="Times New Roman" w:cs="Times New Roman"/>
          <w:sz w:val="24"/>
          <w:szCs w:val="24"/>
        </w:rPr>
        <w:t xml:space="preserve"> by </w:t>
      </w:r>
      <w:r w:rsidR="001F1082">
        <w:rPr>
          <w:rFonts w:ascii="Times New Roman" w:hAnsi="Times New Roman" w:cs="Times New Roman"/>
          <w:sz w:val="24"/>
          <w:szCs w:val="24"/>
        </w:rPr>
        <w:t>gain</w:t>
      </w:r>
      <w:r w:rsidR="00C507D8">
        <w:rPr>
          <w:rFonts w:ascii="Times New Roman" w:hAnsi="Times New Roman" w:cs="Times New Roman"/>
          <w:sz w:val="24"/>
          <w:szCs w:val="24"/>
        </w:rPr>
        <w:t xml:space="preserve">ing </w:t>
      </w:r>
      <w:r w:rsidR="001F1082">
        <w:rPr>
          <w:rFonts w:ascii="Times New Roman" w:hAnsi="Times New Roman" w:cs="Times New Roman"/>
          <w:sz w:val="24"/>
          <w:szCs w:val="24"/>
        </w:rPr>
        <w:t>specific MCA REC approval</w:t>
      </w:r>
      <w:r w:rsidR="00D4790B">
        <w:rPr>
          <w:rFonts w:ascii="Times New Roman" w:hAnsi="Times New Roman" w:cs="Times New Roman"/>
          <w:sz w:val="24"/>
          <w:szCs w:val="24"/>
        </w:rPr>
        <w:t>?</w:t>
      </w:r>
      <w:r w:rsidR="00E3790D">
        <w:rPr>
          <w:rFonts w:ascii="Times New Roman" w:hAnsi="Times New Roman" w:cs="Times New Roman"/>
          <w:sz w:val="24"/>
          <w:szCs w:val="24"/>
        </w:rPr>
        <w:t xml:space="preserve"> W</w:t>
      </w:r>
      <w:r w:rsidR="00D4790B">
        <w:rPr>
          <w:rFonts w:ascii="Times New Roman" w:hAnsi="Times New Roman" w:cs="Times New Roman"/>
          <w:sz w:val="24"/>
          <w:szCs w:val="24"/>
        </w:rPr>
        <w:t>here is the rule of law that would deem such activity unlawful should it be performed on a capacitous participant</w:t>
      </w:r>
      <w:r w:rsidR="00646DD6">
        <w:rPr>
          <w:rFonts w:ascii="Times New Roman" w:hAnsi="Times New Roman" w:cs="Times New Roman"/>
          <w:sz w:val="24"/>
          <w:szCs w:val="24"/>
        </w:rPr>
        <w:t>,</w:t>
      </w:r>
      <w:r w:rsidR="00D4790B">
        <w:rPr>
          <w:rFonts w:ascii="Times New Roman" w:hAnsi="Times New Roman" w:cs="Times New Roman"/>
          <w:sz w:val="24"/>
          <w:szCs w:val="24"/>
        </w:rPr>
        <w:t xml:space="preserve"> without her consent?</w:t>
      </w:r>
      <w:r w:rsidR="00E8003A">
        <w:rPr>
          <w:rFonts w:ascii="Times New Roman" w:hAnsi="Times New Roman" w:cs="Times New Roman"/>
          <w:sz w:val="24"/>
          <w:szCs w:val="24"/>
        </w:rPr>
        <w:t xml:space="preserve">  If a participant was interviewed </w:t>
      </w:r>
      <w:r w:rsidR="00E8003A">
        <w:rPr>
          <w:rFonts w:ascii="Times New Roman" w:hAnsi="Times New Roman" w:cs="Times New Roman"/>
          <w:sz w:val="24"/>
          <w:szCs w:val="24"/>
        </w:rPr>
        <w:lastRenderedPageBreak/>
        <w:t>and the conversation then taped and transcribed, if any findings were published and it became possible to identify</w:t>
      </w:r>
      <w:r w:rsidR="00BF2271">
        <w:rPr>
          <w:rFonts w:ascii="Times New Roman" w:hAnsi="Times New Roman" w:cs="Times New Roman"/>
          <w:sz w:val="24"/>
          <w:szCs w:val="24"/>
        </w:rPr>
        <w:t xml:space="preserve"> her </w:t>
      </w:r>
      <w:r w:rsidR="00E8003A">
        <w:rPr>
          <w:rFonts w:ascii="Times New Roman" w:hAnsi="Times New Roman" w:cs="Times New Roman"/>
          <w:sz w:val="24"/>
          <w:szCs w:val="24"/>
        </w:rPr>
        <w:t xml:space="preserve">as a result, </w:t>
      </w:r>
      <w:r w:rsidR="00055D5C">
        <w:rPr>
          <w:rFonts w:ascii="Times New Roman" w:hAnsi="Times New Roman" w:cs="Times New Roman"/>
          <w:sz w:val="24"/>
          <w:szCs w:val="24"/>
        </w:rPr>
        <w:t xml:space="preserve">assuming she had not consented, it seems </w:t>
      </w:r>
      <w:r w:rsidR="001F27A0">
        <w:rPr>
          <w:rFonts w:ascii="Times New Roman" w:hAnsi="Times New Roman" w:cs="Times New Roman"/>
          <w:sz w:val="24"/>
          <w:szCs w:val="24"/>
        </w:rPr>
        <w:t>likely that her</w:t>
      </w:r>
      <w:r w:rsidR="00055D5C">
        <w:rPr>
          <w:rFonts w:ascii="Times New Roman" w:hAnsi="Times New Roman" w:cs="Times New Roman"/>
          <w:sz w:val="24"/>
          <w:szCs w:val="24"/>
        </w:rPr>
        <w:t xml:space="preserve"> Article 8 (1) </w:t>
      </w:r>
      <w:r w:rsidR="001F27A0">
        <w:rPr>
          <w:rFonts w:ascii="Times New Roman" w:hAnsi="Times New Roman" w:cs="Times New Roman"/>
          <w:sz w:val="24"/>
          <w:szCs w:val="24"/>
        </w:rPr>
        <w:t xml:space="preserve">rights would be </w:t>
      </w:r>
      <w:r w:rsidR="005649A3">
        <w:rPr>
          <w:rFonts w:ascii="Times New Roman" w:hAnsi="Times New Roman" w:cs="Times New Roman"/>
          <w:sz w:val="24"/>
          <w:szCs w:val="24"/>
        </w:rPr>
        <w:t>engaged</w:t>
      </w:r>
      <w:r w:rsidR="00E8003A">
        <w:rPr>
          <w:rFonts w:ascii="Times New Roman" w:hAnsi="Times New Roman" w:cs="Times New Roman"/>
          <w:sz w:val="24"/>
          <w:szCs w:val="24"/>
        </w:rPr>
        <w:t>.</w:t>
      </w:r>
      <w:r w:rsidR="001F1082">
        <w:rPr>
          <w:rStyle w:val="FootnoteReference"/>
          <w:rFonts w:ascii="Times New Roman" w:hAnsi="Times New Roman" w:cs="Times New Roman"/>
          <w:sz w:val="24"/>
          <w:szCs w:val="24"/>
        </w:rPr>
        <w:footnoteReference w:id="33"/>
      </w:r>
      <w:r w:rsidR="001F27A0">
        <w:rPr>
          <w:rFonts w:ascii="Times New Roman" w:hAnsi="Times New Roman" w:cs="Times New Roman"/>
          <w:sz w:val="24"/>
          <w:szCs w:val="24"/>
        </w:rPr>
        <w:t xml:space="preserve">  </w:t>
      </w:r>
      <w:r w:rsidR="00E8003A">
        <w:rPr>
          <w:rFonts w:ascii="Times New Roman" w:hAnsi="Times New Roman" w:cs="Times New Roman"/>
          <w:sz w:val="24"/>
          <w:szCs w:val="24"/>
        </w:rPr>
        <w:t xml:space="preserve">However, this overlooks the fact </w:t>
      </w:r>
      <w:r w:rsidR="005649A3">
        <w:rPr>
          <w:rFonts w:ascii="Times New Roman" w:hAnsi="Times New Roman" w:cs="Times New Roman"/>
          <w:sz w:val="24"/>
          <w:szCs w:val="24"/>
        </w:rPr>
        <w:t xml:space="preserve">that </w:t>
      </w:r>
      <w:r w:rsidR="00E8003A">
        <w:rPr>
          <w:rFonts w:ascii="Times New Roman" w:hAnsi="Times New Roman" w:cs="Times New Roman"/>
          <w:sz w:val="24"/>
          <w:szCs w:val="24"/>
        </w:rPr>
        <w:t>interview r</w:t>
      </w:r>
      <w:r w:rsidR="00BF2271">
        <w:rPr>
          <w:rFonts w:ascii="Times New Roman" w:hAnsi="Times New Roman" w:cs="Times New Roman"/>
          <w:sz w:val="24"/>
          <w:szCs w:val="24"/>
        </w:rPr>
        <w:t xml:space="preserve">esearch is </w:t>
      </w:r>
      <w:r w:rsidR="005649A3">
        <w:rPr>
          <w:rFonts w:ascii="Times New Roman" w:hAnsi="Times New Roman" w:cs="Times New Roman"/>
          <w:sz w:val="24"/>
          <w:szCs w:val="24"/>
        </w:rPr>
        <w:t xml:space="preserve">often </w:t>
      </w:r>
      <w:r w:rsidR="00BF2271">
        <w:rPr>
          <w:rFonts w:ascii="Times New Roman" w:hAnsi="Times New Roman" w:cs="Times New Roman"/>
          <w:sz w:val="24"/>
          <w:szCs w:val="24"/>
        </w:rPr>
        <w:t>not conducted in this</w:t>
      </w:r>
      <w:r w:rsidR="00E8003A">
        <w:rPr>
          <w:rFonts w:ascii="Times New Roman" w:hAnsi="Times New Roman" w:cs="Times New Roman"/>
          <w:sz w:val="24"/>
          <w:szCs w:val="24"/>
        </w:rPr>
        <w:t xml:space="preserve"> w</w:t>
      </w:r>
      <w:r w:rsidR="005649A3">
        <w:rPr>
          <w:rFonts w:ascii="Times New Roman" w:hAnsi="Times New Roman" w:cs="Times New Roman"/>
          <w:sz w:val="24"/>
          <w:szCs w:val="24"/>
        </w:rPr>
        <w:t xml:space="preserve">ay and that transcriptions are, not infrequently, </w:t>
      </w:r>
      <w:r w:rsidR="00E8003A">
        <w:rPr>
          <w:rFonts w:ascii="Times New Roman" w:hAnsi="Times New Roman" w:cs="Times New Roman"/>
          <w:sz w:val="24"/>
          <w:szCs w:val="24"/>
        </w:rPr>
        <w:t>anonymised.</w:t>
      </w:r>
      <w:r w:rsidR="001F1082">
        <w:rPr>
          <w:rStyle w:val="FootnoteReference"/>
          <w:rFonts w:ascii="Times New Roman" w:hAnsi="Times New Roman" w:cs="Times New Roman"/>
          <w:sz w:val="24"/>
          <w:szCs w:val="24"/>
        </w:rPr>
        <w:footnoteReference w:id="34"/>
      </w:r>
      <w:r w:rsidR="005649A3">
        <w:rPr>
          <w:rFonts w:ascii="Times New Roman" w:hAnsi="Times New Roman" w:cs="Times New Roman"/>
          <w:sz w:val="24"/>
          <w:szCs w:val="24"/>
        </w:rPr>
        <w:t xml:space="preserve"> The same is true of </w:t>
      </w:r>
      <w:r w:rsidR="008F550C">
        <w:rPr>
          <w:rFonts w:ascii="Times New Roman" w:hAnsi="Times New Roman" w:cs="Times New Roman"/>
          <w:sz w:val="24"/>
          <w:szCs w:val="24"/>
        </w:rPr>
        <w:t xml:space="preserve">the majority of </w:t>
      </w:r>
      <w:r>
        <w:rPr>
          <w:rFonts w:ascii="Times New Roman" w:hAnsi="Times New Roman" w:cs="Times New Roman"/>
          <w:sz w:val="24"/>
          <w:szCs w:val="24"/>
        </w:rPr>
        <w:t xml:space="preserve">data collected in </w:t>
      </w:r>
      <w:r w:rsidR="00E8003A">
        <w:rPr>
          <w:rFonts w:ascii="Times New Roman" w:hAnsi="Times New Roman" w:cs="Times New Roman"/>
          <w:sz w:val="24"/>
          <w:szCs w:val="24"/>
        </w:rPr>
        <w:t>questionnaire</w:t>
      </w:r>
      <w:r>
        <w:rPr>
          <w:rFonts w:ascii="Times New Roman" w:hAnsi="Times New Roman" w:cs="Times New Roman"/>
          <w:sz w:val="24"/>
          <w:szCs w:val="24"/>
        </w:rPr>
        <w:t>s.</w:t>
      </w:r>
      <w:r w:rsidR="001F1082">
        <w:rPr>
          <w:rStyle w:val="FootnoteReference"/>
          <w:rFonts w:ascii="Times New Roman" w:hAnsi="Times New Roman" w:cs="Times New Roman"/>
          <w:sz w:val="24"/>
          <w:szCs w:val="24"/>
        </w:rPr>
        <w:footnoteReference w:id="35"/>
      </w:r>
      <w:r w:rsidR="008F550C">
        <w:rPr>
          <w:rFonts w:ascii="Times New Roman" w:hAnsi="Times New Roman" w:cs="Times New Roman"/>
          <w:sz w:val="24"/>
          <w:szCs w:val="24"/>
        </w:rPr>
        <w:t xml:space="preserve">  </w:t>
      </w:r>
      <w:r w:rsidR="002C3DA9">
        <w:rPr>
          <w:rFonts w:ascii="Times New Roman" w:hAnsi="Times New Roman" w:cs="Times New Roman"/>
          <w:sz w:val="24"/>
          <w:szCs w:val="24"/>
        </w:rPr>
        <w:t>It is stretching things to suggest that privacy is threatened by in</w:t>
      </w:r>
      <w:r w:rsidR="001F6DBA">
        <w:rPr>
          <w:rFonts w:ascii="Times New Roman" w:hAnsi="Times New Roman" w:cs="Times New Roman"/>
          <w:sz w:val="24"/>
          <w:szCs w:val="24"/>
        </w:rPr>
        <w:t>te</w:t>
      </w:r>
      <w:r w:rsidR="00646DD6">
        <w:rPr>
          <w:rFonts w:ascii="Times New Roman" w:hAnsi="Times New Roman" w:cs="Times New Roman"/>
          <w:sz w:val="24"/>
          <w:szCs w:val="24"/>
        </w:rPr>
        <w:t xml:space="preserve">rview or questionnaire findings that are not </w:t>
      </w:r>
      <w:r w:rsidR="002C3DA9">
        <w:rPr>
          <w:rFonts w:ascii="Times New Roman" w:hAnsi="Times New Roman" w:cs="Times New Roman"/>
          <w:sz w:val="24"/>
          <w:szCs w:val="24"/>
        </w:rPr>
        <w:t>linked in any way to one particular</w:t>
      </w:r>
      <w:r w:rsidR="001F6DBA">
        <w:rPr>
          <w:rFonts w:ascii="Times New Roman" w:hAnsi="Times New Roman" w:cs="Times New Roman"/>
          <w:sz w:val="24"/>
          <w:szCs w:val="24"/>
        </w:rPr>
        <w:t xml:space="preserve"> individual, and which safeguard participant anonymity throughout.</w:t>
      </w:r>
      <w:r w:rsidR="005649A3">
        <w:rPr>
          <w:rFonts w:ascii="Times New Roman" w:hAnsi="Times New Roman" w:cs="Times New Roman"/>
          <w:sz w:val="24"/>
          <w:szCs w:val="24"/>
        </w:rPr>
        <w:t xml:space="preserve">  To conduct either an anonymous </w:t>
      </w:r>
      <w:r w:rsidR="002C3DA9">
        <w:rPr>
          <w:rFonts w:ascii="Times New Roman" w:hAnsi="Times New Roman" w:cs="Times New Roman"/>
          <w:sz w:val="24"/>
          <w:szCs w:val="24"/>
        </w:rPr>
        <w:t xml:space="preserve">interview or a questionnaire on a capacitous participant without her consent may well be unethical, but to say that it would be unlawful </w:t>
      </w:r>
      <w:r w:rsidR="005649A3">
        <w:rPr>
          <w:rFonts w:ascii="Times New Roman" w:hAnsi="Times New Roman" w:cs="Times New Roman"/>
          <w:sz w:val="24"/>
          <w:szCs w:val="24"/>
        </w:rPr>
        <w:t xml:space="preserve">on the basis of an infringement of Article 8 </w:t>
      </w:r>
      <w:r w:rsidR="002C3DA9">
        <w:rPr>
          <w:rFonts w:ascii="Times New Roman" w:hAnsi="Times New Roman" w:cs="Times New Roman"/>
          <w:sz w:val="24"/>
          <w:szCs w:val="24"/>
        </w:rPr>
        <w:t>seems much less</w:t>
      </w:r>
      <w:r w:rsidR="005649A3">
        <w:rPr>
          <w:rFonts w:ascii="Times New Roman" w:hAnsi="Times New Roman" w:cs="Times New Roman"/>
          <w:sz w:val="24"/>
          <w:szCs w:val="24"/>
        </w:rPr>
        <w:t xml:space="preserve"> convincing. It is therefore less likely that this would fall within the definition of intrusive research for the purposes of the MCA 2005.</w:t>
      </w:r>
    </w:p>
    <w:p w14:paraId="4BA38F98" w14:textId="1A9F0423" w:rsidR="00FF55F6" w:rsidRDefault="001F6DBA" w:rsidP="00FB56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3DA9">
        <w:rPr>
          <w:rFonts w:ascii="Times New Roman" w:hAnsi="Times New Roman" w:cs="Times New Roman"/>
          <w:sz w:val="24"/>
          <w:szCs w:val="24"/>
        </w:rPr>
        <w:t xml:space="preserve">It is important to acknowledge </w:t>
      </w:r>
      <w:r w:rsidR="00E3790D">
        <w:rPr>
          <w:rFonts w:ascii="Times New Roman" w:hAnsi="Times New Roman" w:cs="Times New Roman"/>
          <w:sz w:val="24"/>
          <w:szCs w:val="24"/>
        </w:rPr>
        <w:t xml:space="preserve">as well </w:t>
      </w:r>
      <w:r w:rsidR="002C3DA9">
        <w:rPr>
          <w:rFonts w:ascii="Times New Roman" w:hAnsi="Times New Roman" w:cs="Times New Roman"/>
          <w:sz w:val="24"/>
          <w:szCs w:val="24"/>
        </w:rPr>
        <w:t>that developm</w:t>
      </w:r>
      <w:r w:rsidR="00E834D7">
        <w:rPr>
          <w:rFonts w:ascii="Times New Roman" w:hAnsi="Times New Roman" w:cs="Times New Roman"/>
          <w:sz w:val="24"/>
          <w:szCs w:val="24"/>
        </w:rPr>
        <w:t xml:space="preserve">ents in data protection law may </w:t>
      </w:r>
      <w:r w:rsidR="009A2876">
        <w:rPr>
          <w:rFonts w:ascii="Times New Roman" w:hAnsi="Times New Roman" w:cs="Times New Roman"/>
          <w:sz w:val="24"/>
          <w:szCs w:val="24"/>
        </w:rPr>
        <w:t xml:space="preserve">provoke </w:t>
      </w:r>
      <w:r w:rsidR="002C3DA9">
        <w:rPr>
          <w:rFonts w:ascii="Times New Roman" w:hAnsi="Times New Roman" w:cs="Times New Roman"/>
          <w:sz w:val="24"/>
          <w:szCs w:val="24"/>
        </w:rPr>
        <w:t xml:space="preserve">arguments about the lawfulness of research on </w:t>
      </w:r>
      <w:r w:rsidR="000C1A99">
        <w:rPr>
          <w:rFonts w:ascii="Times New Roman" w:hAnsi="Times New Roman" w:cs="Times New Roman"/>
          <w:sz w:val="24"/>
          <w:szCs w:val="24"/>
        </w:rPr>
        <w:t xml:space="preserve">non-consenting </w:t>
      </w:r>
      <w:r w:rsidR="002C3DA9">
        <w:rPr>
          <w:rFonts w:ascii="Times New Roman" w:hAnsi="Times New Roman" w:cs="Times New Roman"/>
          <w:sz w:val="24"/>
          <w:szCs w:val="24"/>
        </w:rPr>
        <w:t>capaci</w:t>
      </w:r>
      <w:r w:rsidR="000C1A99">
        <w:rPr>
          <w:rFonts w:ascii="Times New Roman" w:hAnsi="Times New Roman" w:cs="Times New Roman"/>
          <w:sz w:val="24"/>
          <w:szCs w:val="24"/>
        </w:rPr>
        <w:t xml:space="preserve">tous participants </w:t>
      </w:r>
      <w:r w:rsidR="002C3DA9">
        <w:rPr>
          <w:rFonts w:ascii="Times New Roman" w:hAnsi="Times New Roman" w:cs="Times New Roman"/>
          <w:sz w:val="24"/>
          <w:szCs w:val="24"/>
        </w:rPr>
        <w:t>which</w:t>
      </w:r>
      <w:r w:rsidR="000C1A99">
        <w:rPr>
          <w:rFonts w:ascii="Times New Roman" w:hAnsi="Times New Roman" w:cs="Times New Roman"/>
          <w:sz w:val="24"/>
          <w:szCs w:val="24"/>
        </w:rPr>
        <w:t xml:space="preserve"> sit </w:t>
      </w:r>
      <w:r w:rsidR="002C3DA9">
        <w:rPr>
          <w:rFonts w:ascii="Times New Roman" w:hAnsi="Times New Roman" w:cs="Times New Roman"/>
          <w:sz w:val="24"/>
          <w:szCs w:val="24"/>
        </w:rPr>
        <w:t>distinct from any Article 8 considerations.</w:t>
      </w:r>
      <w:r w:rsidR="00EE1085">
        <w:rPr>
          <w:rFonts w:ascii="Times New Roman" w:hAnsi="Times New Roman" w:cs="Times New Roman"/>
          <w:sz w:val="24"/>
          <w:szCs w:val="24"/>
        </w:rPr>
        <w:t xml:space="preserve">  If, say, </w:t>
      </w:r>
      <w:r>
        <w:rPr>
          <w:rFonts w:ascii="Times New Roman" w:hAnsi="Times New Roman" w:cs="Times New Roman"/>
          <w:sz w:val="24"/>
          <w:szCs w:val="24"/>
        </w:rPr>
        <w:t xml:space="preserve">research data </w:t>
      </w:r>
      <w:r w:rsidR="008F550C">
        <w:rPr>
          <w:rFonts w:ascii="Times New Roman" w:hAnsi="Times New Roman" w:cs="Times New Roman"/>
          <w:sz w:val="24"/>
          <w:szCs w:val="24"/>
        </w:rPr>
        <w:t xml:space="preserve">was </w:t>
      </w:r>
      <w:r w:rsidR="00036169">
        <w:rPr>
          <w:rFonts w:ascii="Times New Roman" w:hAnsi="Times New Roman" w:cs="Times New Roman"/>
          <w:sz w:val="24"/>
          <w:szCs w:val="24"/>
        </w:rPr>
        <w:t>gathered and processed from a</w:t>
      </w:r>
      <w:r w:rsidR="008A767B">
        <w:rPr>
          <w:rFonts w:ascii="Times New Roman" w:hAnsi="Times New Roman" w:cs="Times New Roman"/>
          <w:sz w:val="24"/>
          <w:szCs w:val="24"/>
        </w:rPr>
        <w:t xml:space="preserve"> capacitous participant as part of </w:t>
      </w:r>
      <w:r w:rsidR="00036169">
        <w:rPr>
          <w:rFonts w:ascii="Times New Roman" w:hAnsi="Times New Roman" w:cs="Times New Roman"/>
          <w:sz w:val="24"/>
          <w:szCs w:val="24"/>
        </w:rPr>
        <w:t xml:space="preserve">an observational or questionnaire study, under data protection legislation would it be unlawful </w:t>
      </w:r>
      <w:r w:rsidR="00FE033B">
        <w:rPr>
          <w:rFonts w:ascii="Times New Roman" w:hAnsi="Times New Roman" w:cs="Times New Roman"/>
          <w:sz w:val="24"/>
          <w:szCs w:val="24"/>
        </w:rPr>
        <w:t xml:space="preserve">for that </w:t>
      </w:r>
      <w:r w:rsidR="00036169">
        <w:rPr>
          <w:rFonts w:ascii="Times New Roman" w:hAnsi="Times New Roman" w:cs="Times New Roman"/>
          <w:sz w:val="24"/>
          <w:szCs w:val="24"/>
        </w:rPr>
        <w:t xml:space="preserve">to happen without her consent? If so, </w:t>
      </w:r>
      <w:r w:rsidR="00FE033B">
        <w:rPr>
          <w:rFonts w:ascii="Times New Roman" w:hAnsi="Times New Roman" w:cs="Times New Roman"/>
          <w:sz w:val="24"/>
          <w:szCs w:val="24"/>
        </w:rPr>
        <w:t>arguably</w:t>
      </w:r>
      <w:r w:rsidR="008F550C">
        <w:rPr>
          <w:rFonts w:ascii="Times New Roman" w:hAnsi="Times New Roman" w:cs="Times New Roman"/>
          <w:sz w:val="24"/>
          <w:szCs w:val="24"/>
        </w:rPr>
        <w:t>,</w:t>
      </w:r>
      <w:r w:rsidR="00FE033B">
        <w:rPr>
          <w:rFonts w:ascii="Times New Roman" w:hAnsi="Times New Roman" w:cs="Times New Roman"/>
          <w:sz w:val="24"/>
          <w:szCs w:val="24"/>
        </w:rPr>
        <w:t xml:space="preserve"> </w:t>
      </w:r>
      <w:r w:rsidR="00036169">
        <w:rPr>
          <w:rFonts w:ascii="Times New Roman" w:hAnsi="Times New Roman" w:cs="Times New Roman"/>
          <w:sz w:val="24"/>
          <w:szCs w:val="24"/>
        </w:rPr>
        <w:t xml:space="preserve">it </w:t>
      </w:r>
      <w:r w:rsidR="001F1082">
        <w:rPr>
          <w:rFonts w:ascii="Times New Roman" w:hAnsi="Times New Roman" w:cs="Times New Roman"/>
          <w:sz w:val="24"/>
          <w:szCs w:val="24"/>
        </w:rPr>
        <w:t xml:space="preserve">could </w:t>
      </w:r>
      <w:r w:rsidR="00FE033B">
        <w:rPr>
          <w:rFonts w:ascii="Times New Roman" w:hAnsi="Times New Roman" w:cs="Times New Roman"/>
          <w:sz w:val="24"/>
          <w:szCs w:val="24"/>
        </w:rPr>
        <w:t xml:space="preserve">then </w:t>
      </w:r>
      <w:r w:rsidR="00036169">
        <w:rPr>
          <w:rFonts w:ascii="Times New Roman" w:hAnsi="Times New Roman" w:cs="Times New Roman"/>
          <w:sz w:val="24"/>
          <w:szCs w:val="24"/>
        </w:rPr>
        <w:t xml:space="preserve">fall within the meaning of intrusive research for the purposes of the MCA, if it were to be performed on an incapacitated participant. </w:t>
      </w:r>
      <w:r w:rsidR="00773C75" w:rsidRPr="008A767B">
        <w:rPr>
          <w:rFonts w:ascii="Times New Roman" w:hAnsi="Times New Roman" w:cs="Times New Roman"/>
          <w:sz w:val="24"/>
          <w:szCs w:val="24"/>
        </w:rPr>
        <w:t xml:space="preserve">While we </w:t>
      </w:r>
      <w:r w:rsidR="002C3DA9" w:rsidRPr="008A767B">
        <w:rPr>
          <w:rFonts w:ascii="Times New Roman" w:hAnsi="Times New Roman" w:cs="Times New Roman"/>
          <w:sz w:val="24"/>
          <w:szCs w:val="24"/>
        </w:rPr>
        <w:t xml:space="preserve">have </w:t>
      </w:r>
      <w:r w:rsidR="00773C75" w:rsidRPr="008A767B">
        <w:rPr>
          <w:rFonts w:ascii="Times New Roman" w:hAnsi="Times New Roman" w:cs="Times New Roman"/>
          <w:sz w:val="24"/>
          <w:szCs w:val="24"/>
        </w:rPr>
        <w:t>in</w:t>
      </w:r>
      <w:r w:rsidR="000C1A99" w:rsidRPr="008A767B">
        <w:rPr>
          <w:rFonts w:ascii="Times New Roman" w:hAnsi="Times New Roman" w:cs="Times New Roman"/>
          <w:sz w:val="24"/>
          <w:szCs w:val="24"/>
        </w:rPr>
        <w:t xml:space="preserve">sufficient space </w:t>
      </w:r>
      <w:r w:rsidR="002B2018">
        <w:rPr>
          <w:rFonts w:ascii="Times New Roman" w:hAnsi="Times New Roman" w:cs="Times New Roman"/>
          <w:sz w:val="24"/>
          <w:szCs w:val="24"/>
        </w:rPr>
        <w:t xml:space="preserve">here </w:t>
      </w:r>
      <w:r w:rsidR="002C3DA9" w:rsidRPr="008A767B">
        <w:rPr>
          <w:rFonts w:ascii="Times New Roman" w:hAnsi="Times New Roman" w:cs="Times New Roman"/>
          <w:sz w:val="24"/>
          <w:szCs w:val="24"/>
        </w:rPr>
        <w:t xml:space="preserve">to provide a </w:t>
      </w:r>
      <w:r w:rsidR="000C1A99" w:rsidRPr="008A767B">
        <w:rPr>
          <w:rFonts w:ascii="Times New Roman" w:hAnsi="Times New Roman" w:cs="Times New Roman"/>
          <w:sz w:val="24"/>
          <w:szCs w:val="24"/>
        </w:rPr>
        <w:t xml:space="preserve">thorough </w:t>
      </w:r>
      <w:r w:rsidR="002C3DA9" w:rsidRPr="008A767B">
        <w:rPr>
          <w:rFonts w:ascii="Times New Roman" w:hAnsi="Times New Roman" w:cs="Times New Roman"/>
          <w:sz w:val="24"/>
          <w:szCs w:val="24"/>
        </w:rPr>
        <w:t>an</w:t>
      </w:r>
      <w:r w:rsidR="006D428B" w:rsidRPr="008A767B">
        <w:rPr>
          <w:rFonts w:ascii="Times New Roman" w:hAnsi="Times New Roman" w:cs="Times New Roman"/>
          <w:sz w:val="24"/>
          <w:szCs w:val="24"/>
        </w:rPr>
        <w:t>alysis of the impact of the General Data Protection Regulation (GDPR)</w:t>
      </w:r>
      <w:r w:rsidR="00FE033B" w:rsidRPr="008A767B">
        <w:rPr>
          <w:rFonts w:ascii="Times New Roman" w:hAnsi="Times New Roman" w:cs="Times New Roman"/>
          <w:sz w:val="24"/>
          <w:szCs w:val="24"/>
        </w:rPr>
        <w:t>, for the present purposes i</w:t>
      </w:r>
      <w:r w:rsidR="00356FA8" w:rsidRPr="008A767B">
        <w:rPr>
          <w:rFonts w:ascii="Times New Roman" w:hAnsi="Times New Roman" w:cs="Times New Roman"/>
          <w:sz w:val="24"/>
          <w:szCs w:val="24"/>
        </w:rPr>
        <w:t>t</w:t>
      </w:r>
      <w:r w:rsidR="005649A3" w:rsidRPr="008A767B">
        <w:rPr>
          <w:rFonts w:ascii="Times New Roman" w:hAnsi="Times New Roman" w:cs="Times New Roman"/>
          <w:sz w:val="24"/>
          <w:szCs w:val="24"/>
        </w:rPr>
        <w:t xml:space="preserve"> </w:t>
      </w:r>
      <w:r w:rsidR="00FE033B" w:rsidRPr="008A767B">
        <w:rPr>
          <w:rFonts w:ascii="Times New Roman" w:hAnsi="Times New Roman" w:cs="Times New Roman"/>
          <w:sz w:val="24"/>
          <w:szCs w:val="24"/>
        </w:rPr>
        <w:t xml:space="preserve">suffices to say </w:t>
      </w:r>
      <w:r w:rsidR="000C1A99" w:rsidRPr="008A767B">
        <w:rPr>
          <w:rFonts w:ascii="Times New Roman" w:hAnsi="Times New Roman" w:cs="Times New Roman"/>
          <w:sz w:val="24"/>
          <w:szCs w:val="24"/>
        </w:rPr>
        <w:t>that, while</w:t>
      </w:r>
      <w:r w:rsidR="006D428B" w:rsidRPr="008A767B">
        <w:rPr>
          <w:rFonts w:ascii="Times New Roman" w:hAnsi="Times New Roman" w:cs="Times New Roman"/>
          <w:sz w:val="24"/>
          <w:szCs w:val="24"/>
        </w:rPr>
        <w:t xml:space="preserve"> </w:t>
      </w:r>
      <w:r w:rsidR="000C1A99" w:rsidRPr="008A767B">
        <w:rPr>
          <w:rFonts w:ascii="Times New Roman" w:hAnsi="Times New Roman" w:cs="Times New Roman"/>
          <w:sz w:val="24"/>
          <w:szCs w:val="24"/>
        </w:rPr>
        <w:t>consent is one potential ground for lawful processing of data</w:t>
      </w:r>
      <w:r w:rsidR="00516EF2" w:rsidRPr="008A767B">
        <w:rPr>
          <w:rFonts w:ascii="Times New Roman" w:hAnsi="Times New Roman" w:cs="Times New Roman"/>
          <w:sz w:val="24"/>
          <w:szCs w:val="24"/>
        </w:rPr>
        <w:t>,</w:t>
      </w:r>
      <w:r w:rsidR="00036169" w:rsidRPr="008A767B">
        <w:rPr>
          <w:rFonts w:ascii="Times New Roman" w:hAnsi="Times New Roman" w:cs="Times New Roman"/>
          <w:sz w:val="24"/>
          <w:szCs w:val="24"/>
        </w:rPr>
        <w:t xml:space="preserve"> it is not the only one</w:t>
      </w:r>
      <w:r w:rsidR="00516EF2" w:rsidRPr="008A767B">
        <w:rPr>
          <w:rFonts w:ascii="Times New Roman" w:hAnsi="Times New Roman" w:cs="Times New Roman"/>
          <w:sz w:val="24"/>
          <w:szCs w:val="24"/>
        </w:rPr>
        <w:t>.</w:t>
      </w:r>
      <w:r w:rsidR="001B6683" w:rsidRPr="008A767B">
        <w:rPr>
          <w:rStyle w:val="FootnoteReference"/>
          <w:rFonts w:ascii="Times New Roman" w:hAnsi="Times New Roman" w:cs="Times New Roman"/>
          <w:sz w:val="24"/>
          <w:szCs w:val="24"/>
        </w:rPr>
        <w:footnoteReference w:id="36"/>
      </w:r>
      <w:r w:rsidR="001B6683" w:rsidRPr="008A767B">
        <w:rPr>
          <w:rFonts w:ascii="Times New Roman" w:hAnsi="Times New Roman" w:cs="Times New Roman"/>
          <w:sz w:val="24"/>
          <w:szCs w:val="24"/>
        </w:rPr>
        <w:t xml:space="preserve">  Some research data could potentially be lawfully processed without consent on the basis that it is </w:t>
      </w:r>
      <w:r w:rsidR="00773C75" w:rsidRPr="008A767B">
        <w:rPr>
          <w:rFonts w:ascii="Times New Roman" w:hAnsi="Times New Roman" w:cs="Times New Roman"/>
          <w:sz w:val="24"/>
          <w:szCs w:val="24"/>
        </w:rPr>
        <w:t xml:space="preserve">necessary for the </w:t>
      </w:r>
      <w:r w:rsidR="00773C75" w:rsidRPr="008A767B">
        <w:rPr>
          <w:rFonts w:ascii="Times New Roman" w:hAnsi="Times New Roman" w:cs="Times New Roman"/>
          <w:sz w:val="24"/>
          <w:szCs w:val="24"/>
        </w:rPr>
        <w:lastRenderedPageBreak/>
        <w:t>purposes of a legitimate interest.</w:t>
      </w:r>
      <w:r w:rsidR="001B6683" w:rsidRPr="008A767B">
        <w:rPr>
          <w:rStyle w:val="FootnoteReference"/>
          <w:rFonts w:ascii="Times New Roman" w:hAnsi="Times New Roman" w:cs="Times New Roman"/>
          <w:sz w:val="24"/>
          <w:szCs w:val="24"/>
        </w:rPr>
        <w:t xml:space="preserve"> </w:t>
      </w:r>
      <w:r w:rsidR="001B6683" w:rsidRPr="008A767B">
        <w:rPr>
          <w:rStyle w:val="FootnoteReference"/>
          <w:rFonts w:ascii="Times New Roman" w:hAnsi="Times New Roman" w:cs="Times New Roman"/>
          <w:sz w:val="24"/>
          <w:szCs w:val="24"/>
        </w:rPr>
        <w:footnoteReference w:id="37"/>
      </w:r>
      <w:r w:rsidR="001B6683" w:rsidRPr="008A767B">
        <w:rPr>
          <w:rFonts w:ascii="Times New Roman" w:hAnsi="Times New Roman" w:cs="Times New Roman"/>
          <w:sz w:val="24"/>
          <w:szCs w:val="24"/>
        </w:rPr>
        <w:t xml:space="preserve">  </w:t>
      </w:r>
      <w:r w:rsidR="00773C75" w:rsidRPr="008A767B">
        <w:rPr>
          <w:rFonts w:ascii="Times New Roman" w:hAnsi="Times New Roman" w:cs="Times New Roman"/>
          <w:sz w:val="24"/>
          <w:szCs w:val="24"/>
        </w:rPr>
        <w:t>This particular ground</w:t>
      </w:r>
      <w:r w:rsidR="008A767B" w:rsidRPr="008A767B">
        <w:rPr>
          <w:rFonts w:ascii="Times New Roman" w:hAnsi="Times New Roman" w:cs="Times New Roman"/>
          <w:sz w:val="24"/>
          <w:szCs w:val="24"/>
        </w:rPr>
        <w:t xml:space="preserve"> is the most flexible</w:t>
      </w:r>
      <w:r w:rsidR="002151A9">
        <w:rPr>
          <w:rFonts w:ascii="Times New Roman" w:hAnsi="Times New Roman" w:cs="Times New Roman"/>
          <w:sz w:val="24"/>
          <w:szCs w:val="24"/>
        </w:rPr>
        <w:t xml:space="preserve"> </w:t>
      </w:r>
      <w:r w:rsidR="001B6683" w:rsidRPr="008A767B">
        <w:rPr>
          <w:rFonts w:ascii="Times New Roman" w:hAnsi="Times New Roman" w:cs="Times New Roman"/>
          <w:sz w:val="24"/>
          <w:szCs w:val="24"/>
        </w:rPr>
        <w:t xml:space="preserve">and thus </w:t>
      </w:r>
      <w:r w:rsidR="00773C75" w:rsidRPr="008A767B">
        <w:rPr>
          <w:rFonts w:ascii="Times New Roman" w:hAnsi="Times New Roman" w:cs="Times New Roman"/>
          <w:sz w:val="24"/>
          <w:szCs w:val="24"/>
        </w:rPr>
        <w:t xml:space="preserve">provided </w:t>
      </w:r>
      <w:r w:rsidR="00516EF2" w:rsidRPr="008A767B">
        <w:rPr>
          <w:rFonts w:ascii="Times New Roman" w:hAnsi="Times New Roman" w:cs="Times New Roman"/>
          <w:sz w:val="24"/>
          <w:szCs w:val="24"/>
        </w:rPr>
        <w:t xml:space="preserve">any </w:t>
      </w:r>
      <w:r w:rsidR="001B6683" w:rsidRPr="008A767B">
        <w:rPr>
          <w:rFonts w:ascii="Times New Roman" w:hAnsi="Times New Roman" w:cs="Times New Roman"/>
          <w:sz w:val="24"/>
          <w:szCs w:val="24"/>
        </w:rPr>
        <w:t xml:space="preserve">research </w:t>
      </w:r>
      <w:r w:rsidR="00516EF2" w:rsidRPr="008A767B">
        <w:rPr>
          <w:rFonts w:ascii="Times New Roman" w:hAnsi="Times New Roman" w:cs="Times New Roman"/>
          <w:sz w:val="24"/>
          <w:szCs w:val="24"/>
        </w:rPr>
        <w:t xml:space="preserve">data </w:t>
      </w:r>
      <w:r w:rsidR="00FE033B" w:rsidRPr="008A767B">
        <w:rPr>
          <w:rFonts w:ascii="Times New Roman" w:hAnsi="Times New Roman" w:cs="Times New Roman"/>
          <w:sz w:val="24"/>
          <w:szCs w:val="24"/>
        </w:rPr>
        <w:t xml:space="preserve">collected and </w:t>
      </w:r>
      <w:r w:rsidR="001B6683" w:rsidRPr="008A767B">
        <w:rPr>
          <w:rFonts w:ascii="Times New Roman" w:hAnsi="Times New Roman" w:cs="Times New Roman"/>
          <w:sz w:val="24"/>
          <w:szCs w:val="24"/>
        </w:rPr>
        <w:t xml:space="preserve">used </w:t>
      </w:r>
      <w:r w:rsidR="00646DD6" w:rsidRPr="008A767B">
        <w:rPr>
          <w:rFonts w:ascii="Times New Roman" w:hAnsi="Times New Roman" w:cs="Times New Roman"/>
          <w:sz w:val="24"/>
          <w:szCs w:val="24"/>
        </w:rPr>
        <w:t>was</w:t>
      </w:r>
      <w:r w:rsidR="000C1A99" w:rsidRPr="008A767B">
        <w:rPr>
          <w:rFonts w:ascii="Times New Roman" w:hAnsi="Times New Roman" w:cs="Times New Roman"/>
          <w:sz w:val="24"/>
          <w:szCs w:val="24"/>
        </w:rPr>
        <w:t xml:space="preserve"> then processed in accordance with the dat</w:t>
      </w:r>
      <w:r w:rsidR="00646DD6" w:rsidRPr="008A767B">
        <w:rPr>
          <w:rFonts w:ascii="Times New Roman" w:hAnsi="Times New Roman" w:cs="Times New Roman"/>
          <w:sz w:val="24"/>
          <w:szCs w:val="24"/>
        </w:rPr>
        <w:t xml:space="preserve">a protection principles, it would </w:t>
      </w:r>
      <w:r w:rsidR="000C1A99" w:rsidRPr="008A767B">
        <w:rPr>
          <w:rFonts w:ascii="Times New Roman" w:hAnsi="Times New Roman" w:cs="Times New Roman"/>
          <w:sz w:val="24"/>
          <w:szCs w:val="24"/>
        </w:rPr>
        <w:t xml:space="preserve">not </w:t>
      </w:r>
      <w:r w:rsidR="00FE033B" w:rsidRPr="008A767B">
        <w:rPr>
          <w:rFonts w:ascii="Times New Roman" w:hAnsi="Times New Roman" w:cs="Times New Roman"/>
          <w:sz w:val="24"/>
          <w:szCs w:val="24"/>
        </w:rPr>
        <w:t xml:space="preserve">automatically </w:t>
      </w:r>
      <w:r w:rsidR="000C1A99" w:rsidRPr="008A767B">
        <w:rPr>
          <w:rFonts w:ascii="Times New Roman" w:hAnsi="Times New Roman" w:cs="Times New Roman"/>
          <w:sz w:val="24"/>
          <w:szCs w:val="24"/>
        </w:rPr>
        <w:t>be unlawful</w:t>
      </w:r>
      <w:r w:rsidR="001B6683" w:rsidRPr="008A767B">
        <w:rPr>
          <w:rFonts w:ascii="Times New Roman" w:hAnsi="Times New Roman" w:cs="Times New Roman"/>
          <w:sz w:val="24"/>
          <w:szCs w:val="24"/>
        </w:rPr>
        <w:t xml:space="preserve"> by virtue of the </w:t>
      </w:r>
      <w:r w:rsidR="000C1A99" w:rsidRPr="008A767B">
        <w:rPr>
          <w:rFonts w:ascii="Times New Roman" w:hAnsi="Times New Roman" w:cs="Times New Roman"/>
          <w:sz w:val="24"/>
          <w:szCs w:val="24"/>
        </w:rPr>
        <w:t>absence of consent</w:t>
      </w:r>
      <w:r w:rsidR="000C1A99" w:rsidRPr="00C65D6E">
        <w:rPr>
          <w:rFonts w:ascii="Times New Roman" w:hAnsi="Times New Roman" w:cs="Times New Roman"/>
          <w:sz w:val="24"/>
          <w:szCs w:val="24"/>
        </w:rPr>
        <w:t>.</w:t>
      </w:r>
      <w:r w:rsidR="001F1082" w:rsidRPr="00C65D6E">
        <w:rPr>
          <w:rStyle w:val="FootnoteReference"/>
          <w:rFonts w:ascii="Times New Roman" w:hAnsi="Times New Roman" w:cs="Times New Roman"/>
          <w:sz w:val="24"/>
          <w:szCs w:val="24"/>
        </w:rPr>
        <w:footnoteReference w:id="38"/>
      </w:r>
      <w:r w:rsidR="001B6683" w:rsidRPr="00C65D6E">
        <w:rPr>
          <w:rFonts w:ascii="Times New Roman" w:hAnsi="Times New Roman" w:cs="Times New Roman"/>
          <w:sz w:val="24"/>
          <w:szCs w:val="24"/>
        </w:rPr>
        <w:t xml:space="preserve"> </w:t>
      </w:r>
      <w:r w:rsidR="001B6683">
        <w:rPr>
          <w:rFonts w:ascii="Times New Roman" w:hAnsi="Times New Roman" w:cs="Times New Roman"/>
          <w:sz w:val="24"/>
          <w:szCs w:val="24"/>
        </w:rPr>
        <w:t xml:space="preserve"> </w:t>
      </w:r>
      <w:r w:rsidR="002535F3">
        <w:rPr>
          <w:rFonts w:ascii="Times New Roman" w:hAnsi="Times New Roman" w:cs="Times New Roman"/>
          <w:sz w:val="24"/>
          <w:szCs w:val="24"/>
        </w:rPr>
        <w:t xml:space="preserve">As such, </w:t>
      </w:r>
      <w:r w:rsidR="00FE033B">
        <w:rPr>
          <w:rFonts w:ascii="Times New Roman" w:hAnsi="Times New Roman" w:cs="Times New Roman"/>
          <w:sz w:val="24"/>
          <w:szCs w:val="24"/>
        </w:rPr>
        <w:t>i</w:t>
      </w:r>
      <w:r w:rsidR="001F1082">
        <w:rPr>
          <w:rFonts w:ascii="Times New Roman" w:hAnsi="Times New Roman" w:cs="Times New Roman"/>
          <w:sz w:val="24"/>
          <w:szCs w:val="24"/>
        </w:rPr>
        <w:t>t</w:t>
      </w:r>
      <w:r w:rsidR="00FE033B">
        <w:rPr>
          <w:rFonts w:ascii="Times New Roman" w:hAnsi="Times New Roman" w:cs="Times New Roman"/>
          <w:sz w:val="24"/>
          <w:szCs w:val="24"/>
        </w:rPr>
        <w:t xml:space="preserve"> should not </w:t>
      </w:r>
      <w:r w:rsidR="00516EF2">
        <w:rPr>
          <w:rFonts w:ascii="Times New Roman" w:hAnsi="Times New Roman" w:cs="Times New Roman"/>
          <w:sz w:val="24"/>
          <w:szCs w:val="24"/>
        </w:rPr>
        <w:t>be assumed</w:t>
      </w:r>
      <w:r w:rsidR="002535F3">
        <w:rPr>
          <w:rFonts w:ascii="Times New Roman" w:hAnsi="Times New Roman" w:cs="Times New Roman"/>
          <w:sz w:val="24"/>
          <w:szCs w:val="24"/>
        </w:rPr>
        <w:t xml:space="preserve"> that data protection laws will impact upon the MCA’s definition of intrusive research </w:t>
      </w:r>
      <w:r w:rsidR="00FE033B">
        <w:rPr>
          <w:rFonts w:ascii="Times New Roman" w:hAnsi="Times New Roman" w:cs="Times New Roman"/>
          <w:sz w:val="24"/>
          <w:szCs w:val="24"/>
        </w:rPr>
        <w:t>in every case</w:t>
      </w:r>
      <w:r w:rsidR="000C1A99">
        <w:rPr>
          <w:rFonts w:ascii="Times New Roman" w:hAnsi="Times New Roman" w:cs="Times New Roman"/>
          <w:sz w:val="24"/>
          <w:szCs w:val="24"/>
        </w:rPr>
        <w:t>, particularly in the context of m</w:t>
      </w:r>
      <w:r w:rsidR="00036169">
        <w:rPr>
          <w:rFonts w:ascii="Times New Roman" w:hAnsi="Times New Roman" w:cs="Times New Roman"/>
          <w:sz w:val="24"/>
          <w:szCs w:val="24"/>
        </w:rPr>
        <w:t xml:space="preserve">ethods which anonymise </w:t>
      </w:r>
      <w:r w:rsidR="006D428B">
        <w:rPr>
          <w:rFonts w:ascii="Times New Roman" w:hAnsi="Times New Roman" w:cs="Times New Roman"/>
          <w:sz w:val="24"/>
          <w:szCs w:val="24"/>
        </w:rPr>
        <w:t>data</w:t>
      </w:r>
      <w:r w:rsidR="001B6683">
        <w:rPr>
          <w:rFonts w:ascii="Times New Roman" w:hAnsi="Times New Roman" w:cs="Times New Roman"/>
          <w:sz w:val="24"/>
          <w:szCs w:val="24"/>
        </w:rPr>
        <w:t xml:space="preserve">, because </w:t>
      </w:r>
      <w:r w:rsidR="00036169">
        <w:rPr>
          <w:rFonts w:ascii="Times New Roman" w:hAnsi="Times New Roman" w:cs="Times New Roman"/>
          <w:sz w:val="24"/>
          <w:szCs w:val="24"/>
        </w:rPr>
        <w:t>the relevant</w:t>
      </w:r>
      <w:r w:rsidR="001B6683">
        <w:rPr>
          <w:rFonts w:ascii="Times New Roman" w:hAnsi="Times New Roman" w:cs="Times New Roman"/>
          <w:sz w:val="24"/>
          <w:szCs w:val="24"/>
        </w:rPr>
        <w:t xml:space="preserve"> legislation then </w:t>
      </w:r>
      <w:r w:rsidR="00FE033B">
        <w:rPr>
          <w:rFonts w:ascii="Times New Roman" w:hAnsi="Times New Roman" w:cs="Times New Roman"/>
          <w:sz w:val="24"/>
          <w:szCs w:val="24"/>
        </w:rPr>
        <w:t>no longer applies</w:t>
      </w:r>
      <w:r w:rsidR="00504215">
        <w:rPr>
          <w:rFonts w:ascii="Times New Roman" w:hAnsi="Times New Roman" w:cs="Times New Roman"/>
          <w:sz w:val="24"/>
          <w:szCs w:val="24"/>
        </w:rPr>
        <w:t>.</w:t>
      </w:r>
      <w:r w:rsidR="001F1082">
        <w:rPr>
          <w:rStyle w:val="FootnoteReference"/>
          <w:rFonts w:ascii="Times New Roman" w:hAnsi="Times New Roman" w:cs="Times New Roman"/>
          <w:sz w:val="24"/>
          <w:szCs w:val="24"/>
        </w:rPr>
        <w:footnoteReference w:id="39"/>
      </w:r>
      <w:r w:rsidR="00504215">
        <w:rPr>
          <w:rFonts w:ascii="Times New Roman" w:hAnsi="Times New Roman" w:cs="Times New Roman"/>
          <w:sz w:val="24"/>
          <w:szCs w:val="24"/>
        </w:rPr>
        <w:t xml:space="preserve">  </w:t>
      </w:r>
      <w:r w:rsidR="00516EF2">
        <w:rPr>
          <w:rFonts w:ascii="Times New Roman" w:hAnsi="Times New Roman" w:cs="Times New Roman"/>
          <w:sz w:val="24"/>
          <w:szCs w:val="24"/>
        </w:rPr>
        <w:t>Ambiguities are undoubtedly rife, but nonetheless in our view the majority of research involving incapacitated participants</w:t>
      </w:r>
      <w:r w:rsidR="00BC3439">
        <w:rPr>
          <w:rFonts w:ascii="Times New Roman" w:hAnsi="Times New Roman" w:cs="Times New Roman"/>
          <w:sz w:val="24"/>
          <w:szCs w:val="24"/>
        </w:rPr>
        <w:t xml:space="preserve"> seeking </w:t>
      </w:r>
      <w:r w:rsidR="00516EF2">
        <w:rPr>
          <w:rFonts w:ascii="Times New Roman" w:hAnsi="Times New Roman" w:cs="Times New Roman"/>
          <w:sz w:val="24"/>
          <w:szCs w:val="24"/>
        </w:rPr>
        <w:t xml:space="preserve">to employ interview and/or questionnaire </w:t>
      </w:r>
      <w:r w:rsidR="00504215">
        <w:rPr>
          <w:rFonts w:ascii="Times New Roman" w:hAnsi="Times New Roman" w:cs="Times New Roman"/>
          <w:sz w:val="24"/>
          <w:szCs w:val="24"/>
        </w:rPr>
        <w:t>methods</w:t>
      </w:r>
      <w:r w:rsidR="002B2018">
        <w:rPr>
          <w:rFonts w:ascii="Times New Roman" w:hAnsi="Times New Roman" w:cs="Times New Roman"/>
          <w:sz w:val="24"/>
          <w:szCs w:val="24"/>
        </w:rPr>
        <w:t xml:space="preserve"> would fall</w:t>
      </w:r>
      <w:r w:rsidR="00504215">
        <w:rPr>
          <w:rFonts w:ascii="Times New Roman" w:hAnsi="Times New Roman" w:cs="Times New Roman"/>
          <w:sz w:val="24"/>
          <w:szCs w:val="24"/>
        </w:rPr>
        <w:t xml:space="preserve"> </w:t>
      </w:r>
      <w:r w:rsidR="00516EF2">
        <w:rPr>
          <w:rFonts w:ascii="Times New Roman" w:hAnsi="Times New Roman" w:cs="Times New Roman"/>
          <w:sz w:val="24"/>
          <w:szCs w:val="24"/>
        </w:rPr>
        <w:t xml:space="preserve">outside the MCA’s definition </w:t>
      </w:r>
      <w:r w:rsidR="00504215">
        <w:rPr>
          <w:rFonts w:ascii="Times New Roman" w:hAnsi="Times New Roman" w:cs="Times New Roman"/>
          <w:sz w:val="24"/>
          <w:szCs w:val="24"/>
        </w:rPr>
        <w:t>of intrusive research, meaning that strictly speaking researchers should not be bound to follow the rest of the authorisation provisions</w:t>
      </w:r>
      <w:r w:rsidR="001B09EB">
        <w:rPr>
          <w:rFonts w:ascii="Times New Roman" w:hAnsi="Times New Roman" w:cs="Times New Roman"/>
          <w:sz w:val="24"/>
          <w:szCs w:val="24"/>
        </w:rPr>
        <w:t xml:space="preserve">. </w:t>
      </w:r>
      <w:r w:rsidR="001B09EB" w:rsidRPr="001B09EB">
        <w:rPr>
          <w:rFonts w:ascii="Times New Roman" w:hAnsi="Times New Roman" w:cs="Times New Roman"/>
          <w:color w:val="FF0000"/>
          <w:sz w:val="24"/>
          <w:szCs w:val="24"/>
        </w:rPr>
        <w:t xml:space="preserve">Whether </w:t>
      </w:r>
      <w:r w:rsidR="009563B9">
        <w:rPr>
          <w:rFonts w:ascii="Times New Roman" w:hAnsi="Times New Roman" w:cs="Times New Roman"/>
          <w:color w:val="FF0000"/>
          <w:sz w:val="24"/>
          <w:szCs w:val="24"/>
        </w:rPr>
        <w:t xml:space="preserve">or not </w:t>
      </w:r>
      <w:r w:rsidR="00D66ED3">
        <w:rPr>
          <w:rFonts w:ascii="Times New Roman" w:hAnsi="Times New Roman" w:cs="Times New Roman"/>
          <w:color w:val="FF0000"/>
          <w:sz w:val="24"/>
          <w:szCs w:val="24"/>
        </w:rPr>
        <w:t xml:space="preserve">this is recognised in practice </w:t>
      </w:r>
      <w:r w:rsidR="001B09EB" w:rsidRPr="001B09EB">
        <w:rPr>
          <w:rFonts w:ascii="Times New Roman" w:hAnsi="Times New Roman" w:cs="Times New Roman"/>
          <w:color w:val="FF0000"/>
          <w:sz w:val="24"/>
          <w:szCs w:val="24"/>
        </w:rPr>
        <w:t>is a moot point.</w:t>
      </w:r>
    </w:p>
    <w:p w14:paraId="7A00EFC1" w14:textId="5119EE3D" w:rsidR="006C003C" w:rsidRDefault="00BC3439" w:rsidP="00916E68">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E0692D" w:rsidRPr="00C83C97">
        <w:rPr>
          <w:rFonts w:ascii="Times New Roman" w:hAnsi="Times New Roman" w:cs="Times New Roman"/>
          <w:color w:val="FF0000"/>
          <w:sz w:val="24"/>
          <w:szCs w:val="24"/>
        </w:rPr>
        <w:t xml:space="preserve">Regardless </w:t>
      </w:r>
      <w:r w:rsidR="00214CF8" w:rsidRPr="00C83C97">
        <w:rPr>
          <w:rFonts w:ascii="Times New Roman" w:hAnsi="Times New Roman" w:cs="Times New Roman"/>
          <w:color w:val="FF0000"/>
          <w:sz w:val="24"/>
          <w:szCs w:val="24"/>
        </w:rPr>
        <w:t xml:space="preserve">of the correct </w:t>
      </w:r>
      <w:r w:rsidR="002535F3" w:rsidRPr="00C83C97">
        <w:rPr>
          <w:rFonts w:ascii="Times New Roman" w:hAnsi="Times New Roman" w:cs="Times New Roman"/>
          <w:color w:val="FF0000"/>
          <w:sz w:val="24"/>
          <w:szCs w:val="24"/>
        </w:rPr>
        <w:t xml:space="preserve">position </w:t>
      </w:r>
      <w:r w:rsidRPr="00C83C97">
        <w:rPr>
          <w:rFonts w:ascii="Times New Roman" w:hAnsi="Times New Roman" w:cs="Times New Roman"/>
          <w:color w:val="FF0000"/>
          <w:sz w:val="24"/>
          <w:szCs w:val="24"/>
        </w:rPr>
        <w:t>of the lawfulness or otherwise of certain types of observational, interview and questionnaire research</w:t>
      </w:r>
      <w:r w:rsidR="00E03C3D" w:rsidRPr="00C83C97">
        <w:rPr>
          <w:rFonts w:ascii="Times New Roman" w:hAnsi="Times New Roman" w:cs="Times New Roman"/>
          <w:color w:val="FF0000"/>
          <w:sz w:val="24"/>
          <w:szCs w:val="24"/>
        </w:rPr>
        <w:t xml:space="preserve"> without consent, </w:t>
      </w:r>
      <w:r w:rsidRPr="00C83C97">
        <w:rPr>
          <w:rFonts w:ascii="Times New Roman" w:hAnsi="Times New Roman" w:cs="Times New Roman"/>
          <w:color w:val="FF0000"/>
          <w:sz w:val="24"/>
          <w:szCs w:val="24"/>
        </w:rPr>
        <w:t>the MCA Code of Practice (COP)</w:t>
      </w:r>
      <w:r w:rsidR="002B2018" w:rsidRPr="00C83C97">
        <w:rPr>
          <w:rFonts w:ascii="Times New Roman" w:hAnsi="Times New Roman" w:cs="Times New Roman"/>
          <w:color w:val="FF0000"/>
          <w:sz w:val="24"/>
          <w:szCs w:val="24"/>
        </w:rPr>
        <w:t>,</w:t>
      </w:r>
      <w:r w:rsidRPr="00C83C97">
        <w:rPr>
          <w:rFonts w:ascii="Times New Roman" w:hAnsi="Times New Roman" w:cs="Times New Roman"/>
          <w:color w:val="FF0000"/>
          <w:sz w:val="24"/>
          <w:szCs w:val="24"/>
        </w:rPr>
        <w:t xml:space="preserve"> and other associated professional regulatory guidelines</w:t>
      </w:r>
      <w:r w:rsidR="002B2018" w:rsidRPr="00C83C97">
        <w:rPr>
          <w:rFonts w:ascii="Times New Roman" w:hAnsi="Times New Roman" w:cs="Times New Roman"/>
          <w:color w:val="FF0000"/>
          <w:sz w:val="24"/>
          <w:szCs w:val="24"/>
        </w:rPr>
        <w:t>,</w:t>
      </w:r>
      <w:r w:rsidRPr="00C83C97">
        <w:rPr>
          <w:rFonts w:ascii="Times New Roman" w:hAnsi="Times New Roman" w:cs="Times New Roman"/>
          <w:color w:val="FF0000"/>
          <w:sz w:val="24"/>
          <w:szCs w:val="24"/>
        </w:rPr>
        <w:t xml:space="preserve"> have</w:t>
      </w:r>
      <w:r w:rsidR="00D20461" w:rsidRPr="00C83C97">
        <w:rPr>
          <w:rFonts w:ascii="Times New Roman" w:hAnsi="Times New Roman" w:cs="Times New Roman"/>
          <w:color w:val="FF0000"/>
          <w:sz w:val="24"/>
          <w:szCs w:val="24"/>
        </w:rPr>
        <w:t xml:space="preserve"> sought to provide</w:t>
      </w:r>
      <w:r w:rsidR="00D66ED3">
        <w:rPr>
          <w:rFonts w:ascii="Times New Roman" w:hAnsi="Times New Roman" w:cs="Times New Roman"/>
          <w:color w:val="FF0000"/>
          <w:sz w:val="24"/>
          <w:szCs w:val="24"/>
        </w:rPr>
        <w:t xml:space="preserve"> further guidance on the meaning of intrusive research</w:t>
      </w:r>
      <w:r w:rsidR="00D20461" w:rsidRPr="00C83C97">
        <w:rPr>
          <w:rFonts w:ascii="Times New Roman" w:hAnsi="Times New Roman" w:cs="Times New Roman"/>
          <w:color w:val="FF0000"/>
          <w:sz w:val="24"/>
          <w:szCs w:val="24"/>
        </w:rPr>
        <w:t xml:space="preserve">.  The COP, at various junctures, seems to hedge its bets by suggesting that interview and observational research </w:t>
      </w:r>
      <w:r w:rsidR="005E3D02" w:rsidRPr="002151A9">
        <w:rPr>
          <w:rFonts w:ascii="Times New Roman" w:hAnsi="Times New Roman" w:cs="Times New Roman"/>
          <w:i/>
          <w:color w:val="FF0000"/>
          <w:sz w:val="24"/>
          <w:szCs w:val="24"/>
        </w:rPr>
        <w:t>could</w:t>
      </w:r>
      <w:r w:rsidR="005E3D02" w:rsidRPr="00C83C97">
        <w:rPr>
          <w:rFonts w:ascii="Times New Roman" w:hAnsi="Times New Roman" w:cs="Times New Roman"/>
          <w:color w:val="FF0000"/>
          <w:sz w:val="24"/>
          <w:szCs w:val="24"/>
        </w:rPr>
        <w:t xml:space="preserve"> </w:t>
      </w:r>
      <w:r w:rsidR="00D20461" w:rsidRPr="00C83C97">
        <w:rPr>
          <w:rFonts w:ascii="Times New Roman" w:hAnsi="Times New Roman" w:cs="Times New Roman"/>
          <w:color w:val="FF0000"/>
          <w:sz w:val="24"/>
          <w:szCs w:val="24"/>
        </w:rPr>
        <w:t>be intrusive research in certain circumstances,</w:t>
      </w:r>
      <w:r w:rsidR="00D20461" w:rsidRPr="00C83C97">
        <w:rPr>
          <w:rStyle w:val="FootnoteReference"/>
          <w:rFonts w:ascii="Times New Roman" w:hAnsi="Times New Roman" w:cs="Times New Roman"/>
          <w:color w:val="FF0000"/>
          <w:sz w:val="24"/>
          <w:szCs w:val="24"/>
        </w:rPr>
        <w:footnoteReference w:id="40"/>
      </w:r>
      <w:r w:rsidR="00D20461" w:rsidRPr="00C83C97">
        <w:rPr>
          <w:rFonts w:ascii="Times New Roman" w:hAnsi="Times New Roman" w:cs="Times New Roman"/>
          <w:color w:val="FF0000"/>
          <w:sz w:val="24"/>
          <w:szCs w:val="24"/>
        </w:rPr>
        <w:t xml:space="preserve"> whereas the guidance from the Health Research Authority</w:t>
      </w:r>
      <w:r w:rsidR="006C003C">
        <w:rPr>
          <w:rFonts w:ascii="Times New Roman" w:hAnsi="Times New Roman" w:cs="Times New Roman"/>
          <w:color w:val="FF0000"/>
          <w:sz w:val="24"/>
          <w:szCs w:val="24"/>
        </w:rPr>
        <w:t xml:space="preserve"> (HRA) </w:t>
      </w:r>
      <w:r w:rsidR="00D20461" w:rsidRPr="00C83C97">
        <w:rPr>
          <w:rFonts w:ascii="Times New Roman" w:hAnsi="Times New Roman" w:cs="Times New Roman"/>
          <w:color w:val="FF0000"/>
          <w:sz w:val="24"/>
          <w:szCs w:val="24"/>
        </w:rPr>
        <w:t>is a little more forthright</w:t>
      </w:r>
      <w:r w:rsidR="00C83C97">
        <w:rPr>
          <w:rFonts w:ascii="Times New Roman" w:hAnsi="Times New Roman" w:cs="Times New Roman"/>
          <w:color w:val="FF0000"/>
          <w:sz w:val="24"/>
          <w:szCs w:val="24"/>
        </w:rPr>
        <w:t>.</w:t>
      </w:r>
      <w:r w:rsidR="00D20461" w:rsidRPr="00C83C97">
        <w:rPr>
          <w:rFonts w:ascii="Times New Roman" w:hAnsi="Times New Roman" w:cs="Times New Roman"/>
          <w:color w:val="FF0000"/>
          <w:sz w:val="24"/>
          <w:szCs w:val="24"/>
        </w:rPr>
        <w:t xml:space="preserve"> </w:t>
      </w:r>
      <w:r w:rsidR="00C83C97">
        <w:rPr>
          <w:rFonts w:ascii="Times New Roman" w:hAnsi="Times New Roman" w:cs="Times New Roman"/>
          <w:color w:val="FF0000"/>
          <w:sz w:val="24"/>
          <w:szCs w:val="24"/>
        </w:rPr>
        <w:t xml:space="preserve">It states </w:t>
      </w:r>
      <w:r w:rsidR="00D20461" w:rsidRPr="00C83C97">
        <w:rPr>
          <w:rFonts w:ascii="Times New Roman" w:hAnsi="Times New Roman" w:cs="Times New Roman"/>
          <w:color w:val="FF0000"/>
          <w:sz w:val="24"/>
          <w:szCs w:val="24"/>
        </w:rPr>
        <w:t>that</w:t>
      </w:r>
      <w:r w:rsidR="005E3D02" w:rsidRPr="00C83C97">
        <w:rPr>
          <w:rFonts w:ascii="Times New Roman" w:hAnsi="Times New Roman" w:cs="Times New Roman"/>
          <w:color w:val="FF0000"/>
          <w:sz w:val="24"/>
          <w:szCs w:val="24"/>
        </w:rPr>
        <w:t xml:space="preserve"> intrusive research includes non-interventional research where consent is legally required</w:t>
      </w:r>
      <w:r w:rsidR="00C83C97">
        <w:rPr>
          <w:rFonts w:ascii="Times New Roman" w:hAnsi="Times New Roman" w:cs="Times New Roman"/>
          <w:color w:val="FF0000"/>
          <w:sz w:val="24"/>
          <w:szCs w:val="24"/>
        </w:rPr>
        <w:t>.</w:t>
      </w:r>
      <w:r w:rsidR="00C83C97">
        <w:rPr>
          <w:rStyle w:val="FootnoteReference"/>
          <w:rFonts w:ascii="Times New Roman" w:hAnsi="Times New Roman" w:cs="Times New Roman"/>
          <w:color w:val="FF0000"/>
          <w:sz w:val="24"/>
          <w:szCs w:val="24"/>
        </w:rPr>
        <w:footnoteReference w:id="41"/>
      </w:r>
      <w:r w:rsidR="00D66ED3">
        <w:rPr>
          <w:rFonts w:ascii="Times New Roman" w:hAnsi="Times New Roman" w:cs="Times New Roman"/>
          <w:color w:val="FF0000"/>
          <w:sz w:val="24"/>
          <w:szCs w:val="24"/>
        </w:rPr>
        <w:t xml:space="preserve">  T</w:t>
      </w:r>
      <w:r w:rsidR="00C83C97">
        <w:rPr>
          <w:rFonts w:ascii="Times New Roman" w:hAnsi="Times New Roman" w:cs="Times New Roman"/>
          <w:color w:val="FF0000"/>
          <w:sz w:val="24"/>
          <w:szCs w:val="24"/>
        </w:rPr>
        <w:t xml:space="preserve">he guidance </w:t>
      </w:r>
      <w:r w:rsidR="005E3D02" w:rsidRPr="00C83C97">
        <w:rPr>
          <w:rFonts w:ascii="Times New Roman" w:hAnsi="Times New Roman" w:cs="Times New Roman"/>
          <w:color w:val="FF0000"/>
          <w:sz w:val="24"/>
          <w:szCs w:val="24"/>
        </w:rPr>
        <w:t>then proceeds to give examples of the administration of questionnaires, interviews or observations.</w:t>
      </w:r>
      <w:r w:rsidR="00C83C97" w:rsidRPr="00C83C97">
        <w:rPr>
          <w:rStyle w:val="FootnoteReference"/>
          <w:rFonts w:ascii="Times New Roman" w:hAnsi="Times New Roman" w:cs="Times New Roman"/>
          <w:color w:val="FF0000"/>
          <w:sz w:val="24"/>
          <w:szCs w:val="24"/>
        </w:rPr>
        <w:footnoteReference w:id="42"/>
      </w:r>
      <w:r w:rsidR="00D66ED3">
        <w:rPr>
          <w:rFonts w:ascii="Times New Roman" w:hAnsi="Times New Roman" w:cs="Times New Roman"/>
          <w:color w:val="FF0000"/>
          <w:sz w:val="24"/>
          <w:szCs w:val="24"/>
        </w:rPr>
        <w:t xml:space="preserve">  There is </w:t>
      </w:r>
      <w:proofErr w:type="gramStart"/>
      <w:r w:rsidR="00D66ED3">
        <w:rPr>
          <w:rFonts w:ascii="Times New Roman" w:hAnsi="Times New Roman" w:cs="Times New Roman"/>
          <w:color w:val="FF0000"/>
          <w:sz w:val="24"/>
          <w:szCs w:val="24"/>
        </w:rPr>
        <w:t>nothing inaccurate</w:t>
      </w:r>
      <w:proofErr w:type="gramEnd"/>
      <w:r w:rsidR="00D66ED3">
        <w:rPr>
          <w:rFonts w:ascii="Times New Roman" w:hAnsi="Times New Roman" w:cs="Times New Roman"/>
          <w:color w:val="FF0000"/>
          <w:sz w:val="24"/>
          <w:szCs w:val="24"/>
        </w:rPr>
        <w:t xml:space="preserve"> about that, but</w:t>
      </w:r>
      <w:r w:rsidR="00F04067">
        <w:rPr>
          <w:rFonts w:ascii="Times New Roman" w:hAnsi="Times New Roman" w:cs="Times New Roman"/>
          <w:color w:val="FF0000"/>
          <w:sz w:val="24"/>
          <w:szCs w:val="24"/>
        </w:rPr>
        <w:t xml:space="preserve"> the guidance </w:t>
      </w:r>
      <w:bookmarkStart w:id="1" w:name="_GoBack"/>
      <w:bookmarkEnd w:id="1"/>
      <w:r w:rsidR="006C003C">
        <w:rPr>
          <w:rFonts w:ascii="Times New Roman" w:hAnsi="Times New Roman" w:cs="Times New Roman"/>
          <w:color w:val="FF0000"/>
          <w:sz w:val="24"/>
          <w:szCs w:val="24"/>
        </w:rPr>
        <w:t xml:space="preserve">lacks sufficient depth and clarity on the examples it provides of </w:t>
      </w:r>
      <w:r w:rsidR="006C003C">
        <w:rPr>
          <w:rFonts w:ascii="Times New Roman" w:hAnsi="Times New Roman" w:cs="Times New Roman"/>
          <w:color w:val="FF0000"/>
          <w:sz w:val="24"/>
          <w:szCs w:val="24"/>
        </w:rPr>
        <w:lastRenderedPageBreak/>
        <w:t>non-intrusive research</w:t>
      </w:r>
      <w:r w:rsidR="005E3D02" w:rsidRPr="00C83C97">
        <w:rPr>
          <w:rFonts w:ascii="Times New Roman" w:hAnsi="Times New Roman" w:cs="Times New Roman"/>
          <w:color w:val="FF0000"/>
          <w:sz w:val="24"/>
          <w:szCs w:val="24"/>
        </w:rPr>
        <w:t>.  The danger</w:t>
      </w:r>
      <w:r w:rsidR="002151A9">
        <w:rPr>
          <w:rFonts w:ascii="Times New Roman" w:hAnsi="Times New Roman" w:cs="Times New Roman"/>
          <w:color w:val="FF0000"/>
          <w:sz w:val="24"/>
          <w:szCs w:val="24"/>
        </w:rPr>
        <w:t xml:space="preserve"> here is that researchers may be inclined to read this and to </w:t>
      </w:r>
      <w:r w:rsidR="00441C92">
        <w:rPr>
          <w:rFonts w:ascii="Times New Roman" w:hAnsi="Times New Roman" w:cs="Times New Roman"/>
          <w:color w:val="FF0000"/>
          <w:sz w:val="24"/>
          <w:szCs w:val="24"/>
        </w:rPr>
        <w:t xml:space="preserve">think that every project utilising </w:t>
      </w:r>
      <w:r w:rsidR="005E3D02" w:rsidRPr="00C83C97">
        <w:rPr>
          <w:rFonts w:ascii="Times New Roman" w:hAnsi="Times New Roman" w:cs="Times New Roman"/>
          <w:color w:val="FF0000"/>
          <w:sz w:val="24"/>
          <w:szCs w:val="24"/>
        </w:rPr>
        <w:t xml:space="preserve">questionnaires, interviews and observations involving incapacitated participants will </w:t>
      </w:r>
      <w:r w:rsidR="00C83C97">
        <w:rPr>
          <w:rFonts w:ascii="Times New Roman" w:hAnsi="Times New Roman" w:cs="Times New Roman"/>
          <w:color w:val="FF0000"/>
          <w:sz w:val="24"/>
          <w:szCs w:val="24"/>
        </w:rPr>
        <w:t xml:space="preserve">automatically </w:t>
      </w:r>
      <w:r w:rsidR="005E3D02" w:rsidRPr="00C83C97">
        <w:rPr>
          <w:rFonts w:ascii="Times New Roman" w:hAnsi="Times New Roman" w:cs="Times New Roman"/>
          <w:color w:val="FF0000"/>
          <w:sz w:val="24"/>
          <w:szCs w:val="24"/>
        </w:rPr>
        <w:t>fall withi</w:t>
      </w:r>
      <w:r w:rsidR="00C83C97" w:rsidRPr="00C83C97">
        <w:rPr>
          <w:rFonts w:ascii="Times New Roman" w:hAnsi="Times New Roman" w:cs="Times New Roman"/>
          <w:color w:val="FF0000"/>
          <w:sz w:val="24"/>
          <w:szCs w:val="24"/>
        </w:rPr>
        <w:t>n the scope of the MC</w:t>
      </w:r>
      <w:r w:rsidR="00396434">
        <w:rPr>
          <w:rFonts w:ascii="Times New Roman" w:hAnsi="Times New Roman" w:cs="Times New Roman"/>
          <w:color w:val="FF0000"/>
          <w:sz w:val="24"/>
          <w:szCs w:val="24"/>
        </w:rPr>
        <w:t xml:space="preserve">A and must therefore </w:t>
      </w:r>
      <w:r w:rsidR="00C83C97">
        <w:rPr>
          <w:rFonts w:ascii="Times New Roman" w:hAnsi="Times New Roman" w:cs="Times New Roman"/>
          <w:color w:val="FF0000"/>
          <w:sz w:val="24"/>
          <w:szCs w:val="24"/>
        </w:rPr>
        <w:t xml:space="preserve">comply with the regulatory </w:t>
      </w:r>
      <w:r w:rsidR="00C83C97" w:rsidRPr="00C83C97">
        <w:rPr>
          <w:rFonts w:ascii="Times New Roman" w:hAnsi="Times New Roman" w:cs="Times New Roman"/>
          <w:color w:val="FF0000"/>
          <w:sz w:val="24"/>
          <w:szCs w:val="24"/>
        </w:rPr>
        <w:t>requ</w:t>
      </w:r>
      <w:r w:rsidR="00367060">
        <w:rPr>
          <w:rFonts w:ascii="Times New Roman" w:hAnsi="Times New Roman" w:cs="Times New Roman"/>
          <w:color w:val="FF0000"/>
          <w:sz w:val="24"/>
          <w:szCs w:val="24"/>
        </w:rPr>
        <w:t>irements for research approval.</w:t>
      </w:r>
    </w:p>
    <w:p w14:paraId="42660B64" w14:textId="0621C9BB" w:rsidR="00D35680" w:rsidRDefault="006C003C" w:rsidP="00916E68">
      <w:pPr>
        <w:spacing w:after="0" w:line="360" w:lineRule="auto"/>
        <w:jc w:val="both"/>
        <w:rPr>
          <w:rFonts w:ascii="Times New Roman" w:hAnsi="Times New Roman"/>
          <w:sz w:val="24"/>
          <w:szCs w:val="24"/>
        </w:rPr>
      </w:pPr>
      <w:r>
        <w:rPr>
          <w:rFonts w:ascii="Times New Roman" w:hAnsi="Times New Roman" w:cs="Times New Roman"/>
          <w:color w:val="FF0000"/>
          <w:sz w:val="24"/>
          <w:szCs w:val="24"/>
        </w:rPr>
        <w:tab/>
      </w:r>
      <w:r w:rsidR="00916E68" w:rsidRPr="00916E68">
        <w:rPr>
          <w:rFonts w:ascii="Times New Roman" w:hAnsi="Times New Roman" w:cs="Times New Roman"/>
          <w:color w:val="FF0000"/>
          <w:sz w:val="24"/>
          <w:szCs w:val="24"/>
        </w:rPr>
        <w:t xml:space="preserve">As it </w:t>
      </w:r>
      <w:r w:rsidR="00916E68" w:rsidRPr="00916E68">
        <w:rPr>
          <w:rFonts w:ascii="Times New Roman" w:hAnsi="Times New Roman"/>
          <w:color w:val="FF0000"/>
          <w:sz w:val="24"/>
          <w:szCs w:val="24"/>
        </w:rPr>
        <w:t xml:space="preserve">is </w:t>
      </w:r>
      <w:r>
        <w:rPr>
          <w:rFonts w:ascii="Times New Roman" w:hAnsi="Times New Roman"/>
          <w:color w:val="FF0000"/>
          <w:sz w:val="24"/>
          <w:szCs w:val="24"/>
        </w:rPr>
        <w:t xml:space="preserve">probable </w:t>
      </w:r>
      <w:r w:rsidR="00916E68" w:rsidRPr="00916E68">
        <w:rPr>
          <w:rFonts w:ascii="Times New Roman" w:hAnsi="Times New Roman"/>
          <w:color w:val="FF0000"/>
          <w:sz w:val="24"/>
          <w:szCs w:val="24"/>
        </w:rPr>
        <w:t>that researchers will often</w:t>
      </w:r>
      <w:r>
        <w:rPr>
          <w:rFonts w:ascii="Times New Roman" w:hAnsi="Times New Roman"/>
          <w:color w:val="FF0000"/>
          <w:sz w:val="24"/>
          <w:szCs w:val="24"/>
        </w:rPr>
        <w:t xml:space="preserve"> consult the COP and HRA guidance first</w:t>
      </w:r>
      <w:r w:rsidR="00916E68" w:rsidRPr="00916E68">
        <w:rPr>
          <w:rFonts w:ascii="Times New Roman" w:hAnsi="Times New Roman"/>
          <w:color w:val="FF0000"/>
          <w:sz w:val="24"/>
          <w:szCs w:val="24"/>
        </w:rPr>
        <w:t xml:space="preserve">, we suggest that addressing the uncertainties associated with the central definition of intrusive research, which is crucial to how the remainder to the MCA research provisions operate, is a matter that needs to be clarified to a greater extent than is currently the case.  </w:t>
      </w:r>
      <w:r w:rsidR="0057506E" w:rsidRPr="00916E68">
        <w:rPr>
          <w:rFonts w:ascii="Times New Roman" w:hAnsi="Times New Roman"/>
          <w:color w:val="FF0000"/>
          <w:sz w:val="24"/>
          <w:szCs w:val="24"/>
        </w:rPr>
        <w:t xml:space="preserve">It is not </w:t>
      </w:r>
      <w:r w:rsidR="00396434" w:rsidRPr="00916E68">
        <w:rPr>
          <w:rFonts w:ascii="Times New Roman" w:hAnsi="Times New Roman"/>
          <w:color w:val="FF0000"/>
          <w:sz w:val="24"/>
          <w:szCs w:val="24"/>
        </w:rPr>
        <w:t>unusual for primary legislation to remain sufficiently broad to allow some scope for development and adaptation.</w:t>
      </w:r>
      <w:r w:rsidR="00B27CAF" w:rsidRPr="00916E68">
        <w:rPr>
          <w:rStyle w:val="FootnoteReference"/>
          <w:rFonts w:ascii="Times New Roman" w:hAnsi="Times New Roman"/>
          <w:color w:val="FF0000"/>
          <w:sz w:val="24"/>
          <w:szCs w:val="24"/>
        </w:rPr>
        <w:footnoteReference w:id="43"/>
      </w:r>
      <w:r w:rsidR="00441C92" w:rsidRPr="00916E68">
        <w:rPr>
          <w:rFonts w:ascii="Times New Roman" w:hAnsi="Times New Roman"/>
          <w:color w:val="FF0000"/>
          <w:sz w:val="24"/>
          <w:szCs w:val="24"/>
        </w:rPr>
        <w:t xml:space="preserve">  </w:t>
      </w:r>
      <w:r w:rsidR="00A71409" w:rsidRPr="00916E68">
        <w:rPr>
          <w:rFonts w:ascii="Times New Roman" w:hAnsi="Times New Roman"/>
          <w:color w:val="FF0000"/>
          <w:sz w:val="24"/>
          <w:szCs w:val="24"/>
        </w:rPr>
        <w:t>This may well have been the intention underpinning the MCA’s definition of intrusive research and there may well have been merit in that drafting technique,</w:t>
      </w:r>
      <w:r w:rsidR="00441C92" w:rsidRPr="00916E68">
        <w:rPr>
          <w:rFonts w:ascii="Times New Roman" w:hAnsi="Times New Roman"/>
          <w:color w:val="FF0000"/>
          <w:sz w:val="24"/>
          <w:szCs w:val="24"/>
        </w:rPr>
        <w:t xml:space="preserve"> for adopting</w:t>
      </w:r>
      <w:r w:rsidR="00916E68">
        <w:rPr>
          <w:rFonts w:ascii="Times New Roman" w:hAnsi="Times New Roman"/>
          <w:color w:val="FF0000"/>
          <w:sz w:val="24"/>
          <w:szCs w:val="24"/>
        </w:rPr>
        <w:t xml:space="preserve"> that </w:t>
      </w:r>
      <w:r w:rsidR="00441C92" w:rsidRPr="00916E68">
        <w:rPr>
          <w:rFonts w:ascii="Times New Roman" w:hAnsi="Times New Roman"/>
          <w:color w:val="FF0000"/>
          <w:sz w:val="24"/>
          <w:szCs w:val="24"/>
        </w:rPr>
        <w:t>approach</w:t>
      </w:r>
      <w:r w:rsidR="00916E68">
        <w:rPr>
          <w:rFonts w:ascii="Times New Roman" w:hAnsi="Times New Roman"/>
          <w:color w:val="FF0000"/>
          <w:sz w:val="24"/>
          <w:szCs w:val="24"/>
        </w:rPr>
        <w:t xml:space="preserve"> </w:t>
      </w:r>
      <w:r w:rsidR="004301CB">
        <w:rPr>
          <w:rFonts w:ascii="Times New Roman" w:hAnsi="Times New Roman"/>
          <w:color w:val="FF0000"/>
          <w:sz w:val="24"/>
          <w:szCs w:val="24"/>
        </w:rPr>
        <w:t xml:space="preserve">has </w:t>
      </w:r>
      <w:r w:rsidR="00A71409" w:rsidRPr="00916E68">
        <w:rPr>
          <w:rFonts w:ascii="Times New Roman" w:hAnsi="Times New Roman"/>
          <w:color w:val="FF0000"/>
          <w:sz w:val="24"/>
          <w:szCs w:val="24"/>
        </w:rPr>
        <w:t>allowed the law to remain flexible and capable of adapting to changes in legal and social attitudes towards human rights, and research.</w:t>
      </w:r>
      <w:r w:rsidR="00441C92" w:rsidRPr="00916E68">
        <w:rPr>
          <w:rStyle w:val="FootnoteReference"/>
          <w:rFonts w:ascii="Times New Roman" w:hAnsi="Times New Roman"/>
          <w:color w:val="FF0000"/>
          <w:sz w:val="24"/>
          <w:szCs w:val="24"/>
        </w:rPr>
        <w:footnoteReference w:id="44"/>
      </w:r>
      <w:r w:rsidR="00A71409" w:rsidRPr="00916E68">
        <w:rPr>
          <w:rFonts w:ascii="Times New Roman" w:hAnsi="Times New Roman"/>
          <w:color w:val="FF0000"/>
          <w:sz w:val="24"/>
          <w:szCs w:val="24"/>
        </w:rPr>
        <w:t xml:space="preserve">  </w:t>
      </w:r>
      <w:r w:rsidR="00E52CD5" w:rsidRPr="00916E68">
        <w:rPr>
          <w:rFonts w:ascii="Times New Roman" w:hAnsi="Times New Roman"/>
          <w:color w:val="FF0000"/>
          <w:sz w:val="24"/>
          <w:szCs w:val="24"/>
        </w:rPr>
        <w:t xml:space="preserve">Delegating the finer points </w:t>
      </w:r>
      <w:r w:rsidR="004301CB">
        <w:rPr>
          <w:rFonts w:ascii="Times New Roman" w:hAnsi="Times New Roman"/>
          <w:color w:val="FF0000"/>
          <w:sz w:val="24"/>
          <w:szCs w:val="24"/>
        </w:rPr>
        <w:t>to supplementary guidance from the COP and HRA</w:t>
      </w:r>
      <w:r w:rsidR="00D35680" w:rsidRPr="00916E68">
        <w:rPr>
          <w:rFonts w:ascii="Times New Roman" w:hAnsi="Times New Roman"/>
          <w:color w:val="FF0000"/>
          <w:sz w:val="24"/>
          <w:szCs w:val="24"/>
        </w:rPr>
        <w:t xml:space="preserve"> therefore confers a number of benefits </w:t>
      </w:r>
      <w:r w:rsidR="008428C6">
        <w:rPr>
          <w:rFonts w:ascii="Times New Roman" w:hAnsi="Times New Roman"/>
          <w:color w:val="FF0000"/>
          <w:sz w:val="24"/>
          <w:szCs w:val="24"/>
        </w:rPr>
        <w:t xml:space="preserve">on </w:t>
      </w:r>
      <w:r w:rsidR="00D35680" w:rsidRPr="00916E68">
        <w:rPr>
          <w:rFonts w:ascii="Times New Roman" w:hAnsi="Times New Roman"/>
          <w:color w:val="FF0000"/>
          <w:sz w:val="24"/>
          <w:szCs w:val="24"/>
        </w:rPr>
        <w:t xml:space="preserve">the MCA </w:t>
      </w:r>
      <w:r w:rsidR="008428C6">
        <w:rPr>
          <w:rFonts w:ascii="Times New Roman" w:hAnsi="Times New Roman"/>
          <w:color w:val="FF0000"/>
          <w:sz w:val="24"/>
          <w:szCs w:val="24"/>
        </w:rPr>
        <w:t xml:space="preserve">in the sense that the former </w:t>
      </w:r>
      <w:r w:rsidR="004301CB">
        <w:rPr>
          <w:rFonts w:ascii="Times New Roman" w:hAnsi="Times New Roman"/>
          <w:color w:val="FF0000"/>
          <w:sz w:val="24"/>
          <w:szCs w:val="24"/>
        </w:rPr>
        <w:t xml:space="preserve">documents </w:t>
      </w:r>
      <w:r w:rsidR="008428C6">
        <w:rPr>
          <w:rFonts w:ascii="Times New Roman" w:hAnsi="Times New Roman"/>
          <w:color w:val="FF0000"/>
          <w:sz w:val="24"/>
          <w:szCs w:val="24"/>
        </w:rPr>
        <w:t xml:space="preserve">not only </w:t>
      </w:r>
      <w:r w:rsidR="004301CB">
        <w:rPr>
          <w:rFonts w:ascii="Times New Roman" w:hAnsi="Times New Roman"/>
          <w:color w:val="FF0000"/>
          <w:sz w:val="24"/>
          <w:szCs w:val="24"/>
        </w:rPr>
        <w:t>complement</w:t>
      </w:r>
      <w:r w:rsidR="008428C6">
        <w:rPr>
          <w:rFonts w:ascii="Times New Roman" w:hAnsi="Times New Roman"/>
          <w:color w:val="FF0000"/>
          <w:sz w:val="24"/>
          <w:szCs w:val="24"/>
        </w:rPr>
        <w:t xml:space="preserve">, but also </w:t>
      </w:r>
      <w:r w:rsidR="004301CB">
        <w:rPr>
          <w:rFonts w:ascii="Times New Roman" w:hAnsi="Times New Roman"/>
          <w:color w:val="FF0000"/>
          <w:sz w:val="24"/>
          <w:szCs w:val="24"/>
        </w:rPr>
        <w:t>elaborate</w:t>
      </w:r>
      <w:r w:rsidR="00D35680" w:rsidRPr="00916E68">
        <w:rPr>
          <w:rFonts w:ascii="Times New Roman" w:hAnsi="Times New Roman"/>
          <w:color w:val="FF0000"/>
          <w:sz w:val="24"/>
          <w:szCs w:val="24"/>
        </w:rPr>
        <w:t xml:space="preserve"> upon</w:t>
      </w:r>
      <w:r w:rsidR="008428C6">
        <w:rPr>
          <w:rFonts w:ascii="Times New Roman" w:hAnsi="Times New Roman"/>
          <w:color w:val="FF0000"/>
          <w:sz w:val="24"/>
          <w:szCs w:val="24"/>
        </w:rPr>
        <w:t>,</w:t>
      </w:r>
      <w:r w:rsidR="00D35680" w:rsidRPr="00916E68">
        <w:rPr>
          <w:rFonts w:ascii="Times New Roman" w:hAnsi="Times New Roman"/>
          <w:color w:val="FF0000"/>
          <w:sz w:val="24"/>
          <w:szCs w:val="24"/>
        </w:rPr>
        <w:t xml:space="preserve"> the</w:t>
      </w:r>
      <w:r w:rsidR="008428C6">
        <w:rPr>
          <w:rFonts w:ascii="Times New Roman" w:hAnsi="Times New Roman"/>
          <w:color w:val="FF0000"/>
          <w:sz w:val="24"/>
          <w:szCs w:val="24"/>
        </w:rPr>
        <w:t xml:space="preserve"> more general framework provided by the latter.  </w:t>
      </w:r>
      <w:r w:rsidR="00D35680" w:rsidRPr="00916E68">
        <w:rPr>
          <w:rFonts w:ascii="Times New Roman" w:hAnsi="Times New Roman"/>
          <w:color w:val="FF0000"/>
          <w:sz w:val="24"/>
          <w:szCs w:val="24"/>
        </w:rPr>
        <w:t xml:space="preserve">Nevertheless, </w:t>
      </w:r>
      <w:r w:rsidR="004301CB">
        <w:rPr>
          <w:rFonts w:ascii="Times New Roman" w:hAnsi="Times New Roman"/>
          <w:color w:val="FF0000"/>
          <w:sz w:val="24"/>
          <w:szCs w:val="24"/>
        </w:rPr>
        <w:t xml:space="preserve">if the guidance contained in those documents </w:t>
      </w:r>
      <w:r w:rsidR="00B27CAF" w:rsidRPr="00916E68">
        <w:rPr>
          <w:rFonts w:ascii="Times New Roman" w:hAnsi="Times New Roman"/>
          <w:color w:val="FF0000"/>
          <w:sz w:val="24"/>
          <w:szCs w:val="24"/>
        </w:rPr>
        <w:t xml:space="preserve">remains opaque, </w:t>
      </w:r>
      <w:r w:rsidR="00C93BE3">
        <w:rPr>
          <w:rFonts w:ascii="Times New Roman" w:hAnsi="Times New Roman"/>
          <w:color w:val="FF0000"/>
          <w:sz w:val="24"/>
          <w:szCs w:val="24"/>
        </w:rPr>
        <w:t xml:space="preserve">little will </w:t>
      </w:r>
      <w:r w:rsidR="00D35680" w:rsidRPr="00916E68">
        <w:rPr>
          <w:rFonts w:ascii="Times New Roman" w:hAnsi="Times New Roman"/>
          <w:color w:val="FF0000"/>
          <w:sz w:val="24"/>
          <w:szCs w:val="24"/>
        </w:rPr>
        <w:t xml:space="preserve">be done </w:t>
      </w:r>
      <w:r w:rsidR="00B27CAF" w:rsidRPr="00916E68">
        <w:rPr>
          <w:rFonts w:ascii="Times New Roman" w:hAnsi="Times New Roman"/>
          <w:color w:val="FF0000"/>
          <w:sz w:val="24"/>
          <w:szCs w:val="24"/>
        </w:rPr>
        <w:t>to obviate</w:t>
      </w:r>
      <w:r w:rsidR="00441C92" w:rsidRPr="00916E68">
        <w:rPr>
          <w:rFonts w:ascii="Times New Roman" w:hAnsi="Times New Roman"/>
          <w:color w:val="FF0000"/>
          <w:sz w:val="24"/>
          <w:szCs w:val="24"/>
        </w:rPr>
        <w:t xml:space="preserve"> some of the </w:t>
      </w:r>
      <w:r w:rsidR="00B27CAF" w:rsidRPr="00916E68">
        <w:rPr>
          <w:rFonts w:ascii="Times New Roman" w:hAnsi="Times New Roman"/>
          <w:color w:val="FF0000"/>
          <w:sz w:val="24"/>
          <w:szCs w:val="24"/>
        </w:rPr>
        <w:t xml:space="preserve">problems encountered by those involved in </w:t>
      </w:r>
      <w:r w:rsidR="004301CB">
        <w:rPr>
          <w:rFonts w:ascii="Times New Roman" w:hAnsi="Times New Roman"/>
          <w:color w:val="FF0000"/>
          <w:sz w:val="24"/>
          <w:szCs w:val="24"/>
        </w:rPr>
        <w:t xml:space="preserve">research </w:t>
      </w:r>
      <w:r w:rsidR="00B27CAF" w:rsidRPr="00916E68">
        <w:rPr>
          <w:rFonts w:ascii="Times New Roman" w:hAnsi="Times New Roman"/>
          <w:color w:val="FF0000"/>
          <w:sz w:val="24"/>
          <w:szCs w:val="24"/>
        </w:rPr>
        <w:t>practice.</w:t>
      </w:r>
      <w:r w:rsidR="00916E68" w:rsidRPr="00916E68">
        <w:rPr>
          <w:rFonts w:ascii="Times New Roman" w:hAnsi="Times New Roman"/>
          <w:color w:val="FF0000"/>
          <w:sz w:val="24"/>
          <w:szCs w:val="24"/>
        </w:rPr>
        <w:t xml:space="preserve"> If the legislation</w:t>
      </w:r>
      <w:r w:rsidR="00D66ED3">
        <w:rPr>
          <w:rFonts w:ascii="Times New Roman" w:hAnsi="Times New Roman"/>
          <w:color w:val="FF0000"/>
          <w:sz w:val="24"/>
          <w:szCs w:val="24"/>
        </w:rPr>
        <w:t xml:space="preserve">, </w:t>
      </w:r>
      <w:r w:rsidR="00916E68" w:rsidRPr="00916E68">
        <w:rPr>
          <w:rFonts w:ascii="Times New Roman" w:hAnsi="Times New Roman"/>
          <w:color w:val="FF0000"/>
          <w:sz w:val="24"/>
          <w:szCs w:val="24"/>
        </w:rPr>
        <w:t>and the guidance from the COP and HRA</w:t>
      </w:r>
      <w:r w:rsidR="00D66ED3">
        <w:rPr>
          <w:rFonts w:ascii="Times New Roman" w:hAnsi="Times New Roman"/>
          <w:color w:val="FF0000"/>
          <w:sz w:val="24"/>
          <w:szCs w:val="24"/>
        </w:rPr>
        <w:t xml:space="preserve">, </w:t>
      </w:r>
      <w:r w:rsidR="00916E68" w:rsidRPr="00916E68">
        <w:rPr>
          <w:rFonts w:ascii="Times New Roman" w:hAnsi="Times New Roman"/>
          <w:color w:val="FF0000"/>
          <w:sz w:val="24"/>
          <w:szCs w:val="24"/>
        </w:rPr>
        <w:t>are fostering a belief amongst researchers that every type of interview, questionnaire and observational study is automatically intrusive research, then that belief is not only legally incorrect, but also creates a further practical problem.</w:t>
      </w:r>
    </w:p>
    <w:p w14:paraId="5CC89A33" w14:textId="077703B2" w:rsidR="002F6A38" w:rsidRDefault="00D35680" w:rsidP="003E1F79">
      <w:pPr>
        <w:spacing w:after="0" w:line="360" w:lineRule="auto"/>
        <w:jc w:val="both"/>
        <w:rPr>
          <w:rFonts w:ascii="Times New Roman" w:hAnsi="Times New Roman"/>
          <w:sz w:val="24"/>
          <w:szCs w:val="24"/>
        </w:rPr>
      </w:pPr>
      <w:r>
        <w:rPr>
          <w:rFonts w:ascii="Times New Roman" w:hAnsi="Times New Roman"/>
          <w:sz w:val="24"/>
          <w:szCs w:val="24"/>
        </w:rPr>
        <w:tab/>
      </w:r>
      <w:r w:rsidR="004301CB" w:rsidRPr="00367060">
        <w:rPr>
          <w:rFonts w:ascii="Times New Roman" w:hAnsi="Times New Roman"/>
          <w:color w:val="FF0000"/>
          <w:sz w:val="24"/>
          <w:szCs w:val="24"/>
        </w:rPr>
        <w:t>If the practice is now to refer ever</w:t>
      </w:r>
      <w:r w:rsidR="00367060" w:rsidRPr="00367060">
        <w:rPr>
          <w:rFonts w:ascii="Times New Roman" w:hAnsi="Times New Roman"/>
          <w:color w:val="FF0000"/>
          <w:sz w:val="24"/>
          <w:szCs w:val="24"/>
        </w:rPr>
        <w:t>y project that adopts interview, questionnaire</w:t>
      </w:r>
      <w:r w:rsidR="004301CB" w:rsidRPr="00367060">
        <w:rPr>
          <w:rFonts w:ascii="Times New Roman" w:hAnsi="Times New Roman"/>
          <w:color w:val="FF0000"/>
          <w:sz w:val="24"/>
          <w:szCs w:val="24"/>
        </w:rPr>
        <w:t xml:space="preserve"> or observational methods to MCA RECs for approval as a matter of course, this </w:t>
      </w:r>
      <w:r w:rsidR="006D62B0" w:rsidRPr="00367060">
        <w:rPr>
          <w:rFonts w:ascii="Times New Roman" w:hAnsi="Times New Roman"/>
          <w:color w:val="FF0000"/>
          <w:sz w:val="24"/>
          <w:szCs w:val="24"/>
        </w:rPr>
        <w:t>may be an unnecessary drain on already scar</w:t>
      </w:r>
      <w:r w:rsidR="004B285A" w:rsidRPr="00367060">
        <w:rPr>
          <w:rFonts w:ascii="Times New Roman" w:hAnsi="Times New Roman"/>
          <w:color w:val="FF0000"/>
          <w:sz w:val="24"/>
          <w:szCs w:val="24"/>
        </w:rPr>
        <w:t>c</w:t>
      </w:r>
      <w:r w:rsidR="006D62B0" w:rsidRPr="00367060">
        <w:rPr>
          <w:rFonts w:ascii="Times New Roman" w:hAnsi="Times New Roman"/>
          <w:color w:val="FF0000"/>
          <w:sz w:val="24"/>
          <w:szCs w:val="24"/>
        </w:rPr>
        <w:t>e resources</w:t>
      </w:r>
      <w:r w:rsidR="0094403A" w:rsidRPr="00367060">
        <w:rPr>
          <w:rFonts w:ascii="Times New Roman" w:hAnsi="Times New Roman"/>
          <w:color w:val="FF0000"/>
          <w:sz w:val="24"/>
          <w:szCs w:val="24"/>
        </w:rPr>
        <w:t>.</w:t>
      </w:r>
      <w:r w:rsidR="00F56AFF" w:rsidRPr="00367060">
        <w:rPr>
          <w:rStyle w:val="FootnoteReference"/>
          <w:rFonts w:ascii="Times New Roman" w:hAnsi="Times New Roman"/>
          <w:color w:val="FF0000"/>
          <w:sz w:val="24"/>
          <w:szCs w:val="24"/>
        </w:rPr>
        <w:footnoteReference w:id="45"/>
      </w:r>
      <w:r w:rsidR="006D62B0" w:rsidRPr="00367060">
        <w:rPr>
          <w:rFonts w:ascii="Times New Roman" w:hAnsi="Times New Roman"/>
          <w:color w:val="FF0000"/>
          <w:sz w:val="24"/>
          <w:szCs w:val="24"/>
        </w:rPr>
        <w:t xml:space="preserve">  </w:t>
      </w:r>
      <w:r w:rsidR="002D03E4">
        <w:rPr>
          <w:rFonts w:ascii="Times New Roman" w:hAnsi="Times New Roman"/>
          <w:sz w:val="24"/>
          <w:szCs w:val="24"/>
        </w:rPr>
        <w:t xml:space="preserve">Consider, for example, a </w:t>
      </w:r>
      <w:r w:rsidR="00E0692D">
        <w:rPr>
          <w:rFonts w:ascii="Times New Roman" w:hAnsi="Times New Roman"/>
          <w:sz w:val="24"/>
          <w:szCs w:val="24"/>
        </w:rPr>
        <w:t xml:space="preserve">university researcher </w:t>
      </w:r>
      <w:r w:rsidR="002D03E4">
        <w:rPr>
          <w:rFonts w:ascii="Times New Roman" w:hAnsi="Times New Roman"/>
          <w:sz w:val="24"/>
          <w:szCs w:val="24"/>
        </w:rPr>
        <w:t xml:space="preserve">who </w:t>
      </w:r>
      <w:r w:rsidR="00E0692D">
        <w:rPr>
          <w:rFonts w:ascii="Times New Roman" w:hAnsi="Times New Roman"/>
          <w:sz w:val="24"/>
          <w:szCs w:val="24"/>
        </w:rPr>
        <w:t xml:space="preserve">wishes to conduct interview or questionnaire research involving incapacitated participants </w:t>
      </w:r>
      <w:r w:rsidR="0097199E">
        <w:rPr>
          <w:rFonts w:ascii="Times New Roman" w:hAnsi="Times New Roman"/>
          <w:sz w:val="24"/>
          <w:szCs w:val="24"/>
        </w:rPr>
        <w:t xml:space="preserve">who are not NHS patients, but who are drawn </w:t>
      </w:r>
      <w:r w:rsidR="00E0692D">
        <w:rPr>
          <w:rFonts w:ascii="Times New Roman" w:hAnsi="Times New Roman"/>
          <w:sz w:val="24"/>
          <w:szCs w:val="24"/>
        </w:rPr>
        <w:t>from a</w:t>
      </w:r>
      <w:r w:rsidR="002D03E4">
        <w:rPr>
          <w:rFonts w:ascii="Times New Roman" w:hAnsi="Times New Roman"/>
          <w:sz w:val="24"/>
          <w:szCs w:val="24"/>
        </w:rPr>
        <w:t xml:space="preserve"> wider cross-section of society.  In this scenario, McHale suggests that ‘an alternative approach would be to allow some forms of </w:t>
      </w:r>
      <w:r w:rsidR="002D03E4">
        <w:rPr>
          <w:rFonts w:ascii="Times New Roman" w:hAnsi="Times New Roman"/>
          <w:sz w:val="24"/>
          <w:szCs w:val="24"/>
        </w:rPr>
        <w:lastRenderedPageBreak/>
        <w:t xml:space="preserve">research concerning persons lacking capacity to be referred for approval to committees other than NHS </w:t>
      </w:r>
      <w:r w:rsidR="0097199E">
        <w:rPr>
          <w:rFonts w:ascii="Times New Roman" w:hAnsi="Times New Roman"/>
          <w:sz w:val="24"/>
          <w:szCs w:val="24"/>
        </w:rPr>
        <w:t xml:space="preserve">research ethics committees, </w:t>
      </w:r>
      <w:r w:rsidR="002D03E4">
        <w:rPr>
          <w:rFonts w:ascii="Times New Roman" w:hAnsi="Times New Roman"/>
          <w:sz w:val="24"/>
          <w:szCs w:val="24"/>
        </w:rPr>
        <w:t>such as university research ethics c</w:t>
      </w:r>
      <w:r w:rsidR="00E0692D">
        <w:rPr>
          <w:rFonts w:ascii="Times New Roman" w:hAnsi="Times New Roman"/>
          <w:sz w:val="24"/>
          <w:szCs w:val="24"/>
        </w:rPr>
        <w:t>ommittee</w:t>
      </w:r>
      <w:r w:rsidR="0097199E">
        <w:rPr>
          <w:rFonts w:ascii="Times New Roman" w:hAnsi="Times New Roman"/>
          <w:sz w:val="24"/>
          <w:szCs w:val="24"/>
        </w:rPr>
        <w:t>s’.</w:t>
      </w:r>
      <w:r w:rsidR="0097199E" w:rsidRPr="0097199E">
        <w:rPr>
          <w:rStyle w:val="FootnoteReference"/>
          <w:rFonts w:ascii="Times New Roman" w:hAnsi="Times New Roman"/>
          <w:sz w:val="24"/>
          <w:szCs w:val="24"/>
        </w:rPr>
        <w:t xml:space="preserve"> </w:t>
      </w:r>
      <w:r w:rsidR="0097199E">
        <w:rPr>
          <w:rStyle w:val="FootnoteReference"/>
          <w:rFonts w:ascii="Times New Roman" w:hAnsi="Times New Roman"/>
          <w:sz w:val="24"/>
          <w:szCs w:val="24"/>
        </w:rPr>
        <w:footnoteReference w:id="46"/>
      </w:r>
      <w:r w:rsidR="0097199E">
        <w:rPr>
          <w:rFonts w:ascii="Times New Roman" w:hAnsi="Times New Roman"/>
          <w:sz w:val="24"/>
          <w:szCs w:val="24"/>
        </w:rPr>
        <w:t xml:space="preserve">  This argument has merit, for often a </w:t>
      </w:r>
      <w:r w:rsidR="0097199E" w:rsidRPr="0097199E">
        <w:rPr>
          <w:rFonts w:ascii="Times New Roman" w:hAnsi="Times New Roman"/>
          <w:sz w:val="24"/>
          <w:szCs w:val="24"/>
        </w:rPr>
        <w:t>unive</w:t>
      </w:r>
      <w:r w:rsidR="0097199E">
        <w:rPr>
          <w:rFonts w:ascii="Times New Roman" w:hAnsi="Times New Roman"/>
          <w:sz w:val="24"/>
          <w:szCs w:val="24"/>
        </w:rPr>
        <w:t>rsity research ethics committee may be better pla</w:t>
      </w:r>
      <w:r w:rsidR="002B2018">
        <w:rPr>
          <w:rFonts w:ascii="Times New Roman" w:hAnsi="Times New Roman"/>
          <w:sz w:val="24"/>
          <w:szCs w:val="24"/>
        </w:rPr>
        <w:t>ced to review certain projects.  I</w:t>
      </w:r>
      <w:r w:rsidR="002C362D">
        <w:rPr>
          <w:rFonts w:ascii="Times New Roman" w:hAnsi="Times New Roman"/>
          <w:sz w:val="24"/>
          <w:szCs w:val="24"/>
        </w:rPr>
        <w:t xml:space="preserve">n some areas, </w:t>
      </w:r>
      <w:r w:rsidR="00E0692D">
        <w:rPr>
          <w:rFonts w:ascii="Times New Roman" w:hAnsi="Times New Roman"/>
          <w:sz w:val="24"/>
          <w:szCs w:val="24"/>
        </w:rPr>
        <w:t xml:space="preserve">such as </w:t>
      </w:r>
      <w:r w:rsidR="002C362D">
        <w:rPr>
          <w:rFonts w:ascii="Times New Roman" w:hAnsi="Times New Roman"/>
          <w:sz w:val="24"/>
          <w:szCs w:val="24"/>
        </w:rPr>
        <w:t>social sciences,</w:t>
      </w:r>
      <w:r w:rsidR="002B2018">
        <w:rPr>
          <w:rFonts w:ascii="Times New Roman" w:hAnsi="Times New Roman"/>
          <w:sz w:val="24"/>
          <w:szCs w:val="24"/>
        </w:rPr>
        <w:t xml:space="preserve"> they </w:t>
      </w:r>
      <w:r w:rsidR="00214CF8">
        <w:rPr>
          <w:rFonts w:ascii="Times New Roman" w:hAnsi="Times New Roman"/>
          <w:sz w:val="24"/>
          <w:szCs w:val="24"/>
        </w:rPr>
        <w:t>may have a wider and more local</w:t>
      </w:r>
      <w:r w:rsidR="00F54390">
        <w:rPr>
          <w:rFonts w:ascii="Times New Roman" w:hAnsi="Times New Roman"/>
          <w:sz w:val="24"/>
          <w:szCs w:val="24"/>
        </w:rPr>
        <w:t xml:space="preserve">ised </w:t>
      </w:r>
      <w:r w:rsidR="00214CF8">
        <w:rPr>
          <w:rFonts w:ascii="Times New Roman" w:hAnsi="Times New Roman"/>
          <w:sz w:val="24"/>
          <w:szCs w:val="24"/>
        </w:rPr>
        <w:t>pool of expertise to conveniently draw on</w:t>
      </w:r>
      <w:r w:rsidR="002C362D">
        <w:rPr>
          <w:rFonts w:ascii="Times New Roman" w:hAnsi="Times New Roman"/>
          <w:sz w:val="24"/>
          <w:szCs w:val="24"/>
        </w:rPr>
        <w:t xml:space="preserve">.  </w:t>
      </w:r>
      <w:r w:rsidR="00214CF8">
        <w:rPr>
          <w:rFonts w:ascii="Times New Roman" w:hAnsi="Times New Roman"/>
          <w:sz w:val="24"/>
          <w:szCs w:val="24"/>
        </w:rPr>
        <w:t>Whatever the solution</w:t>
      </w:r>
      <w:r w:rsidR="00D503D6">
        <w:rPr>
          <w:rFonts w:ascii="Times New Roman" w:hAnsi="Times New Roman"/>
          <w:sz w:val="24"/>
          <w:szCs w:val="24"/>
        </w:rPr>
        <w:t>, as things stand</w:t>
      </w:r>
      <w:r w:rsidR="001D537C">
        <w:rPr>
          <w:rFonts w:ascii="Times New Roman" w:hAnsi="Times New Roman"/>
          <w:sz w:val="24"/>
          <w:szCs w:val="24"/>
        </w:rPr>
        <w:t>,</w:t>
      </w:r>
      <w:r w:rsidR="008428C6">
        <w:rPr>
          <w:rFonts w:ascii="Times New Roman" w:hAnsi="Times New Roman"/>
          <w:sz w:val="24"/>
          <w:szCs w:val="24"/>
        </w:rPr>
        <w:t xml:space="preserve"> </w:t>
      </w:r>
      <w:r w:rsidR="00D503D6">
        <w:rPr>
          <w:rFonts w:ascii="Times New Roman" w:hAnsi="Times New Roman"/>
          <w:sz w:val="24"/>
          <w:szCs w:val="24"/>
        </w:rPr>
        <w:t>the contours of the MCA</w:t>
      </w:r>
      <w:r w:rsidR="001D537C">
        <w:rPr>
          <w:rFonts w:ascii="Times New Roman" w:hAnsi="Times New Roman"/>
          <w:sz w:val="24"/>
          <w:szCs w:val="24"/>
        </w:rPr>
        <w:t xml:space="preserve"> remain poorly defined and the COP and HRA guidance do little to alleviate this uncertainty.</w:t>
      </w:r>
    </w:p>
    <w:p w14:paraId="16D08A85" w14:textId="77777777" w:rsidR="00653EB5" w:rsidRDefault="00653EB5" w:rsidP="00653EB5">
      <w:pPr>
        <w:pStyle w:val="Body"/>
        <w:jc w:val="both"/>
        <w:rPr>
          <w:rFonts w:ascii="Times New Roman" w:hAnsi="Times New Roman"/>
          <w:sz w:val="24"/>
          <w:szCs w:val="24"/>
        </w:rPr>
      </w:pPr>
    </w:p>
    <w:p w14:paraId="595ECAAF" w14:textId="77777777" w:rsidR="00653EB5" w:rsidRDefault="00653EB5" w:rsidP="0032004B">
      <w:pPr>
        <w:pStyle w:val="Body"/>
        <w:spacing w:line="360" w:lineRule="auto"/>
        <w:jc w:val="both"/>
        <w:rPr>
          <w:rFonts w:ascii="Times New Roman" w:hAnsi="Times New Roman"/>
          <w:b/>
          <w:i/>
          <w:sz w:val="24"/>
          <w:szCs w:val="24"/>
        </w:rPr>
      </w:pPr>
      <w:r w:rsidRPr="00653EB5">
        <w:rPr>
          <w:rFonts w:ascii="Times New Roman" w:hAnsi="Times New Roman"/>
          <w:b/>
          <w:i/>
          <w:sz w:val="24"/>
          <w:szCs w:val="24"/>
        </w:rPr>
        <w:t>ii) Operating from the Wrong Basis</w:t>
      </w:r>
    </w:p>
    <w:p w14:paraId="24928886" w14:textId="68C8BA51" w:rsidR="000F1F5F" w:rsidRDefault="00226A93" w:rsidP="0032004B">
      <w:pPr>
        <w:pStyle w:val="Body"/>
        <w:spacing w:line="360" w:lineRule="auto"/>
        <w:jc w:val="both"/>
        <w:rPr>
          <w:rFonts w:ascii="Times New Roman" w:hAnsi="Times New Roman"/>
          <w:sz w:val="24"/>
          <w:szCs w:val="24"/>
        </w:rPr>
      </w:pPr>
      <w:r>
        <w:rPr>
          <w:rFonts w:ascii="Times New Roman" w:hAnsi="Times New Roman"/>
          <w:sz w:val="24"/>
          <w:szCs w:val="24"/>
        </w:rPr>
        <w:t xml:space="preserve">Alongside the </w:t>
      </w:r>
      <w:r w:rsidR="006B16CA">
        <w:rPr>
          <w:rFonts w:ascii="Times New Roman" w:hAnsi="Times New Roman"/>
          <w:sz w:val="24"/>
          <w:szCs w:val="24"/>
        </w:rPr>
        <w:t>scope of the legis</w:t>
      </w:r>
      <w:r w:rsidR="00C03A6F">
        <w:rPr>
          <w:rFonts w:ascii="Times New Roman" w:hAnsi="Times New Roman"/>
          <w:sz w:val="24"/>
          <w:szCs w:val="24"/>
        </w:rPr>
        <w:t>lation remaining</w:t>
      </w:r>
      <w:r w:rsidR="008E48E2">
        <w:rPr>
          <w:rFonts w:ascii="Times New Roman" w:hAnsi="Times New Roman"/>
          <w:sz w:val="24"/>
          <w:szCs w:val="24"/>
        </w:rPr>
        <w:t xml:space="preserve"> ambiguous</w:t>
      </w:r>
      <w:r w:rsidR="00C03A6F">
        <w:rPr>
          <w:rFonts w:ascii="Times New Roman" w:hAnsi="Times New Roman"/>
          <w:sz w:val="24"/>
          <w:szCs w:val="24"/>
        </w:rPr>
        <w:t>, there are further aspects of the requirements for approval that</w:t>
      </w:r>
      <w:r w:rsidR="002B2018">
        <w:rPr>
          <w:rFonts w:ascii="Times New Roman" w:hAnsi="Times New Roman"/>
          <w:sz w:val="24"/>
          <w:szCs w:val="24"/>
        </w:rPr>
        <w:t xml:space="preserve"> provide </w:t>
      </w:r>
      <w:r w:rsidR="00AD0520">
        <w:rPr>
          <w:rFonts w:ascii="Times New Roman" w:hAnsi="Times New Roman"/>
          <w:sz w:val="24"/>
          <w:szCs w:val="24"/>
        </w:rPr>
        <w:t>cause for concern</w:t>
      </w:r>
      <w:r w:rsidR="00F5304F">
        <w:rPr>
          <w:rFonts w:ascii="Times New Roman" w:hAnsi="Times New Roman"/>
          <w:sz w:val="24"/>
          <w:szCs w:val="24"/>
        </w:rPr>
        <w:t xml:space="preserve">. As a corollary of its apparent emphasis </w:t>
      </w:r>
      <w:r w:rsidR="00C03A6F">
        <w:rPr>
          <w:rFonts w:ascii="Times New Roman" w:hAnsi="Times New Roman"/>
          <w:sz w:val="24"/>
          <w:szCs w:val="24"/>
        </w:rPr>
        <w:t xml:space="preserve">on medically-invasive research, the </w:t>
      </w:r>
      <w:r>
        <w:rPr>
          <w:rFonts w:ascii="Times New Roman" w:hAnsi="Times New Roman"/>
          <w:sz w:val="24"/>
          <w:szCs w:val="24"/>
        </w:rPr>
        <w:t>MCA</w:t>
      </w:r>
      <w:r w:rsidR="00C03A6F">
        <w:rPr>
          <w:rFonts w:ascii="Times New Roman" w:hAnsi="Times New Roman"/>
          <w:sz w:val="24"/>
          <w:szCs w:val="24"/>
        </w:rPr>
        <w:t xml:space="preserve"> </w:t>
      </w:r>
      <w:r w:rsidR="00311813">
        <w:rPr>
          <w:rFonts w:ascii="Times New Roman" w:hAnsi="Times New Roman"/>
          <w:sz w:val="24"/>
          <w:szCs w:val="24"/>
        </w:rPr>
        <w:t xml:space="preserve">also </w:t>
      </w:r>
      <w:r w:rsidR="00C03A6F">
        <w:rPr>
          <w:rFonts w:ascii="Times New Roman" w:hAnsi="Times New Roman"/>
          <w:sz w:val="24"/>
          <w:szCs w:val="24"/>
        </w:rPr>
        <w:t>adopts a</w:t>
      </w:r>
      <w:r>
        <w:rPr>
          <w:rFonts w:ascii="Times New Roman" w:hAnsi="Times New Roman"/>
          <w:sz w:val="24"/>
          <w:szCs w:val="24"/>
        </w:rPr>
        <w:t xml:space="preserve"> </w:t>
      </w:r>
      <w:r w:rsidR="00C03A6F">
        <w:rPr>
          <w:rFonts w:ascii="Times New Roman" w:hAnsi="Times New Roman"/>
          <w:sz w:val="24"/>
          <w:szCs w:val="24"/>
        </w:rPr>
        <w:t>limited view of what research has to be connected with when dealing with incapacitated participants.</w:t>
      </w:r>
      <w:r>
        <w:rPr>
          <w:rFonts w:ascii="Times New Roman" w:hAnsi="Times New Roman"/>
          <w:sz w:val="24"/>
          <w:szCs w:val="24"/>
        </w:rPr>
        <w:t xml:space="preserve">  </w:t>
      </w:r>
    </w:p>
    <w:p w14:paraId="4ADE566E" w14:textId="35119D00" w:rsidR="00EB02A1" w:rsidRPr="002F2C56" w:rsidRDefault="000F1F5F" w:rsidP="0032004B">
      <w:pPr>
        <w:pStyle w:val="Body"/>
        <w:spacing w:line="360" w:lineRule="auto"/>
        <w:jc w:val="both"/>
        <w:rPr>
          <w:rFonts w:ascii="Times New Roman" w:hAnsi="Times New Roman"/>
          <w:color w:val="FF0000"/>
          <w:sz w:val="24"/>
          <w:szCs w:val="24"/>
        </w:rPr>
      </w:pPr>
      <w:r>
        <w:rPr>
          <w:rFonts w:ascii="Times New Roman" w:hAnsi="Times New Roman"/>
          <w:sz w:val="24"/>
          <w:szCs w:val="24"/>
        </w:rPr>
        <w:tab/>
      </w:r>
      <w:r w:rsidR="00226A93">
        <w:rPr>
          <w:rFonts w:ascii="Times New Roman" w:hAnsi="Times New Roman"/>
          <w:sz w:val="24"/>
          <w:szCs w:val="24"/>
        </w:rPr>
        <w:t>In order to meet the requirements for approval, the research must be connected with an impairing condition affecting the participant, or its treatment.</w:t>
      </w:r>
      <w:r w:rsidR="00A30A11">
        <w:rPr>
          <w:rStyle w:val="FootnoteReference"/>
          <w:rFonts w:ascii="Times New Roman" w:hAnsi="Times New Roman"/>
          <w:sz w:val="24"/>
          <w:szCs w:val="24"/>
        </w:rPr>
        <w:footnoteReference w:id="47"/>
      </w:r>
      <w:r w:rsidR="00311813">
        <w:rPr>
          <w:rFonts w:ascii="Times New Roman" w:hAnsi="Times New Roman"/>
          <w:sz w:val="24"/>
          <w:szCs w:val="24"/>
        </w:rPr>
        <w:t xml:space="preserve"> An impairing </w:t>
      </w:r>
      <w:r w:rsidR="00F02AB5">
        <w:rPr>
          <w:rFonts w:ascii="Times New Roman" w:hAnsi="Times New Roman"/>
          <w:sz w:val="24"/>
          <w:szCs w:val="24"/>
        </w:rPr>
        <w:t>condition is one that is attributable to, or which causes or contributes to, the impairment of, or disturbance in the functioning of, the mind or brain.</w:t>
      </w:r>
      <w:r w:rsidR="00A30A11">
        <w:rPr>
          <w:rStyle w:val="FootnoteReference"/>
          <w:rFonts w:ascii="Times New Roman" w:hAnsi="Times New Roman"/>
          <w:sz w:val="24"/>
          <w:szCs w:val="24"/>
        </w:rPr>
        <w:footnoteReference w:id="48"/>
      </w:r>
      <w:r w:rsidR="00F02AB5">
        <w:rPr>
          <w:rFonts w:ascii="Times New Roman" w:hAnsi="Times New Roman"/>
          <w:sz w:val="24"/>
          <w:szCs w:val="24"/>
        </w:rPr>
        <w:t xml:space="preserve">  </w:t>
      </w:r>
      <w:r w:rsidR="00F02AB5" w:rsidRPr="002F2C56">
        <w:rPr>
          <w:rFonts w:ascii="Times New Roman" w:hAnsi="Times New Roman"/>
          <w:color w:val="FF0000"/>
          <w:sz w:val="24"/>
          <w:szCs w:val="24"/>
        </w:rPr>
        <w:t xml:space="preserve">It thus portrays a heavily </w:t>
      </w:r>
      <w:proofErr w:type="spellStart"/>
      <w:r w:rsidR="00F02AB5" w:rsidRPr="002F2C56">
        <w:rPr>
          <w:rFonts w:ascii="Times New Roman" w:hAnsi="Times New Roman"/>
          <w:color w:val="FF0000"/>
          <w:sz w:val="24"/>
          <w:szCs w:val="24"/>
        </w:rPr>
        <w:t>medicalised</w:t>
      </w:r>
      <w:proofErr w:type="spellEnd"/>
      <w:r w:rsidR="00F02AB5" w:rsidRPr="002F2C56">
        <w:rPr>
          <w:rFonts w:ascii="Times New Roman" w:hAnsi="Times New Roman"/>
          <w:color w:val="FF0000"/>
          <w:sz w:val="24"/>
          <w:szCs w:val="24"/>
        </w:rPr>
        <w:t xml:space="preserve"> model of what is deemed valuable in research</w:t>
      </w:r>
      <w:r w:rsidR="00306E1D" w:rsidRPr="002F2C56">
        <w:rPr>
          <w:rFonts w:ascii="Times New Roman" w:hAnsi="Times New Roman"/>
          <w:color w:val="FF0000"/>
          <w:sz w:val="24"/>
          <w:szCs w:val="24"/>
        </w:rPr>
        <w:t>,</w:t>
      </w:r>
      <w:r w:rsidR="00A30A11" w:rsidRPr="002F2C56">
        <w:rPr>
          <w:rFonts w:ascii="Times New Roman" w:hAnsi="Times New Roman"/>
          <w:color w:val="FF0000"/>
          <w:sz w:val="24"/>
          <w:szCs w:val="24"/>
        </w:rPr>
        <w:t xml:space="preserve"> which is </w:t>
      </w:r>
      <w:r w:rsidR="00306E1D" w:rsidRPr="002F2C56">
        <w:rPr>
          <w:rFonts w:ascii="Times New Roman" w:hAnsi="Times New Roman"/>
          <w:color w:val="FF0000"/>
          <w:sz w:val="24"/>
          <w:szCs w:val="24"/>
        </w:rPr>
        <w:t xml:space="preserve">wedded to the belief </w:t>
      </w:r>
      <w:r w:rsidR="00F02AB5" w:rsidRPr="002F2C56">
        <w:rPr>
          <w:rFonts w:ascii="Times New Roman" w:hAnsi="Times New Roman"/>
          <w:color w:val="FF0000"/>
          <w:sz w:val="24"/>
          <w:szCs w:val="24"/>
        </w:rPr>
        <w:t>that</w:t>
      </w:r>
      <w:r w:rsidR="003512D6" w:rsidRPr="002F2C56">
        <w:rPr>
          <w:rFonts w:ascii="Times New Roman" w:hAnsi="Times New Roman"/>
          <w:color w:val="FF0000"/>
          <w:sz w:val="24"/>
          <w:szCs w:val="24"/>
        </w:rPr>
        <w:t xml:space="preserve"> research should only be allowed to procee</w:t>
      </w:r>
      <w:r w:rsidR="00203E10" w:rsidRPr="002F2C56">
        <w:rPr>
          <w:rFonts w:ascii="Times New Roman" w:hAnsi="Times New Roman"/>
          <w:color w:val="FF0000"/>
          <w:sz w:val="24"/>
          <w:szCs w:val="24"/>
        </w:rPr>
        <w:t xml:space="preserve">d if the activities </w:t>
      </w:r>
      <w:r w:rsidR="00165B47" w:rsidRPr="002F2C56">
        <w:rPr>
          <w:rFonts w:ascii="Times New Roman" w:hAnsi="Times New Roman"/>
          <w:color w:val="FF0000"/>
          <w:sz w:val="24"/>
          <w:szCs w:val="24"/>
        </w:rPr>
        <w:t xml:space="preserve">are </w:t>
      </w:r>
      <w:r w:rsidR="00F02AB5" w:rsidRPr="002F2C56">
        <w:rPr>
          <w:rFonts w:ascii="Times New Roman" w:hAnsi="Times New Roman"/>
          <w:color w:val="FF0000"/>
          <w:sz w:val="24"/>
          <w:szCs w:val="24"/>
        </w:rPr>
        <w:t xml:space="preserve">directly related </w:t>
      </w:r>
      <w:r w:rsidR="00C11BAF" w:rsidRPr="002F2C56">
        <w:rPr>
          <w:rFonts w:ascii="Times New Roman" w:hAnsi="Times New Roman"/>
          <w:color w:val="FF0000"/>
          <w:sz w:val="24"/>
          <w:szCs w:val="24"/>
        </w:rPr>
        <w:t xml:space="preserve">to </w:t>
      </w:r>
      <w:r w:rsidR="00F02AB5" w:rsidRPr="002F2C56">
        <w:rPr>
          <w:rFonts w:ascii="Times New Roman" w:hAnsi="Times New Roman"/>
          <w:color w:val="FF0000"/>
          <w:sz w:val="24"/>
          <w:szCs w:val="24"/>
        </w:rPr>
        <w:t>improving knowledge of the causes or treatment of the condition</w:t>
      </w:r>
      <w:r w:rsidR="003512D6" w:rsidRPr="002F2C56">
        <w:rPr>
          <w:rFonts w:ascii="Times New Roman" w:hAnsi="Times New Roman"/>
          <w:color w:val="FF0000"/>
          <w:sz w:val="24"/>
          <w:szCs w:val="24"/>
        </w:rPr>
        <w:t xml:space="preserve"> that </w:t>
      </w:r>
      <w:r w:rsidR="002F2C56" w:rsidRPr="002F2C56">
        <w:rPr>
          <w:rFonts w:ascii="Times New Roman" w:hAnsi="Times New Roman"/>
          <w:color w:val="FF0000"/>
          <w:sz w:val="24"/>
          <w:szCs w:val="24"/>
        </w:rPr>
        <w:t xml:space="preserve">an </w:t>
      </w:r>
      <w:r w:rsidR="00203E10" w:rsidRPr="002F2C56">
        <w:rPr>
          <w:rFonts w:ascii="Times New Roman" w:hAnsi="Times New Roman"/>
          <w:color w:val="FF0000"/>
          <w:sz w:val="24"/>
          <w:szCs w:val="24"/>
        </w:rPr>
        <w:t>incapacitated</w:t>
      </w:r>
      <w:r w:rsidR="003512D6" w:rsidRPr="002F2C56">
        <w:rPr>
          <w:rFonts w:ascii="Times New Roman" w:hAnsi="Times New Roman"/>
          <w:color w:val="FF0000"/>
          <w:sz w:val="24"/>
          <w:szCs w:val="24"/>
        </w:rPr>
        <w:t xml:space="preserve"> participant is </w:t>
      </w:r>
      <w:r w:rsidR="003512D6" w:rsidRPr="002F2C56">
        <w:rPr>
          <w:rFonts w:ascii="Times New Roman" w:hAnsi="Times New Roman"/>
          <w:i/>
          <w:color w:val="FF0000"/>
          <w:sz w:val="24"/>
          <w:szCs w:val="24"/>
        </w:rPr>
        <w:t>herself</w:t>
      </w:r>
      <w:r w:rsidR="003512D6" w:rsidRPr="002F2C56">
        <w:rPr>
          <w:rFonts w:ascii="Times New Roman" w:hAnsi="Times New Roman"/>
          <w:color w:val="FF0000"/>
          <w:sz w:val="24"/>
          <w:szCs w:val="24"/>
        </w:rPr>
        <w:t xml:space="preserve"> </w:t>
      </w:r>
      <w:r w:rsidR="00F02AB5" w:rsidRPr="002F2C56">
        <w:rPr>
          <w:rFonts w:ascii="Times New Roman" w:hAnsi="Times New Roman"/>
          <w:color w:val="FF0000"/>
          <w:sz w:val="24"/>
          <w:szCs w:val="24"/>
        </w:rPr>
        <w:t>suffering from</w:t>
      </w:r>
      <w:r w:rsidR="00C11BAF" w:rsidRPr="002F2C56">
        <w:rPr>
          <w:rFonts w:ascii="Times New Roman" w:hAnsi="Times New Roman"/>
          <w:color w:val="FF0000"/>
          <w:sz w:val="24"/>
          <w:szCs w:val="24"/>
        </w:rPr>
        <w:t xml:space="preserve">, </w:t>
      </w:r>
      <w:r w:rsidR="00F02AB5" w:rsidRPr="002F2C56">
        <w:rPr>
          <w:rFonts w:ascii="Times New Roman" w:hAnsi="Times New Roman"/>
          <w:color w:val="FF0000"/>
          <w:sz w:val="24"/>
          <w:szCs w:val="24"/>
        </w:rPr>
        <w:t>which</w:t>
      </w:r>
      <w:r w:rsidR="00B84190" w:rsidRPr="002F2C56">
        <w:rPr>
          <w:rFonts w:ascii="Times New Roman" w:hAnsi="Times New Roman"/>
          <w:color w:val="FF0000"/>
          <w:sz w:val="24"/>
          <w:szCs w:val="24"/>
        </w:rPr>
        <w:t xml:space="preserve"> is impinging on </w:t>
      </w:r>
      <w:r w:rsidR="00B84190" w:rsidRPr="002F2C56">
        <w:rPr>
          <w:rFonts w:ascii="Times New Roman" w:hAnsi="Times New Roman"/>
          <w:i/>
          <w:color w:val="FF0000"/>
          <w:sz w:val="24"/>
          <w:szCs w:val="24"/>
        </w:rPr>
        <w:t>her</w:t>
      </w:r>
      <w:r w:rsidR="00B84190" w:rsidRPr="002F2C56">
        <w:rPr>
          <w:rFonts w:ascii="Times New Roman" w:hAnsi="Times New Roman"/>
          <w:color w:val="FF0000"/>
          <w:sz w:val="24"/>
          <w:szCs w:val="24"/>
        </w:rPr>
        <w:t xml:space="preserve"> capacity.</w:t>
      </w:r>
      <w:r w:rsidR="003871B5" w:rsidRPr="002F2C56">
        <w:rPr>
          <w:rFonts w:ascii="Times New Roman" w:hAnsi="Times New Roman"/>
          <w:color w:val="FF0000"/>
          <w:sz w:val="24"/>
          <w:szCs w:val="24"/>
        </w:rPr>
        <w:t xml:space="preserve">  This neglects to consider that</w:t>
      </w:r>
      <w:r w:rsidR="006134CC" w:rsidRPr="002F2C56">
        <w:rPr>
          <w:rFonts w:ascii="Times New Roman" w:hAnsi="Times New Roman"/>
          <w:color w:val="FF0000"/>
          <w:sz w:val="24"/>
          <w:szCs w:val="24"/>
        </w:rPr>
        <w:t>, provided there is adequate support to help her, a</w:t>
      </w:r>
      <w:r w:rsidR="002A33D6" w:rsidRPr="002F2C56">
        <w:rPr>
          <w:rFonts w:ascii="Times New Roman" w:hAnsi="Times New Roman"/>
          <w:color w:val="FF0000"/>
          <w:sz w:val="24"/>
          <w:szCs w:val="24"/>
        </w:rPr>
        <w:t>n</w:t>
      </w:r>
      <w:r w:rsidR="006134CC" w:rsidRPr="002F2C56">
        <w:rPr>
          <w:rFonts w:ascii="Times New Roman" w:hAnsi="Times New Roman"/>
          <w:color w:val="FF0000"/>
          <w:sz w:val="24"/>
          <w:szCs w:val="24"/>
        </w:rPr>
        <w:t xml:space="preserve"> </w:t>
      </w:r>
      <w:r w:rsidR="003871B5" w:rsidRPr="002F2C56">
        <w:rPr>
          <w:rFonts w:ascii="Times New Roman" w:hAnsi="Times New Roman"/>
          <w:color w:val="FF0000"/>
          <w:sz w:val="24"/>
          <w:szCs w:val="24"/>
        </w:rPr>
        <w:t>incapacitated participant</w:t>
      </w:r>
      <w:r w:rsidR="006134CC" w:rsidRPr="002F2C56">
        <w:rPr>
          <w:rFonts w:ascii="Times New Roman" w:hAnsi="Times New Roman"/>
          <w:color w:val="FF0000"/>
          <w:sz w:val="24"/>
          <w:szCs w:val="24"/>
        </w:rPr>
        <w:t xml:space="preserve"> may</w:t>
      </w:r>
      <w:r w:rsidR="003871B5" w:rsidRPr="002F2C56">
        <w:rPr>
          <w:rFonts w:ascii="Times New Roman" w:hAnsi="Times New Roman"/>
          <w:color w:val="FF0000"/>
          <w:sz w:val="24"/>
          <w:szCs w:val="24"/>
        </w:rPr>
        <w:t xml:space="preserve"> remain capable of not only adding value to certain types of research that may be wholly unconnected to </w:t>
      </w:r>
      <w:r w:rsidR="002A33D6" w:rsidRPr="002F2C56">
        <w:rPr>
          <w:rFonts w:ascii="Times New Roman" w:hAnsi="Times New Roman"/>
          <w:color w:val="FF0000"/>
          <w:sz w:val="24"/>
          <w:szCs w:val="24"/>
        </w:rPr>
        <w:t xml:space="preserve">her </w:t>
      </w:r>
      <w:r w:rsidR="003871B5" w:rsidRPr="002F2C56">
        <w:rPr>
          <w:rFonts w:ascii="Times New Roman" w:hAnsi="Times New Roman"/>
          <w:color w:val="FF0000"/>
          <w:sz w:val="24"/>
          <w:szCs w:val="24"/>
        </w:rPr>
        <w:t>medical condition, but also of communicating a desire to become involved in such</w:t>
      </w:r>
      <w:r w:rsidR="006134CC" w:rsidRPr="002F2C56">
        <w:rPr>
          <w:rFonts w:ascii="Times New Roman" w:hAnsi="Times New Roman"/>
          <w:color w:val="FF0000"/>
          <w:sz w:val="24"/>
          <w:szCs w:val="24"/>
        </w:rPr>
        <w:t xml:space="preserve"> work</w:t>
      </w:r>
      <w:r w:rsidR="003871B5" w:rsidRPr="002F2C56">
        <w:rPr>
          <w:rFonts w:ascii="Times New Roman" w:hAnsi="Times New Roman"/>
          <w:color w:val="FF0000"/>
          <w:sz w:val="24"/>
          <w:szCs w:val="24"/>
        </w:rPr>
        <w:t>.</w:t>
      </w:r>
      <w:r w:rsidR="00A30A11" w:rsidRPr="002F2C56">
        <w:rPr>
          <w:rStyle w:val="FootnoteReference"/>
          <w:rFonts w:ascii="Times New Roman" w:hAnsi="Times New Roman"/>
          <w:color w:val="FF0000"/>
          <w:sz w:val="24"/>
          <w:szCs w:val="24"/>
        </w:rPr>
        <w:footnoteReference w:id="49"/>
      </w:r>
      <w:r w:rsidR="00203E10" w:rsidRPr="002F2C56">
        <w:rPr>
          <w:rFonts w:ascii="Times New Roman" w:hAnsi="Times New Roman"/>
          <w:color w:val="FF0000"/>
          <w:sz w:val="24"/>
          <w:szCs w:val="24"/>
        </w:rPr>
        <w:t xml:space="preserve">  Here the terms of the MCA arguably focus</w:t>
      </w:r>
      <w:r w:rsidR="008E48E2">
        <w:rPr>
          <w:rFonts w:ascii="Times New Roman" w:hAnsi="Times New Roman"/>
          <w:color w:val="FF0000"/>
          <w:sz w:val="24"/>
          <w:szCs w:val="24"/>
        </w:rPr>
        <w:t>es the mind</w:t>
      </w:r>
      <w:r w:rsidR="00203E10" w:rsidRPr="002F2C56">
        <w:rPr>
          <w:rFonts w:ascii="Times New Roman" w:hAnsi="Times New Roman"/>
          <w:color w:val="FF0000"/>
          <w:sz w:val="24"/>
          <w:szCs w:val="24"/>
        </w:rPr>
        <w:t xml:space="preserve"> on the wrong line of inquiry.  </w:t>
      </w:r>
      <w:r w:rsidR="00D53654" w:rsidRPr="002F2C56">
        <w:rPr>
          <w:rFonts w:ascii="Times New Roman" w:hAnsi="Times New Roman"/>
          <w:color w:val="FF0000"/>
          <w:sz w:val="24"/>
          <w:szCs w:val="24"/>
        </w:rPr>
        <w:t xml:space="preserve"> When confronted by a participant who lacks capacity, but who is nonetheless able to express and communicate a desire to become </w:t>
      </w:r>
      <w:r w:rsidR="00D53654" w:rsidRPr="002F2C56">
        <w:rPr>
          <w:rFonts w:ascii="Times New Roman" w:hAnsi="Times New Roman"/>
          <w:color w:val="FF0000"/>
          <w:sz w:val="24"/>
          <w:szCs w:val="24"/>
        </w:rPr>
        <w:lastRenderedPageBreak/>
        <w:t>involve</w:t>
      </w:r>
      <w:r w:rsidR="002D0385" w:rsidRPr="002F2C56">
        <w:rPr>
          <w:rFonts w:ascii="Times New Roman" w:hAnsi="Times New Roman"/>
          <w:color w:val="FF0000"/>
          <w:sz w:val="24"/>
          <w:szCs w:val="24"/>
        </w:rPr>
        <w:t xml:space="preserve">d in research, </w:t>
      </w:r>
      <w:r w:rsidR="00203E10" w:rsidRPr="002F2C56">
        <w:rPr>
          <w:rFonts w:ascii="Times New Roman" w:hAnsi="Times New Roman"/>
          <w:color w:val="FF0000"/>
          <w:sz w:val="24"/>
          <w:szCs w:val="24"/>
        </w:rPr>
        <w:t>the emphasis should not really be on ‘allowing’ someone else to make a decision to include that participant once certain conditions are met. I</w:t>
      </w:r>
      <w:r w:rsidR="002D0385" w:rsidRPr="002F2C56">
        <w:rPr>
          <w:rFonts w:ascii="Times New Roman" w:hAnsi="Times New Roman"/>
          <w:color w:val="FF0000"/>
          <w:sz w:val="24"/>
          <w:szCs w:val="24"/>
        </w:rPr>
        <w:t xml:space="preserve">t </w:t>
      </w:r>
      <w:r w:rsidR="00D53654" w:rsidRPr="002F2C56">
        <w:rPr>
          <w:rFonts w:ascii="Times New Roman" w:hAnsi="Times New Roman"/>
          <w:color w:val="FF0000"/>
          <w:sz w:val="24"/>
          <w:szCs w:val="24"/>
        </w:rPr>
        <w:t xml:space="preserve">should </w:t>
      </w:r>
      <w:r w:rsidR="00203E10" w:rsidRPr="002F2C56">
        <w:rPr>
          <w:rFonts w:ascii="Times New Roman" w:hAnsi="Times New Roman"/>
          <w:color w:val="FF0000"/>
          <w:sz w:val="24"/>
          <w:szCs w:val="24"/>
        </w:rPr>
        <w:t xml:space="preserve">be </w:t>
      </w:r>
      <w:r w:rsidR="00D53654" w:rsidRPr="002F2C56">
        <w:rPr>
          <w:rFonts w:ascii="Times New Roman" w:hAnsi="Times New Roman"/>
          <w:color w:val="FF0000"/>
          <w:sz w:val="24"/>
          <w:szCs w:val="24"/>
        </w:rPr>
        <w:t>more about</w:t>
      </w:r>
      <w:r w:rsidR="002D0385" w:rsidRPr="002F2C56">
        <w:rPr>
          <w:rFonts w:ascii="Times New Roman" w:hAnsi="Times New Roman"/>
          <w:color w:val="FF0000"/>
          <w:sz w:val="24"/>
          <w:szCs w:val="24"/>
        </w:rPr>
        <w:t xml:space="preserve"> the researcher and the participant </w:t>
      </w:r>
      <w:r w:rsidR="00745F5D" w:rsidRPr="002F2C56">
        <w:rPr>
          <w:rFonts w:ascii="Times New Roman" w:hAnsi="Times New Roman"/>
          <w:color w:val="FF0000"/>
          <w:sz w:val="24"/>
          <w:szCs w:val="24"/>
        </w:rPr>
        <w:t>worki</w:t>
      </w:r>
      <w:r w:rsidR="00374328" w:rsidRPr="002F2C56">
        <w:rPr>
          <w:rFonts w:ascii="Times New Roman" w:hAnsi="Times New Roman"/>
          <w:color w:val="FF0000"/>
          <w:sz w:val="24"/>
          <w:szCs w:val="24"/>
        </w:rPr>
        <w:t xml:space="preserve">ng together in order to create a culture of </w:t>
      </w:r>
      <w:r w:rsidR="00745F5D" w:rsidRPr="002F2C56">
        <w:rPr>
          <w:rFonts w:ascii="Times New Roman" w:hAnsi="Times New Roman"/>
          <w:color w:val="FF0000"/>
          <w:sz w:val="24"/>
          <w:szCs w:val="24"/>
        </w:rPr>
        <w:t>supported decision-making</w:t>
      </w:r>
      <w:r w:rsidR="00180F56">
        <w:rPr>
          <w:rFonts w:ascii="Times New Roman" w:hAnsi="Times New Roman"/>
          <w:color w:val="FF0000"/>
          <w:sz w:val="24"/>
          <w:szCs w:val="24"/>
        </w:rPr>
        <w:t xml:space="preserve">.  </w:t>
      </w:r>
      <w:r w:rsidR="00745F5D" w:rsidRPr="002F2C56">
        <w:rPr>
          <w:rFonts w:ascii="Times New Roman" w:hAnsi="Times New Roman"/>
          <w:color w:val="FF0000"/>
          <w:sz w:val="24"/>
          <w:szCs w:val="24"/>
        </w:rPr>
        <w:t xml:space="preserve">Where </w:t>
      </w:r>
      <w:r w:rsidR="00180F56">
        <w:rPr>
          <w:rFonts w:ascii="Times New Roman" w:hAnsi="Times New Roman"/>
          <w:color w:val="FF0000"/>
          <w:sz w:val="24"/>
          <w:szCs w:val="24"/>
        </w:rPr>
        <w:t xml:space="preserve">adequate </w:t>
      </w:r>
      <w:r w:rsidR="00745F5D" w:rsidRPr="002F2C56">
        <w:rPr>
          <w:rFonts w:ascii="Times New Roman" w:hAnsi="Times New Roman"/>
          <w:color w:val="FF0000"/>
          <w:sz w:val="24"/>
          <w:szCs w:val="24"/>
        </w:rPr>
        <w:t>support is provided, it will often be possible for both parties to mutually identify where and how an incapacitated partici</w:t>
      </w:r>
      <w:r w:rsidR="00180F56">
        <w:rPr>
          <w:rFonts w:ascii="Times New Roman" w:hAnsi="Times New Roman"/>
          <w:color w:val="FF0000"/>
          <w:sz w:val="24"/>
          <w:szCs w:val="24"/>
        </w:rPr>
        <w:t xml:space="preserve">pant could add value to a project, which in no way should be limited to just </w:t>
      </w:r>
      <w:r w:rsidR="00203E10" w:rsidRPr="002F2C56">
        <w:rPr>
          <w:rFonts w:ascii="Times New Roman" w:hAnsi="Times New Roman"/>
          <w:color w:val="FF0000"/>
          <w:sz w:val="24"/>
          <w:szCs w:val="24"/>
        </w:rPr>
        <w:t xml:space="preserve">medical value connected to </w:t>
      </w:r>
      <w:r w:rsidR="00EB02A1" w:rsidRPr="002F2C56">
        <w:rPr>
          <w:rFonts w:ascii="Times New Roman" w:hAnsi="Times New Roman"/>
          <w:color w:val="FF0000"/>
          <w:sz w:val="24"/>
          <w:szCs w:val="24"/>
        </w:rPr>
        <w:t xml:space="preserve">impairments of capacity.  </w:t>
      </w:r>
    </w:p>
    <w:p w14:paraId="31BB7938" w14:textId="3977F894" w:rsidR="006134CC" w:rsidRPr="00374328" w:rsidRDefault="00EB02A1" w:rsidP="00374328">
      <w:pPr>
        <w:pStyle w:val="Body"/>
        <w:spacing w:line="360" w:lineRule="auto"/>
        <w:jc w:val="both"/>
        <w:rPr>
          <w:rFonts w:ascii="Times New Roman" w:hAnsi="Times New Roman"/>
          <w:sz w:val="24"/>
          <w:szCs w:val="24"/>
        </w:rPr>
      </w:pPr>
      <w:r w:rsidRPr="002F2C56">
        <w:rPr>
          <w:rFonts w:ascii="Times New Roman" w:hAnsi="Times New Roman"/>
          <w:color w:val="FF0000"/>
          <w:sz w:val="24"/>
          <w:szCs w:val="24"/>
        </w:rPr>
        <w:tab/>
      </w:r>
      <w:r w:rsidR="002A33D6" w:rsidRPr="002F2C56">
        <w:rPr>
          <w:rFonts w:ascii="Times New Roman" w:hAnsi="Times New Roman"/>
          <w:color w:val="FF0000"/>
          <w:sz w:val="24"/>
          <w:szCs w:val="24"/>
        </w:rPr>
        <w:t xml:space="preserve">By way of illustration, </w:t>
      </w:r>
      <w:r w:rsidR="00BA2AC2" w:rsidRPr="002F2C56">
        <w:rPr>
          <w:rFonts w:ascii="Times New Roman" w:hAnsi="Times New Roman"/>
          <w:color w:val="FF0000"/>
          <w:sz w:val="24"/>
          <w:szCs w:val="24"/>
        </w:rPr>
        <w:t xml:space="preserve">consider </w:t>
      </w:r>
      <w:r w:rsidR="002A33D6" w:rsidRPr="002F2C56">
        <w:rPr>
          <w:rFonts w:ascii="Times New Roman" w:hAnsi="Times New Roman"/>
          <w:color w:val="FF0000"/>
          <w:sz w:val="24"/>
          <w:szCs w:val="24"/>
        </w:rPr>
        <w:t xml:space="preserve">a </w:t>
      </w:r>
      <w:r w:rsidR="003871B5" w:rsidRPr="002F2C56">
        <w:rPr>
          <w:rFonts w:ascii="Times New Roman" w:hAnsi="Times New Roman"/>
          <w:color w:val="FF0000"/>
          <w:sz w:val="24"/>
          <w:szCs w:val="24"/>
        </w:rPr>
        <w:t>general research project conducted by local government aimed at exploring society’s perceptions of how loc</w:t>
      </w:r>
      <w:r w:rsidR="006134CC" w:rsidRPr="002F2C56">
        <w:rPr>
          <w:rFonts w:ascii="Times New Roman" w:hAnsi="Times New Roman"/>
          <w:color w:val="FF0000"/>
          <w:sz w:val="24"/>
          <w:szCs w:val="24"/>
        </w:rPr>
        <w:t>al amenities could be improved</w:t>
      </w:r>
      <w:r w:rsidR="00BA2AC2" w:rsidRPr="002F2C56">
        <w:rPr>
          <w:rFonts w:ascii="Times New Roman" w:hAnsi="Times New Roman"/>
          <w:color w:val="FF0000"/>
          <w:sz w:val="24"/>
          <w:szCs w:val="24"/>
        </w:rPr>
        <w:t xml:space="preserve">.  Researchers involved in the project recognise that the study would almost certainly benefit, to the extent that it is possible, from input from incapacitated participants.  After reading the HRA guidance, and COP, the researchers assume that their methods would amount to intrusive research and would thus need to satisfy the research provisions of the MCA.   Leaving aside the rights or wrongs of that interpretation of intrusive research, </w:t>
      </w:r>
      <w:r w:rsidR="00140283" w:rsidRPr="002F2C56">
        <w:rPr>
          <w:rFonts w:ascii="Times New Roman" w:hAnsi="Times New Roman"/>
          <w:color w:val="FF0000"/>
          <w:sz w:val="24"/>
          <w:szCs w:val="24"/>
        </w:rPr>
        <w:t>a</w:t>
      </w:r>
      <w:r w:rsidR="002A33D6" w:rsidRPr="002F2C56">
        <w:rPr>
          <w:rFonts w:ascii="Times New Roman" w:hAnsi="Times New Roman"/>
          <w:color w:val="FF0000"/>
          <w:sz w:val="24"/>
          <w:szCs w:val="24"/>
        </w:rPr>
        <w:t xml:space="preserve"> creative </w:t>
      </w:r>
      <w:r w:rsidR="00BA2AC2" w:rsidRPr="002F2C56">
        <w:rPr>
          <w:rFonts w:ascii="Times New Roman" w:hAnsi="Times New Roman"/>
          <w:color w:val="FF0000"/>
          <w:sz w:val="24"/>
          <w:szCs w:val="24"/>
        </w:rPr>
        <w:t xml:space="preserve">reading of the other </w:t>
      </w:r>
      <w:r w:rsidR="0078172D" w:rsidRPr="002F2C56">
        <w:rPr>
          <w:rFonts w:ascii="Times New Roman" w:hAnsi="Times New Roman"/>
          <w:color w:val="FF0000"/>
          <w:sz w:val="24"/>
          <w:szCs w:val="24"/>
        </w:rPr>
        <w:t xml:space="preserve">legislative provisions </w:t>
      </w:r>
      <w:r w:rsidR="002A33D6" w:rsidRPr="002F2C56">
        <w:rPr>
          <w:rFonts w:ascii="Times New Roman" w:hAnsi="Times New Roman"/>
          <w:color w:val="FF0000"/>
          <w:sz w:val="24"/>
          <w:szCs w:val="24"/>
        </w:rPr>
        <w:t xml:space="preserve">would </w:t>
      </w:r>
      <w:r w:rsidR="00BA2AC2" w:rsidRPr="002F2C56">
        <w:rPr>
          <w:rFonts w:ascii="Times New Roman" w:hAnsi="Times New Roman"/>
          <w:color w:val="FF0000"/>
          <w:sz w:val="24"/>
          <w:szCs w:val="24"/>
        </w:rPr>
        <w:t xml:space="preserve">still </w:t>
      </w:r>
      <w:r w:rsidR="002A33D6" w:rsidRPr="002F2C56">
        <w:rPr>
          <w:rFonts w:ascii="Times New Roman" w:hAnsi="Times New Roman"/>
          <w:color w:val="FF0000"/>
          <w:sz w:val="24"/>
          <w:szCs w:val="24"/>
        </w:rPr>
        <w:t xml:space="preserve">be </w:t>
      </w:r>
      <w:r w:rsidR="0078172D" w:rsidRPr="002F2C56">
        <w:rPr>
          <w:rFonts w:ascii="Times New Roman" w:hAnsi="Times New Roman"/>
          <w:color w:val="FF0000"/>
          <w:sz w:val="24"/>
          <w:szCs w:val="24"/>
        </w:rPr>
        <w:t xml:space="preserve">required </w:t>
      </w:r>
      <w:r w:rsidR="002A33D6" w:rsidRPr="002F2C56">
        <w:rPr>
          <w:rFonts w:ascii="Times New Roman" w:hAnsi="Times New Roman"/>
          <w:color w:val="FF0000"/>
          <w:sz w:val="24"/>
          <w:szCs w:val="24"/>
        </w:rPr>
        <w:t>to justify</w:t>
      </w:r>
      <w:r w:rsidR="00140283" w:rsidRPr="002F2C56">
        <w:rPr>
          <w:rFonts w:ascii="Times New Roman" w:hAnsi="Times New Roman"/>
          <w:color w:val="FF0000"/>
          <w:sz w:val="24"/>
          <w:szCs w:val="24"/>
        </w:rPr>
        <w:t xml:space="preserve"> her inclusion, </w:t>
      </w:r>
      <w:r w:rsidR="0078172D" w:rsidRPr="002F2C56">
        <w:rPr>
          <w:rFonts w:ascii="Times New Roman" w:hAnsi="Times New Roman"/>
          <w:color w:val="FF0000"/>
          <w:sz w:val="24"/>
          <w:szCs w:val="24"/>
        </w:rPr>
        <w:t xml:space="preserve">which jars </w:t>
      </w:r>
      <w:r w:rsidR="00BA2AC2" w:rsidRPr="002F2C56">
        <w:rPr>
          <w:rFonts w:ascii="Times New Roman" w:hAnsi="Times New Roman"/>
          <w:color w:val="FF0000"/>
          <w:sz w:val="24"/>
          <w:szCs w:val="24"/>
        </w:rPr>
        <w:t>with any notion of empowerment.</w:t>
      </w:r>
      <w:r w:rsidRPr="002F2C56">
        <w:rPr>
          <w:rFonts w:ascii="Times New Roman" w:hAnsi="Times New Roman"/>
          <w:color w:val="FF0000"/>
          <w:sz w:val="24"/>
          <w:szCs w:val="24"/>
        </w:rPr>
        <w:t xml:space="preserve">  It is actually </w:t>
      </w:r>
      <w:r w:rsidR="0078172D" w:rsidRPr="002F2C56">
        <w:rPr>
          <w:rFonts w:ascii="Times New Roman" w:hAnsi="Times New Roman"/>
          <w:color w:val="FF0000"/>
          <w:sz w:val="24"/>
          <w:szCs w:val="24"/>
        </w:rPr>
        <w:t xml:space="preserve">left to the COP to clarify that treatment is not confined </w:t>
      </w:r>
      <w:r w:rsidR="00306E1D" w:rsidRPr="002F2C56">
        <w:rPr>
          <w:rFonts w:ascii="Times New Roman" w:hAnsi="Times New Roman"/>
          <w:color w:val="FF0000"/>
          <w:sz w:val="24"/>
          <w:szCs w:val="24"/>
        </w:rPr>
        <w:t xml:space="preserve">purely </w:t>
      </w:r>
      <w:r w:rsidR="0078172D" w:rsidRPr="002F2C56">
        <w:rPr>
          <w:rFonts w:ascii="Times New Roman" w:hAnsi="Times New Roman"/>
          <w:color w:val="FF0000"/>
          <w:sz w:val="24"/>
          <w:szCs w:val="24"/>
        </w:rPr>
        <w:t xml:space="preserve">to </w:t>
      </w:r>
      <w:r w:rsidR="00306E1D" w:rsidRPr="002F2C56">
        <w:rPr>
          <w:rFonts w:ascii="Times New Roman" w:hAnsi="Times New Roman"/>
          <w:color w:val="FF0000"/>
          <w:sz w:val="24"/>
          <w:szCs w:val="24"/>
        </w:rPr>
        <w:t xml:space="preserve">medical treatment, but even </w:t>
      </w:r>
      <w:r w:rsidR="00180F56">
        <w:rPr>
          <w:rFonts w:ascii="Times New Roman" w:hAnsi="Times New Roman"/>
          <w:color w:val="FF0000"/>
          <w:sz w:val="24"/>
          <w:szCs w:val="24"/>
        </w:rPr>
        <w:t xml:space="preserve">then </w:t>
      </w:r>
      <w:r w:rsidR="00306E1D" w:rsidRPr="002F2C56">
        <w:rPr>
          <w:rFonts w:ascii="Times New Roman" w:hAnsi="Times New Roman"/>
          <w:color w:val="FF0000"/>
          <w:sz w:val="24"/>
          <w:szCs w:val="24"/>
        </w:rPr>
        <w:t xml:space="preserve">it still states </w:t>
      </w:r>
      <w:r w:rsidR="007C208F" w:rsidRPr="002F2C56">
        <w:rPr>
          <w:rFonts w:ascii="Times New Roman" w:hAnsi="Times New Roman"/>
          <w:color w:val="FF0000"/>
          <w:sz w:val="24"/>
          <w:szCs w:val="24"/>
        </w:rPr>
        <w:t xml:space="preserve">that </w:t>
      </w:r>
      <w:r w:rsidR="0078172D" w:rsidRPr="002F2C56">
        <w:rPr>
          <w:rFonts w:ascii="Times New Roman" w:hAnsi="Times New Roman"/>
          <w:color w:val="FF0000"/>
          <w:sz w:val="24"/>
          <w:szCs w:val="24"/>
        </w:rPr>
        <w:t xml:space="preserve">research can only be </w:t>
      </w:r>
      <w:proofErr w:type="spellStart"/>
      <w:r w:rsidR="0078172D" w:rsidRPr="002F2C56">
        <w:rPr>
          <w:rFonts w:ascii="Times New Roman" w:hAnsi="Times New Roman"/>
          <w:color w:val="FF0000"/>
          <w:sz w:val="24"/>
          <w:szCs w:val="24"/>
        </w:rPr>
        <w:t>authorised</w:t>
      </w:r>
      <w:proofErr w:type="spellEnd"/>
      <w:r w:rsidR="0078172D" w:rsidRPr="002F2C56">
        <w:rPr>
          <w:rFonts w:ascii="Times New Roman" w:hAnsi="Times New Roman"/>
          <w:color w:val="FF0000"/>
          <w:sz w:val="24"/>
          <w:szCs w:val="24"/>
        </w:rPr>
        <w:t xml:space="preserve"> if it is linked in some way to the condition affecting </w:t>
      </w:r>
      <w:r w:rsidR="007C208F" w:rsidRPr="002F2C56">
        <w:rPr>
          <w:rFonts w:ascii="Times New Roman" w:hAnsi="Times New Roman"/>
          <w:color w:val="FF0000"/>
          <w:sz w:val="24"/>
          <w:szCs w:val="24"/>
        </w:rPr>
        <w:t xml:space="preserve">an </w:t>
      </w:r>
      <w:r w:rsidR="0078172D" w:rsidRPr="002F2C56">
        <w:rPr>
          <w:rFonts w:ascii="Times New Roman" w:hAnsi="Times New Roman"/>
          <w:color w:val="FF0000"/>
          <w:sz w:val="24"/>
          <w:szCs w:val="24"/>
        </w:rPr>
        <w:t>incapacitated participant herself, or to others who suffer from the same or a similar condition.</w:t>
      </w:r>
      <w:r w:rsidR="00AD41D7" w:rsidRPr="002F2C56">
        <w:rPr>
          <w:rStyle w:val="FootnoteReference"/>
          <w:rFonts w:ascii="Times New Roman" w:hAnsi="Times New Roman"/>
          <w:color w:val="FF0000"/>
          <w:sz w:val="24"/>
          <w:szCs w:val="24"/>
        </w:rPr>
        <w:footnoteReference w:id="50"/>
      </w:r>
      <w:r w:rsidR="0078172D" w:rsidRPr="002F2C56">
        <w:rPr>
          <w:rFonts w:ascii="Times New Roman" w:hAnsi="Times New Roman"/>
          <w:color w:val="FF0000"/>
          <w:sz w:val="24"/>
          <w:szCs w:val="24"/>
        </w:rPr>
        <w:t xml:space="preserve">  This misses the point; the </w:t>
      </w:r>
      <w:r w:rsidRPr="002F2C56">
        <w:rPr>
          <w:rFonts w:ascii="Times New Roman" w:hAnsi="Times New Roman"/>
          <w:color w:val="FF0000"/>
          <w:sz w:val="24"/>
          <w:szCs w:val="24"/>
        </w:rPr>
        <w:t xml:space="preserve">hypothetical research project above </w:t>
      </w:r>
      <w:r w:rsidR="007C208F" w:rsidRPr="002F2C56">
        <w:rPr>
          <w:rFonts w:ascii="Times New Roman" w:hAnsi="Times New Roman"/>
          <w:color w:val="FF0000"/>
          <w:sz w:val="24"/>
          <w:szCs w:val="24"/>
        </w:rPr>
        <w:t>should</w:t>
      </w:r>
      <w:r w:rsidR="004639F2" w:rsidRPr="002F2C56">
        <w:rPr>
          <w:rFonts w:ascii="Times New Roman" w:hAnsi="Times New Roman"/>
          <w:color w:val="FF0000"/>
          <w:sz w:val="24"/>
          <w:szCs w:val="24"/>
        </w:rPr>
        <w:t xml:space="preserve"> not </w:t>
      </w:r>
      <w:r w:rsidR="007C208F" w:rsidRPr="002F2C56">
        <w:rPr>
          <w:rFonts w:ascii="Times New Roman" w:hAnsi="Times New Roman"/>
          <w:color w:val="FF0000"/>
          <w:sz w:val="24"/>
          <w:szCs w:val="24"/>
        </w:rPr>
        <w:t xml:space="preserve">have </w:t>
      </w:r>
      <w:r w:rsidR="0078172D" w:rsidRPr="002F2C56">
        <w:rPr>
          <w:rFonts w:ascii="Times New Roman" w:hAnsi="Times New Roman"/>
          <w:color w:val="FF0000"/>
          <w:sz w:val="24"/>
          <w:szCs w:val="24"/>
        </w:rPr>
        <w:t xml:space="preserve">to </w:t>
      </w:r>
      <w:r w:rsidR="00894B56" w:rsidRPr="002F2C56">
        <w:rPr>
          <w:rFonts w:ascii="Times New Roman" w:hAnsi="Times New Roman"/>
          <w:color w:val="FF0000"/>
          <w:sz w:val="24"/>
          <w:szCs w:val="24"/>
        </w:rPr>
        <w:t>be justified on the basis that</w:t>
      </w:r>
      <w:r w:rsidR="0078172D" w:rsidRPr="002F2C56">
        <w:rPr>
          <w:rFonts w:ascii="Times New Roman" w:hAnsi="Times New Roman"/>
          <w:color w:val="FF0000"/>
          <w:sz w:val="24"/>
          <w:szCs w:val="24"/>
        </w:rPr>
        <w:t xml:space="preserve"> the </w:t>
      </w:r>
      <w:r w:rsidR="00894B56" w:rsidRPr="002F2C56">
        <w:rPr>
          <w:rFonts w:ascii="Times New Roman" w:hAnsi="Times New Roman"/>
          <w:color w:val="FF0000"/>
          <w:sz w:val="24"/>
          <w:szCs w:val="24"/>
        </w:rPr>
        <w:t>contribution</w:t>
      </w:r>
      <w:r w:rsidR="0078172D" w:rsidRPr="002F2C56">
        <w:rPr>
          <w:rFonts w:ascii="Times New Roman" w:hAnsi="Times New Roman"/>
          <w:color w:val="FF0000"/>
          <w:sz w:val="24"/>
          <w:szCs w:val="24"/>
        </w:rPr>
        <w:t xml:space="preserve"> of an incapacitated participant</w:t>
      </w:r>
      <w:r w:rsidR="007C208F" w:rsidRPr="002F2C56">
        <w:rPr>
          <w:rFonts w:ascii="Times New Roman" w:hAnsi="Times New Roman"/>
          <w:color w:val="FF0000"/>
          <w:sz w:val="24"/>
          <w:szCs w:val="24"/>
        </w:rPr>
        <w:t xml:space="preserve"> </w:t>
      </w:r>
      <w:r w:rsidR="00894B56" w:rsidRPr="002F2C56">
        <w:rPr>
          <w:rFonts w:ascii="Times New Roman" w:hAnsi="Times New Roman"/>
          <w:color w:val="FF0000"/>
          <w:sz w:val="24"/>
          <w:szCs w:val="24"/>
        </w:rPr>
        <w:t>may improve ma</w:t>
      </w:r>
      <w:r w:rsidR="007C208F" w:rsidRPr="002F2C56">
        <w:rPr>
          <w:rFonts w:ascii="Times New Roman" w:hAnsi="Times New Roman"/>
          <w:color w:val="FF0000"/>
          <w:sz w:val="24"/>
          <w:szCs w:val="24"/>
        </w:rPr>
        <w:t>tters from her perspective as the sufferer of a</w:t>
      </w:r>
      <w:r w:rsidR="00306E1D" w:rsidRPr="002F2C56">
        <w:rPr>
          <w:rFonts w:ascii="Times New Roman" w:hAnsi="Times New Roman"/>
          <w:color w:val="FF0000"/>
          <w:sz w:val="24"/>
          <w:szCs w:val="24"/>
        </w:rPr>
        <w:t xml:space="preserve"> mental impairment</w:t>
      </w:r>
      <w:r w:rsidR="00894B56" w:rsidRPr="002F2C56">
        <w:rPr>
          <w:rFonts w:ascii="Times New Roman" w:hAnsi="Times New Roman"/>
          <w:color w:val="FF0000"/>
          <w:sz w:val="24"/>
          <w:szCs w:val="24"/>
        </w:rPr>
        <w:t>, or indeed that it may help</w:t>
      </w:r>
      <w:r w:rsidR="00306E1D" w:rsidRPr="002F2C56">
        <w:rPr>
          <w:rFonts w:ascii="Times New Roman" w:hAnsi="Times New Roman"/>
          <w:color w:val="FF0000"/>
          <w:sz w:val="24"/>
          <w:szCs w:val="24"/>
        </w:rPr>
        <w:t xml:space="preserve"> others with similar or related </w:t>
      </w:r>
      <w:r w:rsidR="00894B56" w:rsidRPr="002F2C56">
        <w:rPr>
          <w:rFonts w:ascii="Times New Roman" w:hAnsi="Times New Roman"/>
          <w:color w:val="FF0000"/>
          <w:sz w:val="24"/>
          <w:szCs w:val="24"/>
        </w:rPr>
        <w:t>conditions. It should be justif</w:t>
      </w:r>
      <w:r w:rsidR="003E6DDE" w:rsidRPr="002F2C56">
        <w:rPr>
          <w:rFonts w:ascii="Times New Roman" w:hAnsi="Times New Roman"/>
          <w:color w:val="FF0000"/>
          <w:sz w:val="24"/>
          <w:szCs w:val="24"/>
        </w:rPr>
        <w:t xml:space="preserve">ied by </w:t>
      </w:r>
      <w:r w:rsidR="00140283" w:rsidRPr="002F2C56">
        <w:rPr>
          <w:rFonts w:ascii="Times New Roman" w:hAnsi="Times New Roman"/>
          <w:color w:val="FF0000"/>
          <w:sz w:val="24"/>
          <w:szCs w:val="24"/>
        </w:rPr>
        <w:t xml:space="preserve">recognition </w:t>
      </w:r>
      <w:r w:rsidR="00894B56" w:rsidRPr="002F2C56">
        <w:rPr>
          <w:rFonts w:ascii="Times New Roman" w:hAnsi="Times New Roman"/>
          <w:color w:val="FF0000"/>
          <w:sz w:val="24"/>
          <w:szCs w:val="24"/>
        </w:rPr>
        <w:t>that she is a member of the public herself</w:t>
      </w:r>
      <w:r w:rsidR="007C208F" w:rsidRPr="002F2C56">
        <w:rPr>
          <w:rFonts w:ascii="Times New Roman" w:hAnsi="Times New Roman"/>
          <w:color w:val="FF0000"/>
          <w:sz w:val="24"/>
          <w:szCs w:val="24"/>
        </w:rPr>
        <w:t>,</w:t>
      </w:r>
      <w:r w:rsidR="00894B56" w:rsidRPr="002F2C56">
        <w:rPr>
          <w:rFonts w:ascii="Times New Roman" w:hAnsi="Times New Roman"/>
          <w:color w:val="FF0000"/>
          <w:sz w:val="24"/>
          <w:szCs w:val="24"/>
        </w:rPr>
        <w:t xml:space="preserve"> who may be capable </w:t>
      </w:r>
      <w:r w:rsidR="00234468" w:rsidRPr="002F2C56">
        <w:rPr>
          <w:rFonts w:ascii="Times New Roman" w:hAnsi="Times New Roman"/>
          <w:color w:val="FF0000"/>
          <w:sz w:val="24"/>
          <w:szCs w:val="24"/>
        </w:rPr>
        <w:t>of communicating valid</w:t>
      </w:r>
      <w:r w:rsidR="00FB57F0" w:rsidRPr="002F2C56">
        <w:rPr>
          <w:rFonts w:ascii="Times New Roman" w:hAnsi="Times New Roman"/>
          <w:color w:val="FF0000"/>
          <w:sz w:val="24"/>
          <w:szCs w:val="24"/>
        </w:rPr>
        <w:t xml:space="preserve"> input into </w:t>
      </w:r>
      <w:r w:rsidR="00AD41D7" w:rsidRPr="002F2C56">
        <w:rPr>
          <w:rFonts w:ascii="Times New Roman" w:hAnsi="Times New Roman"/>
          <w:color w:val="FF0000"/>
          <w:sz w:val="24"/>
          <w:szCs w:val="24"/>
        </w:rPr>
        <w:t xml:space="preserve">any research for the </w:t>
      </w:r>
      <w:r w:rsidR="00894B56" w:rsidRPr="002F2C56">
        <w:rPr>
          <w:rFonts w:ascii="Times New Roman" w:hAnsi="Times New Roman"/>
          <w:color w:val="FF0000"/>
          <w:sz w:val="24"/>
          <w:szCs w:val="24"/>
        </w:rPr>
        <w:t>benefit</w:t>
      </w:r>
      <w:r w:rsidR="007C208F" w:rsidRPr="002F2C56">
        <w:rPr>
          <w:rFonts w:ascii="Times New Roman" w:hAnsi="Times New Roman"/>
          <w:color w:val="FF0000"/>
          <w:sz w:val="24"/>
          <w:szCs w:val="24"/>
        </w:rPr>
        <w:t xml:space="preserve"> </w:t>
      </w:r>
      <w:r w:rsidR="00AD41D7" w:rsidRPr="002F2C56">
        <w:rPr>
          <w:rFonts w:ascii="Times New Roman" w:hAnsi="Times New Roman"/>
          <w:color w:val="FF0000"/>
          <w:sz w:val="24"/>
          <w:szCs w:val="24"/>
        </w:rPr>
        <w:t xml:space="preserve">of </w:t>
      </w:r>
      <w:r w:rsidR="006134CC" w:rsidRPr="002F2C56">
        <w:rPr>
          <w:rFonts w:ascii="Times New Roman" w:hAnsi="Times New Roman"/>
          <w:color w:val="FF0000"/>
          <w:sz w:val="24"/>
          <w:szCs w:val="24"/>
        </w:rPr>
        <w:t>other individuals in society whose capacit</w:t>
      </w:r>
      <w:r w:rsidR="002A33D6" w:rsidRPr="002F2C56">
        <w:rPr>
          <w:rFonts w:ascii="Times New Roman" w:hAnsi="Times New Roman"/>
          <w:color w:val="FF0000"/>
          <w:sz w:val="24"/>
          <w:szCs w:val="24"/>
        </w:rPr>
        <w:t xml:space="preserve">y is not </w:t>
      </w:r>
      <w:r w:rsidR="007C208F" w:rsidRPr="002F2C56">
        <w:rPr>
          <w:rFonts w:ascii="Times New Roman" w:hAnsi="Times New Roman"/>
          <w:color w:val="FF0000"/>
          <w:sz w:val="24"/>
          <w:szCs w:val="24"/>
        </w:rPr>
        <w:t xml:space="preserve">compromised.  </w:t>
      </w:r>
      <w:r w:rsidR="00374328" w:rsidRPr="002F2C56">
        <w:rPr>
          <w:rFonts w:ascii="Times New Roman" w:hAnsi="Times New Roman"/>
          <w:color w:val="FF0000"/>
          <w:sz w:val="24"/>
          <w:szCs w:val="24"/>
        </w:rPr>
        <w:t xml:space="preserve">The fact that wording the MCA does not encourage matters to be viewed from this broader perspective paves the way for a </w:t>
      </w:r>
      <w:r w:rsidR="00CF5612">
        <w:rPr>
          <w:rFonts w:ascii="Times New Roman" w:hAnsi="Times New Roman"/>
          <w:color w:val="FF0000"/>
          <w:sz w:val="24"/>
          <w:szCs w:val="24"/>
        </w:rPr>
        <w:t xml:space="preserve">restrictive </w:t>
      </w:r>
      <w:r w:rsidR="00374328" w:rsidRPr="002F2C56">
        <w:rPr>
          <w:rFonts w:ascii="Times New Roman" w:hAnsi="Times New Roman"/>
          <w:color w:val="FF0000"/>
          <w:sz w:val="24"/>
          <w:szCs w:val="24"/>
        </w:rPr>
        <w:t xml:space="preserve">outlook </w:t>
      </w:r>
      <w:r w:rsidR="007C208F" w:rsidRPr="002F2C56">
        <w:rPr>
          <w:rFonts w:ascii="Times New Roman" w:hAnsi="Times New Roman"/>
          <w:color w:val="FF0000"/>
          <w:sz w:val="24"/>
          <w:szCs w:val="24"/>
        </w:rPr>
        <w:t xml:space="preserve">to take shape, which permeates throughout the </w:t>
      </w:r>
      <w:r w:rsidR="00234468" w:rsidRPr="002F2C56">
        <w:rPr>
          <w:rFonts w:ascii="Times New Roman" w:hAnsi="Times New Roman"/>
          <w:color w:val="FF0000"/>
          <w:sz w:val="24"/>
          <w:szCs w:val="24"/>
        </w:rPr>
        <w:t xml:space="preserve">remainder </w:t>
      </w:r>
      <w:r w:rsidR="00140283" w:rsidRPr="002F2C56">
        <w:rPr>
          <w:rFonts w:ascii="Times New Roman" w:hAnsi="Times New Roman"/>
          <w:color w:val="FF0000"/>
          <w:sz w:val="24"/>
          <w:szCs w:val="24"/>
        </w:rPr>
        <w:t>of the</w:t>
      </w:r>
      <w:r w:rsidR="00306E1D" w:rsidRPr="002F2C56">
        <w:rPr>
          <w:rFonts w:ascii="Times New Roman" w:hAnsi="Times New Roman"/>
          <w:color w:val="FF0000"/>
          <w:sz w:val="24"/>
          <w:szCs w:val="24"/>
        </w:rPr>
        <w:t xml:space="preserve"> MCA’s</w:t>
      </w:r>
      <w:r w:rsidR="00306E1D" w:rsidRPr="006D419D">
        <w:rPr>
          <w:rFonts w:ascii="Times New Roman" w:hAnsi="Times New Roman"/>
          <w:color w:val="FF0000"/>
          <w:sz w:val="24"/>
          <w:szCs w:val="24"/>
        </w:rPr>
        <w:t xml:space="preserve"> research framework.</w:t>
      </w:r>
    </w:p>
    <w:p w14:paraId="00263A61" w14:textId="167A8750" w:rsidR="00306E1D" w:rsidRPr="00623718" w:rsidRDefault="002A33D6" w:rsidP="007B7318">
      <w:pPr>
        <w:pStyle w:val="Body"/>
        <w:spacing w:line="360" w:lineRule="auto"/>
        <w:jc w:val="both"/>
        <w:rPr>
          <w:rFonts w:ascii="Times New Roman" w:hAnsi="Times New Roman" w:cs="Times New Roman"/>
          <w:sz w:val="24"/>
          <w:szCs w:val="24"/>
        </w:rPr>
      </w:pPr>
      <w:r>
        <w:rPr>
          <w:rFonts w:ascii="Times New Roman" w:hAnsi="Times New Roman"/>
          <w:sz w:val="24"/>
          <w:szCs w:val="24"/>
        </w:rPr>
        <w:tab/>
      </w:r>
      <w:r w:rsidRPr="00623718">
        <w:rPr>
          <w:rFonts w:ascii="Times New Roman" w:hAnsi="Times New Roman" w:cs="Times New Roman"/>
          <w:sz w:val="24"/>
          <w:szCs w:val="24"/>
        </w:rPr>
        <w:t>A similar attitude</w:t>
      </w:r>
      <w:r w:rsidR="00CE0F90">
        <w:rPr>
          <w:rFonts w:ascii="Times New Roman" w:hAnsi="Times New Roman" w:cs="Times New Roman"/>
          <w:sz w:val="24"/>
          <w:szCs w:val="24"/>
        </w:rPr>
        <w:t xml:space="preserve"> is </w:t>
      </w:r>
      <w:r w:rsidR="00234468" w:rsidRPr="00623718">
        <w:rPr>
          <w:rFonts w:ascii="Times New Roman" w:hAnsi="Times New Roman" w:cs="Times New Roman"/>
          <w:sz w:val="24"/>
          <w:szCs w:val="24"/>
        </w:rPr>
        <w:t xml:space="preserve">fostered </w:t>
      </w:r>
      <w:r w:rsidRPr="00623718">
        <w:rPr>
          <w:rFonts w:ascii="Times New Roman" w:hAnsi="Times New Roman" w:cs="Times New Roman"/>
          <w:sz w:val="24"/>
          <w:szCs w:val="24"/>
        </w:rPr>
        <w:t>in rela</w:t>
      </w:r>
      <w:r w:rsidR="00234468" w:rsidRPr="00623718">
        <w:rPr>
          <w:rFonts w:ascii="Times New Roman" w:hAnsi="Times New Roman" w:cs="Times New Roman"/>
          <w:sz w:val="24"/>
          <w:szCs w:val="24"/>
        </w:rPr>
        <w:t>tion to the ground for approval that requires consideration as to whether research of comparable effectiveness could be carried out on a capacitous person.</w:t>
      </w:r>
      <w:r w:rsidR="00AD41D7" w:rsidRPr="00623718">
        <w:rPr>
          <w:rStyle w:val="FootnoteReference"/>
          <w:rFonts w:ascii="Times New Roman" w:hAnsi="Times New Roman" w:cs="Times New Roman"/>
          <w:sz w:val="24"/>
          <w:szCs w:val="24"/>
        </w:rPr>
        <w:footnoteReference w:id="51"/>
      </w:r>
      <w:r w:rsidR="005D3191" w:rsidRPr="00623718">
        <w:rPr>
          <w:rFonts w:ascii="Times New Roman" w:hAnsi="Times New Roman" w:cs="Times New Roman"/>
          <w:sz w:val="24"/>
          <w:szCs w:val="24"/>
        </w:rPr>
        <w:t xml:space="preserve">  T</w:t>
      </w:r>
      <w:r w:rsidR="008A3566" w:rsidRPr="00623718">
        <w:rPr>
          <w:rFonts w:ascii="Times New Roman" w:hAnsi="Times New Roman" w:cs="Times New Roman"/>
          <w:sz w:val="24"/>
          <w:szCs w:val="24"/>
        </w:rPr>
        <w:t xml:space="preserve">his stems from </w:t>
      </w:r>
      <w:r w:rsidR="00140283" w:rsidRPr="00623718">
        <w:rPr>
          <w:rFonts w:ascii="Times New Roman" w:hAnsi="Times New Roman" w:cs="Times New Roman"/>
          <w:sz w:val="24"/>
          <w:szCs w:val="24"/>
        </w:rPr>
        <w:t xml:space="preserve">a wider ethical concern </w:t>
      </w:r>
      <w:r w:rsidR="005D3191" w:rsidRPr="00623718">
        <w:rPr>
          <w:rFonts w:ascii="Times New Roman" w:hAnsi="Times New Roman" w:cs="Times New Roman"/>
          <w:sz w:val="24"/>
          <w:szCs w:val="24"/>
        </w:rPr>
        <w:t xml:space="preserve">that incapacitated participants </w:t>
      </w:r>
      <w:r w:rsidR="005D3191" w:rsidRPr="00623718">
        <w:rPr>
          <w:rFonts w:ascii="Times New Roman" w:hAnsi="Times New Roman" w:cs="Times New Roman"/>
          <w:sz w:val="24"/>
          <w:szCs w:val="24"/>
        </w:rPr>
        <w:lastRenderedPageBreak/>
        <w:t>should not be used in research simply out of a matter of convenience, which is an admirable position to adopt in one sense.</w:t>
      </w:r>
      <w:r w:rsidR="00AD41D7" w:rsidRPr="00623718">
        <w:rPr>
          <w:rStyle w:val="FootnoteReference"/>
          <w:rFonts w:ascii="Times New Roman" w:hAnsi="Times New Roman" w:cs="Times New Roman"/>
          <w:sz w:val="24"/>
          <w:szCs w:val="24"/>
        </w:rPr>
        <w:footnoteReference w:id="52"/>
      </w:r>
      <w:r w:rsidR="00140283" w:rsidRPr="00623718">
        <w:rPr>
          <w:rFonts w:ascii="Times New Roman" w:hAnsi="Times New Roman" w:cs="Times New Roman"/>
          <w:sz w:val="24"/>
          <w:szCs w:val="24"/>
        </w:rPr>
        <w:t xml:space="preserve">  Nevertheless</w:t>
      </w:r>
      <w:r w:rsidR="00306E1D" w:rsidRPr="00623718">
        <w:rPr>
          <w:rFonts w:ascii="Times New Roman" w:hAnsi="Times New Roman" w:cs="Times New Roman"/>
          <w:sz w:val="24"/>
          <w:szCs w:val="24"/>
        </w:rPr>
        <w:t xml:space="preserve">, its phrasing </w:t>
      </w:r>
      <w:r w:rsidR="005D3191" w:rsidRPr="00623718">
        <w:rPr>
          <w:rFonts w:ascii="Times New Roman" w:hAnsi="Times New Roman" w:cs="Times New Roman"/>
          <w:sz w:val="24"/>
          <w:szCs w:val="24"/>
        </w:rPr>
        <w:t xml:space="preserve">may cause a researcher to always </w:t>
      </w:r>
      <w:r w:rsidR="000C6FED" w:rsidRPr="00623718">
        <w:rPr>
          <w:rFonts w:ascii="Times New Roman" w:hAnsi="Times New Roman" w:cs="Times New Roman"/>
          <w:sz w:val="24"/>
          <w:szCs w:val="24"/>
        </w:rPr>
        <w:t xml:space="preserve">begin </w:t>
      </w:r>
      <w:r w:rsidR="005D3191" w:rsidRPr="00623718">
        <w:rPr>
          <w:rFonts w:ascii="Times New Roman" w:hAnsi="Times New Roman" w:cs="Times New Roman"/>
          <w:sz w:val="24"/>
          <w:szCs w:val="24"/>
        </w:rPr>
        <w:t>by a</w:t>
      </w:r>
      <w:r w:rsidR="00F70A1F">
        <w:rPr>
          <w:rFonts w:ascii="Times New Roman" w:hAnsi="Times New Roman" w:cs="Times New Roman"/>
          <w:sz w:val="24"/>
          <w:szCs w:val="24"/>
        </w:rPr>
        <w:t>sking herself the question: ‘can I answer this research question without involving incapacitated participants</w:t>
      </w:r>
      <w:r w:rsidR="000C6FED" w:rsidRPr="00623718">
        <w:rPr>
          <w:rFonts w:ascii="Times New Roman" w:hAnsi="Times New Roman" w:cs="Times New Roman"/>
          <w:sz w:val="24"/>
          <w:szCs w:val="24"/>
        </w:rPr>
        <w:t>?</w:t>
      </w:r>
      <w:r w:rsidR="00CE0F90" w:rsidRPr="00623718">
        <w:rPr>
          <w:rFonts w:ascii="Times New Roman" w:hAnsi="Times New Roman" w:cs="Times New Roman"/>
          <w:sz w:val="24"/>
          <w:szCs w:val="24"/>
        </w:rPr>
        <w:t>’</w:t>
      </w:r>
      <w:r w:rsidR="00CE0F90">
        <w:rPr>
          <w:rFonts w:ascii="Times New Roman" w:hAnsi="Times New Roman" w:cs="Times New Roman"/>
          <w:sz w:val="24"/>
          <w:szCs w:val="24"/>
        </w:rPr>
        <w:t xml:space="preserve">  </w:t>
      </w:r>
      <w:r w:rsidR="00CE0F90" w:rsidRPr="003F75F8">
        <w:rPr>
          <w:rFonts w:ascii="Times New Roman" w:hAnsi="Times New Roman" w:cs="Times New Roman"/>
          <w:color w:val="FF0000"/>
          <w:sz w:val="24"/>
          <w:szCs w:val="24"/>
        </w:rPr>
        <w:t xml:space="preserve">This may subconsciously </w:t>
      </w:r>
      <w:r w:rsidR="003E6DDE" w:rsidRPr="003F75F8">
        <w:rPr>
          <w:rFonts w:ascii="Times New Roman" w:hAnsi="Times New Roman" w:cs="Times New Roman"/>
          <w:color w:val="FF0000"/>
          <w:sz w:val="24"/>
          <w:szCs w:val="24"/>
        </w:rPr>
        <w:t xml:space="preserve">encourage a researcher to </w:t>
      </w:r>
      <w:r w:rsidR="00140283" w:rsidRPr="003F75F8">
        <w:rPr>
          <w:rFonts w:ascii="Times New Roman" w:hAnsi="Times New Roman" w:cs="Times New Roman"/>
          <w:color w:val="FF0000"/>
          <w:sz w:val="24"/>
          <w:szCs w:val="24"/>
        </w:rPr>
        <w:t xml:space="preserve">err on the side of exclusion </w:t>
      </w:r>
      <w:r w:rsidR="003E6DDE" w:rsidRPr="003F75F8">
        <w:rPr>
          <w:rFonts w:ascii="Times New Roman" w:hAnsi="Times New Roman" w:cs="Times New Roman"/>
          <w:color w:val="FF0000"/>
          <w:sz w:val="24"/>
          <w:szCs w:val="24"/>
        </w:rPr>
        <w:t xml:space="preserve">and </w:t>
      </w:r>
      <w:r w:rsidR="00C50053" w:rsidRPr="003F75F8">
        <w:rPr>
          <w:rFonts w:ascii="Times New Roman" w:hAnsi="Times New Roman" w:cs="Times New Roman"/>
          <w:color w:val="FF0000"/>
          <w:sz w:val="24"/>
          <w:szCs w:val="24"/>
        </w:rPr>
        <w:t xml:space="preserve">if this attitude gains traction it creates </w:t>
      </w:r>
      <w:r w:rsidR="003E6DDE" w:rsidRPr="003F75F8">
        <w:rPr>
          <w:rFonts w:ascii="Times New Roman" w:hAnsi="Times New Roman" w:cs="Times New Roman"/>
          <w:color w:val="FF0000"/>
          <w:sz w:val="24"/>
          <w:szCs w:val="24"/>
        </w:rPr>
        <w:t xml:space="preserve">a distorted impression of the value that an incapacitated participant may be able to bring to research in her own right.  Just because </w:t>
      </w:r>
      <w:r w:rsidR="00B83D68">
        <w:rPr>
          <w:rFonts w:ascii="Times New Roman" w:hAnsi="Times New Roman" w:cs="Times New Roman"/>
          <w:color w:val="FF0000"/>
          <w:sz w:val="24"/>
          <w:szCs w:val="24"/>
        </w:rPr>
        <w:t xml:space="preserve">research of comparable effectiveness </w:t>
      </w:r>
      <w:r w:rsidR="003E6DDE" w:rsidRPr="003F75F8">
        <w:rPr>
          <w:rFonts w:ascii="Times New Roman" w:hAnsi="Times New Roman" w:cs="Times New Roman"/>
          <w:i/>
          <w:color w:val="FF0000"/>
          <w:sz w:val="24"/>
          <w:szCs w:val="24"/>
        </w:rPr>
        <w:t>may</w:t>
      </w:r>
      <w:r w:rsidR="003E6DDE" w:rsidRPr="003F75F8">
        <w:rPr>
          <w:rFonts w:ascii="Times New Roman" w:hAnsi="Times New Roman" w:cs="Times New Roman"/>
          <w:color w:val="FF0000"/>
          <w:sz w:val="24"/>
          <w:szCs w:val="24"/>
        </w:rPr>
        <w:t xml:space="preserve"> be capable of being achieved by using only capacitous</w:t>
      </w:r>
      <w:r w:rsidR="00C50053" w:rsidRPr="003F75F8">
        <w:rPr>
          <w:rFonts w:ascii="Times New Roman" w:hAnsi="Times New Roman" w:cs="Times New Roman"/>
          <w:color w:val="FF0000"/>
          <w:sz w:val="24"/>
          <w:szCs w:val="24"/>
        </w:rPr>
        <w:t xml:space="preserve"> </w:t>
      </w:r>
      <w:r w:rsidR="00CE5CE9" w:rsidRPr="003F75F8">
        <w:rPr>
          <w:rFonts w:ascii="Times New Roman" w:hAnsi="Times New Roman" w:cs="Times New Roman"/>
          <w:color w:val="FF0000"/>
          <w:sz w:val="24"/>
          <w:szCs w:val="24"/>
        </w:rPr>
        <w:t xml:space="preserve">participants, it </w:t>
      </w:r>
      <w:r w:rsidR="003E6DDE" w:rsidRPr="003F75F8">
        <w:rPr>
          <w:rFonts w:ascii="Times New Roman" w:hAnsi="Times New Roman" w:cs="Times New Roman"/>
          <w:color w:val="FF0000"/>
          <w:sz w:val="24"/>
          <w:szCs w:val="24"/>
        </w:rPr>
        <w:t>does not automatically mean that incapacitated participants should be</w:t>
      </w:r>
      <w:r w:rsidR="006C7765" w:rsidRPr="003F75F8">
        <w:rPr>
          <w:rFonts w:ascii="Times New Roman" w:hAnsi="Times New Roman" w:cs="Times New Roman"/>
          <w:color w:val="FF0000"/>
          <w:sz w:val="24"/>
          <w:szCs w:val="24"/>
        </w:rPr>
        <w:t xml:space="preserve"> completely omitted from a project.  </w:t>
      </w:r>
      <w:r w:rsidR="00A13BAF" w:rsidRPr="003F75F8">
        <w:rPr>
          <w:rFonts w:ascii="Times New Roman" w:hAnsi="Times New Roman" w:cs="Times New Roman"/>
          <w:color w:val="FF0000"/>
          <w:sz w:val="24"/>
          <w:szCs w:val="24"/>
        </w:rPr>
        <w:t xml:space="preserve">Perhaps a more </w:t>
      </w:r>
      <w:r w:rsidR="00E8544A" w:rsidRPr="003F75F8">
        <w:rPr>
          <w:rFonts w:ascii="Times New Roman" w:hAnsi="Times New Roman" w:cs="Times New Roman"/>
          <w:color w:val="FF0000"/>
          <w:sz w:val="24"/>
          <w:szCs w:val="24"/>
        </w:rPr>
        <w:t xml:space="preserve">suitable </w:t>
      </w:r>
      <w:r w:rsidR="00A13BAF" w:rsidRPr="003F75F8">
        <w:rPr>
          <w:rFonts w:ascii="Times New Roman" w:hAnsi="Times New Roman" w:cs="Times New Roman"/>
          <w:color w:val="FF0000"/>
          <w:sz w:val="24"/>
          <w:szCs w:val="24"/>
        </w:rPr>
        <w:t>way to phrase the c</w:t>
      </w:r>
      <w:r w:rsidR="00B83D68">
        <w:rPr>
          <w:rFonts w:ascii="Times New Roman" w:hAnsi="Times New Roman" w:cs="Times New Roman"/>
          <w:color w:val="FF0000"/>
          <w:sz w:val="24"/>
          <w:szCs w:val="24"/>
        </w:rPr>
        <w:t xml:space="preserve">ondition would be to impose on a researcher on obligation to ‘provide reasonable evidence to support that she has given appropriate consideration as to why and how any research project will derive value from the inclusion of incapacitated participants’.  Provided value </w:t>
      </w:r>
      <w:r w:rsidR="00E8544A" w:rsidRPr="003F75F8">
        <w:rPr>
          <w:rFonts w:ascii="Times New Roman" w:hAnsi="Times New Roman" w:cs="Times New Roman"/>
          <w:color w:val="FF0000"/>
          <w:sz w:val="24"/>
          <w:szCs w:val="24"/>
        </w:rPr>
        <w:t xml:space="preserve">is broadly </w:t>
      </w:r>
      <w:r w:rsidR="00A13BAF" w:rsidRPr="003F75F8">
        <w:rPr>
          <w:rFonts w:ascii="Times New Roman" w:hAnsi="Times New Roman" w:cs="Times New Roman"/>
          <w:color w:val="FF0000"/>
          <w:sz w:val="24"/>
          <w:szCs w:val="24"/>
        </w:rPr>
        <w:t xml:space="preserve">conceived, this </w:t>
      </w:r>
      <w:r w:rsidR="00E8544A" w:rsidRPr="003F75F8">
        <w:rPr>
          <w:rFonts w:ascii="Times New Roman" w:hAnsi="Times New Roman" w:cs="Times New Roman"/>
          <w:color w:val="FF0000"/>
          <w:sz w:val="24"/>
          <w:szCs w:val="24"/>
        </w:rPr>
        <w:t>construction</w:t>
      </w:r>
      <w:r w:rsidR="00A13BAF" w:rsidRPr="003F75F8">
        <w:rPr>
          <w:rFonts w:ascii="Times New Roman" w:hAnsi="Times New Roman" w:cs="Times New Roman"/>
          <w:color w:val="FF0000"/>
          <w:sz w:val="24"/>
          <w:szCs w:val="24"/>
        </w:rPr>
        <w:t xml:space="preserve"> </w:t>
      </w:r>
      <w:r w:rsidR="00E8544A" w:rsidRPr="003F75F8">
        <w:rPr>
          <w:rFonts w:ascii="Times New Roman" w:hAnsi="Times New Roman" w:cs="Times New Roman"/>
          <w:color w:val="FF0000"/>
          <w:sz w:val="24"/>
          <w:szCs w:val="24"/>
        </w:rPr>
        <w:t xml:space="preserve">removes any comparative element, which may project a stronger recognition from the law </w:t>
      </w:r>
      <w:r w:rsidR="00C50053" w:rsidRPr="003F75F8">
        <w:rPr>
          <w:rFonts w:ascii="Times New Roman" w:hAnsi="Times New Roman" w:cs="Times New Roman"/>
          <w:color w:val="FF0000"/>
          <w:sz w:val="24"/>
          <w:szCs w:val="24"/>
        </w:rPr>
        <w:t xml:space="preserve">that both sets of participants may be capable of contributing something </w:t>
      </w:r>
      <w:r w:rsidR="00B2661A">
        <w:rPr>
          <w:rFonts w:ascii="Times New Roman" w:hAnsi="Times New Roman" w:cs="Times New Roman"/>
          <w:color w:val="FF0000"/>
          <w:sz w:val="24"/>
          <w:szCs w:val="24"/>
        </w:rPr>
        <w:t>of equal worth to research.</w:t>
      </w:r>
    </w:p>
    <w:p w14:paraId="1D152549" w14:textId="0E469041" w:rsidR="007B7318" w:rsidRDefault="00306E1D" w:rsidP="007B7318">
      <w:pPr>
        <w:pStyle w:val="Body"/>
        <w:spacing w:line="360" w:lineRule="auto"/>
        <w:jc w:val="both"/>
        <w:rPr>
          <w:rFonts w:ascii="Times New Roman" w:hAnsi="Times New Roman"/>
          <w:sz w:val="24"/>
          <w:szCs w:val="24"/>
        </w:rPr>
      </w:pPr>
      <w:r>
        <w:rPr>
          <w:rFonts w:ascii="Times New Roman" w:hAnsi="Times New Roman"/>
          <w:sz w:val="24"/>
          <w:szCs w:val="24"/>
        </w:rPr>
        <w:tab/>
      </w:r>
      <w:r w:rsidR="00C50053">
        <w:rPr>
          <w:rFonts w:ascii="Times New Roman" w:hAnsi="Times New Roman"/>
          <w:sz w:val="24"/>
          <w:szCs w:val="24"/>
        </w:rPr>
        <w:t xml:space="preserve">It has been argued by some that the </w:t>
      </w:r>
      <w:r w:rsidR="001A5A70">
        <w:rPr>
          <w:rFonts w:ascii="Times New Roman" w:hAnsi="Times New Roman"/>
          <w:sz w:val="24"/>
          <w:szCs w:val="24"/>
        </w:rPr>
        <w:t xml:space="preserve">more general </w:t>
      </w:r>
      <w:r w:rsidR="00C50053">
        <w:rPr>
          <w:rFonts w:ascii="Times New Roman" w:hAnsi="Times New Roman"/>
          <w:sz w:val="24"/>
          <w:szCs w:val="24"/>
        </w:rPr>
        <w:t>terms of MCA conflict with the renewed emphasis</w:t>
      </w:r>
      <w:r w:rsidR="00F70A1F">
        <w:rPr>
          <w:rFonts w:ascii="Times New Roman" w:hAnsi="Times New Roman"/>
          <w:sz w:val="24"/>
          <w:szCs w:val="24"/>
        </w:rPr>
        <w:t xml:space="preserve"> on supported </w:t>
      </w:r>
      <w:r w:rsidR="008A675D">
        <w:rPr>
          <w:rFonts w:ascii="Times New Roman" w:hAnsi="Times New Roman"/>
          <w:sz w:val="24"/>
          <w:szCs w:val="24"/>
        </w:rPr>
        <w:t xml:space="preserve">decision-making endorsed by the </w:t>
      </w:r>
      <w:r w:rsidR="007B7318">
        <w:rPr>
          <w:rFonts w:ascii="Times New Roman" w:hAnsi="Times New Roman"/>
          <w:sz w:val="24"/>
          <w:szCs w:val="24"/>
        </w:rPr>
        <w:t>UNCRPD.</w:t>
      </w:r>
      <w:r w:rsidR="00AD41D7">
        <w:rPr>
          <w:rStyle w:val="FootnoteReference"/>
          <w:rFonts w:ascii="Times New Roman" w:hAnsi="Times New Roman"/>
          <w:sz w:val="24"/>
          <w:szCs w:val="24"/>
        </w:rPr>
        <w:footnoteReference w:id="53"/>
      </w:r>
      <w:r w:rsidR="007B7318">
        <w:rPr>
          <w:rFonts w:ascii="Times New Roman" w:hAnsi="Times New Roman"/>
          <w:sz w:val="24"/>
          <w:szCs w:val="24"/>
        </w:rPr>
        <w:t xml:space="preserve">  The</w:t>
      </w:r>
      <w:r w:rsidR="008A675D">
        <w:rPr>
          <w:rFonts w:ascii="Times New Roman" w:hAnsi="Times New Roman"/>
          <w:sz w:val="24"/>
          <w:szCs w:val="24"/>
        </w:rPr>
        <w:t xml:space="preserve"> particular demand for a comparative assessment of capacitated versus incapacitated participants in the sphere of research is a paradigm example of the MCA failing</w:t>
      </w:r>
      <w:r w:rsidR="007B7318">
        <w:rPr>
          <w:rFonts w:ascii="Times New Roman" w:hAnsi="Times New Roman"/>
          <w:sz w:val="24"/>
          <w:szCs w:val="24"/>
        </w:rPr>
        <w:t xml:space="preserve"> to </w:t>
      </w:r>
      <w:r w:rsidR="00F70A1F">
        <w:rPr>
          <w:rFonts w:ascii="Times New Roman" w:hAnsi="Times New Roman"/>
          <w:sz w:val="24"/>
          <w:szCs w:val="24"/>
        </w:rPr>
        <w:t xml:space="preserve">recognise what supported </w:t>
      </w:r>
      <w:r w:rsidR="008A675D">
        <w:rPr>
          <w:rFonts w:ascii="Times New Roman" w:hAnsi="Times New Roman"/>
          <w:sz w:val="24"/>
          <w:szCs w:val="24"/>
        </w:rPr>
        <w:t xml:space="preserve">decision-making is actually </w:t>
      </w:r>
      <w:r w:rsidR="00140283">
        <w:rPr>
          <w:rFonts w:ascii="Times New Roman" w:hAnsi="Times New Roman"/>
          <w:sz w:val="24"/>
          <w:szCs w:val="24"/>
        </w:rPr>
        <w:t>about</w:t>
      </w:r>
      <w:r w:rsidR="007B7318">
        <w:rPr>
          <w:rFonts w:ascii="Times New Roman" w:hAnsi="Times New Roman"/>
          <w:sz w:val="24"/>
          <w:szCs w:val="24"/>
        </w:rPr>
        <w:t>.</w:t>
      </w:r>
      <w:r w:rsidR="00AD41D7">
        <w:rPr>
          <w:rStyle w:val="FootnoteReference"/>
          <w:rFonts w:ascii="Times New Roman" w:hAnsi="Times New Roman"/>
          <w:sz w:val="24"/>
          <w:szCs w:val="24"/>
        </w:rPr>
        <w:footnoteReference w:id="54"/>
      </w:r>
      <w:r w:rsidR="007B7318">
        <w:rPr>
          <w:rFonts w:ascii="Times New Roman" w:hAnsi="Times New Roman"/>
          <w:sz w:val="24"/>
          <w:szCs w:val="24"/>
        </w:rPr>
        <w:t xml:space="preserve">  </w:t>
      </w:r>
      <w:r w:rsidR="001A5A70">
        <w:rPr>
          <w:rFonts w:ascii="Times New Roman" w:hAnsi="Times New Roman"/>
          <w:sz w:val="24"/>
          <w:szCs w:val="24"/>
        </w:rPr>
        <w:t xml:space="preserve">Rather than promoting </w:t>
      </w:r>
      <w:r w:rsidR="008A675D">
        <w:rPr>
          <w:rFonts w:ascii="Times New Roman" w:hAnsi="Times New Roman"/>
          <w:sz w:val="24"/>
          <w:szCs w:val="24"/>
        </w:rPr>
        <w:t xml:space="preserve">an attitude of exclusion, </w:t>
      </w:r>
      <w:r>
        <w:rPr>
          <w:rFonts w:ascii="Times New Roman" w:hAnsi="Times New Roman"/>
          <w:sz w:val="24"/>
          <w:szCs w:val="24"/>
        </w:rPr>
        <w:t xml:space="preserve">the legislation should aim not only </w:t>
      </w:r>
      <w:r w:rsidR="001A5A70">
        <w:rPr>
          <w:rFonts w:ascii="Times New Roman" w:hAnsi="Times New Roman"/>
          <w:sz w:val="24"/>
          <w:szCs w:val="24"/>
        </w:rPr>
        <w:t xml:space="preserve">to </w:t>
      </w:r>
      <w:r>
        <w:rPr>
          <w:rFonts w:ascii="Times New Roman" w:hAnsi="Times New Roman"/>
          <w:sz w:val="24"/>
          <w:szCs w:val="24"/>
        </w:rPr>
        <w:t xml:space="preserve">focus </w:t>
      </w:r>
      <w:r w:rsidR="007B7318">
        <w:rPr>
          <w:rFonts w:ascii="Times New Roman" w:hAnsi="Times New Roman"/>
          <w:sz w:val="24"/>
          <w:szCs w:val="24"/>
        </w:rPr>
        <w:t xml:space="preserve">on the ways in which it </w:t>
      </w:r>
      <w:r w:rsidR="00140283">
        <w:rPr>
          <w:rFonts w:ascii="Times New Roman" w:hAnsi="Times New Roman"/>
          <w:sz w:val="24"/>
          <w:szCs w:val="24"/>
        </w:rPr>
        <w:t>can</w:t>
      </w:r>
      <w:r w:rsidR="007B7318">
        <w:rPr>
          <w:rFonts w:ascii="Times New Roman" w:hAnsi="Times New Roman"/>
          <w:sz w:val="24"/>
          <w:szCs w:val="24"/>
        </w:rPr>
        <w:t xml:space="preserve"> </w:t>
      </w:r>
      <w:r w:rsidR="008A675D">
        <w:rPr>
          <w:rFonts w:ascii="Times New Roman" w:hAnsi="Times New Roman"/>
          <w:sz w:val="24"/>
          <w:szCs w:val="24"/>
        </w:rPr>
        <w:t xml:space="preserve">recognise the </w:t>
      </w:r>
      <w:r w:rsidR="007B7318">
        <w:rPr>
          <w:rFonts w:ascii="Times New Roman" w:hAnsi="Times New Roman"/>
          <w:sz w:val="24"/>
          <w:szCs w:val="24"/>
        </w:rPr>
        <w:t xml:space="preserve">valid contribution that </w:t>
      </w:r>
      <w:r w:rsidR="008A675D">
        <w:rPr>
          <w:rFonts w:ascii="Times New Roman" w:hAnsi="Times New Roman"/>
          <w:sz w:val="24"/>
          <w:szCs w:val="24"/>
        </w:rPr>
        <w:t xml:space="preserve">incapacitated </w:t>
      </w:r>
      <w:r w:rsidR="007B7318">
        <w:rPr>
          <w:rFonts w:ascii="Times New Roman" w:hAnsi="Times New Roman"/>
          <w:sz w:val="24"/>
          <w:szCs w:val="24"/>
        </w:rPr>
        <w:t>participants</w:t>
      </w:r>
      <w:r w:rsidR="00140283">
        <w:rPr>
          <w:rFonts w:ascii="Times New Roman" w:hAnsi="Times New Roman"/>
          <w:sz w:val="24"/>
          <w:szCs w:val="24"/>
        </w:rPr>
        <w:t xml:space="preserve"> bring </w:t>
      </w:r>
      <w:r w:rsidR="007B7318">
        <w:rPr>
          <w:rFonts w:ascii="Times New Roman" w:hAnsi="Times New Roman"/>
          <w:sz w:val="24"/>
          <w:szCs w:val="24"/>
        </w:rPr>
        <w:t xml:space="preserve">to research, but also on how its provisions could </w:t>
      </w:r>
      <w:r>
        <w:rPr>
          <w:rFonts w:ascii="Times New Roman" w:hAnsi="Times New Roman"/>
          <w:sz w:val="24"/>
          <w:szCs w:val="24"/>
        </w:rPr>
        <w:t xml:space="preserve">effectively </w:t>
      </w:r>
      <w:r w:rsidR="007B7318">
        <w:rPr>
          <w:rFonts w:ascii="Times New Roman" w:hAnsi="Times New Roman"/>
          <w:sz w:val="24"/>
          <w:szCs w:val="24"/>
        </w:rPr>
        <w:t xml:space="preserve">accommodate and facilitate their </w:t>
      </w:r>
      <w:r w:rsidR="008A675D">
        <w:rPr>
          <w:rFonts w:ascii="Times New Roman" w:hAnsi="Times New Roman"/>
          <w:sz w:val="24"/>
          <w:szCs w:val="24"/>
        </w:rPr>
        <w:t>involvement in the process.</w:t>
      </w:r>
      <w:r w:rsidR="002A7B39">
        <w:rPr>
          <w:rFonts w:ascii="Times New Roman" w:hAnsi="Times New Roman"/>
          <w:sz w:val="24"/>
          <w:szCs w:val="24"/>
        </w:rPr>
        <w:t xml:space="preserve"> It </w:t>
      </w:r>
      <w:r w:rsidR="00F70A1F">
        <w:rPr>
          <w:rFonts w:ascii="Times New Roman" w:hAnsi="Times New Roman"/>
          <w:sz w:val="24"/>
          <w:szCs w:val="24"/>
        </w:rPr>
        <w:t xml:space="preserve">should seek to </w:t>
      </w:r>
      <w:proofErr w:type="spellStart"/>
      <w:r w:rsidR="00F70A1F">
        <w:rPr>
          <w:rFonts w:ascii="Times New Roman" w:hAnsi="Times New Roman"/>
          <w:sz w:val="24"/>
          <w:szCs w:val="24"/>
        </w:rPr>
        <w:t>maximis</w:t>
      </w:r>
      <w:r>
        <w:rPr>
          <w:rFonts w:ascii="Times New Roman" w:hAnsi="Times New Roman"/>
          <w:sz w:val="24"/>
          <w:szCs w:val="24"/>
        </w:rPr>
        <w:t>e</w:t>
      </w:r>
      <w:proofErr w:type="spellEnd"/>
      <w:r>
        <w:rPr>
          <w:rFonts w:ascii="Times New Roman" w:hAnsi="Times New Roman"/>
          <w:sz w:val="24"/>
          <w:szCs w:val="24"/>
        </w:rPr>
        <w:t xml:space="preserve"> avenues of support </w:t>
      </w:r>
      <w:r w:rsidR="00CF4102">
        <w:rPr>
          <w:rFonts w:ascii="Times New Roman" w:hAnsi="Times New Roman"/>
          <w:sz w:val="24"/>
          <w:szCs w:val="24"/>
        </w:rPr>
        <w:t>for a participant</w:t>
      </w:r>
      <w:r>
        <w:rPr>
          <w:rFonts w:ascii="Times New Roman" w:hAnsi="Times New Roman"/>
          <w:sz w:val="24"/>
          <w:szCs w:val="24"/>
        </w:rPr>
        <w:t xml:space="preserve"> </w:t>
      </w:r>
      <w:r w:rsidR="001A5A70">
        <w:rPr>
          <w:rFonts w:ascii="Times New Roman" w:hAnsi="Times New Roman"/>
          <w:sz w:val="24"/>
          <w:szCs w:val="24"/>
        </w:rPr>
        <w:t xml:space="preserve">in research </w:t>
      </w:r>
      <w:r w:rsidR="00CF4102">
        <w:rPr>
          <w:rFonts w:ascii="Times New Roman" w:hAnsi="Times New Roman"/>
          <w:sz w:val="24"/>
          <w:szCs w:val="24"/>
        </w:rPr>
        <w:t xml:space="preserve">and, where possible, to assist her </w:t>
      </w:r>
      <w:r w:rsidR="00CF4102">
        <w:rPr>
          <w:rFonts w:ascii="Times New Roman" w:hAnsi="Times New Roman"/>
          <w:sz w:val="24"/>
          <w:szCs w:val="24"/>
        </w:rPr>
        <w:lastRenderedPageBreak/>
        <w:t>in making her own decision about participation</w:t>
      </w:r>
      <w:r w:rsidR="00AD41D7">
        <w:rPr>
          <w:rFonts w:ascii="Times New Roman" w:hAnsi="Times New Roman"/>
          <w:sz w:val="24"/>
          <w:szCs w:val="24"/>
        </w:rPr>
        <w:t xml:space="preserve">.  While </w:t>
      </w:r>
      <w:r w:rsidR="007B7318">
        <w:rPr>
          <w:rFonts w:ascii="Times New Roman" w:hAnsi="Times New Roman"/>
          <w:sz w:val="24"/>
          <w:szCs w:val="24"/>
        </w:rPr>
        <w:t>i</w:t>
      </w:r>
      <w:r>
        <w:rPr>
          <w:rFonts w:ascii="Times New Roman" w:hAnsi="Times New Roman"/>
          <w:sz w:val="24"/>
          <w:szCs w:val="24"/>
        </w:rPr>
        <w:t xml:space="preserve">t is </w:t>
      </w:r>
      <w:r w:rsidR="001A5A70">
        <w:rPr>
          <w:rFonts w:ascii="Times New Roman" w:hAnsi="Times New Roman"/>
          <w:sz w:val="24"/>
          <w:szCs w:val="24"/>
        </w:rPr>
        <w:t xml:space="preserve">desirable to assume </w:t>
      </w:r>
      <w:r w:rsidR="00CF4102">
        <w:rPr>
          <w:rFonts w:ascii="Times New Roman" w:hAnsi="Times New Roman"/>
          <w:sz w:val="24"/>
          <w:szCs w:val="24"/>
        </w:rPr>
        <w:t>that the interests of an i</w:t>
      </w:r>
      <w:r w:rsidR="001A5A70">
        <w:rPr>
          <w:rFonts w:ascii="Times New Roman" w:hAnsi="Times New Roman"/>
          <w:sz w:val="24"/>
          <w:szCs w:val="24"/>
        </w:rPr>
        <w:t xml:space="preserve">ncapacitated participant should </w:t>
      </w:r>
      <w:r w:rsidR="00AD0520">
        <w:rPr>
          <w:rFonts w:ascii="Times New Roman" w:hAnsi="Times New Roman"/>
          <w:sz w:val="24"/>
          <w:szCs w:val="24"/>
        </w:rPr>
        <w:t xml:space="preserve">outweigh </w:t>
      </w:r>
      <w:r w:rsidR="00CF4102">
        <w:rPr>
          <w:rFonts w:ascii="Times New Roman" w:hAnsi="Times New Roman"/>
          <w:sz w:val="24"/>
          <w:szCs w:val="24"/>
        </w:rPr>
        <w:t xml:space="preserve">the interests of </w:t>
      </w:r>
      <w:r w:rsidR="00AD0520">
        <w:rPr>
          <w:rFonts w:ascii="Times New Roman" w:hAnsi="Times New Roman"/>
          <w:sz w:val="24"/>
          <w:szCs w:val="24"/>
        </w:rPr>
        <w:t xml:space="preserve">science and </w:t>
      </w:r>
      <w:r w:rsidR="00CF4102">
        <w:rPr>
          <w:rFonts w:ascii="Times New Roman" w:hAnsi="Times New Roman"/>
          <w:sz w:val="24"/>
          <w:szCs w:val="24"/>
        </w:rPr>
        <w:t>society</w:t>
      </w:r>
      <w:r w:rsidR="00AD0520">
        <w:rPr>
          <w:rFonts w:ascii="Times New Roman" w:hAnsi="Times New Roman"/>
          <w:sz w:val="24"/>
          <w:szCs w:val="24"/>
        </w:rPr>
        <w:t>,</w:t>
      </w:r>
      <w:r w:rsidR="00AD41D7">
        <w:rPr>
          <w:rFonts w:ascii="Times New Roman" w:hAnsi="Times New Roman"/>
          <w:sz w:val="24"/>
          <w:szCs w:val="24"/>
        </w:rPr>
        <w:t xml:space="preserve"> </w:t>
      </w:r>
      <w:r w:rsidR="00AD0520">
        <w:rPr>
          <w:rFonts w:ascii="Times New Roman" w:hAnsi="Times New Roman"/>
          <w:sz w:val="24"/>
          <w:szCs w:val="24"/>
        </w:rPr>
        <w:t>to</w:t>
      </w:r>
      <w:r w:rsidR="001A5A70">
        <w:rPr>
          <w:rFonts w:ascii="Times New Roman" w:hAnsi="Times New Roman"/>
          <w:sz w:val="24"/>
          <w:szCs w:val="24"/>
        </w:rPr>
        <w:t xml:space="preserve"> </w:t>
      </w:r>
      <w:r w:rsidR="00CF4102">
        <w:rPr>
          <w:rFonts w:ascii="Times New Roman" w:hAnsi="Times New Roman"/>
          <w:sz w:val="24"/>
          <w:szCs w:val="24"/>
        </w:rPr>
        <w:t xml:space="preserve">view the two </w:t>
      </w:r>
      <w:r w:rsidR="00AD41D7">
        <w:rPr>
          <w:rFonts w:ascii="Times New Roman" w:hAnsi="Times New Roman"/>
          <w:sz w:val="24"/>
          <w:szCs w:val="24"/>
        </w:rPr>
        <w:t xml:space="preserve">interests </w:t>
      </w:r>
      <w:r w:rsidR="00CF4102">
        <w:rPr>
          <w:rFonts w:ascii="Times New Roman" w:hAnsi="Times New Roman"/>
          <w:sz w:val="24"/>
          <w:szCs w:val="24"/>
        </w:rPr>
        <w:t xml:space="preserve">as </w:t>
      </w:r>
      <w:r w:rsidR="001A5A70">
        <w:rPr>
          <w:rFonts w:ascii="Times New Roman" w:hAnsi="Times New Roman"/>
          <w:sz w:val="24"/>
          <w:szCs w:val="24"/>
        </w:rPr>
        <w:t xml:space="preserve">always </w:t>
      </w:r>
      <w:r w:rsidR="00CF4102">
        <w:rPr>
          <w:rFonts w:ascii="Times New Roman" w:hAnsi="Times New Roman"/>
          <w:sz w:val="24"/>
          <w:szCs w:val="24"/>
        </w:rPr>
        <w:t>being diametrically opposed may lead to a propensity to overprotect, when the direction of travel should be to place greater emphasis</w:t>
      </w:r>
      <w:r>
        <w:rPr>
          <w:rFonts w:ascii="Times New Roman" w:hAnsi="Times New Roman"/>
          <w:sz w:val="24"/>
          <w:szCs w:val="24"/>
        </w:rPr>
        <w:t xml:space="preserve"> on collaboration between a researcher and a participant </w:t>
      </w:r>
      <w:r w:rsidR="002A7B39">
        <w:rPr>
          <w:rFonts w:ascii="Times New Roman" w:hAnsi="Times New Roman"/>
          <w:sz w:val="24"/>
          <w:szCs w:val="24"/>
        </w:rPr>
        <w:t xml:space="preserve">to engender </w:t>
      </w:r>
      <w:r w:rsidR="00CF4102">
        <w:rPr>
          <w:rFonts w:ascii="Times New Roman" w:hAnsi="Times New Roman"/>
          <w:sz w:val="24"/>
          <w:szCs w:val="24"/>
        </w:rPr>
        <w:t>empowerment.</w:t>
      </w:r>
      <w:r w:rsidR="00AD41D7">
        <w:rPr>
          <w:rStyle w:val="FootnoteReference"/>
          <w:rFonts w:ascii="Times New Roman" w:hAnsi="Times New Roman"/>
          <w:sz w:val="24"/>
          <w:szCs w:val="24"/>
        </w:rPr>
        <w:footnoteReference w:id="55"/>
      </w:r>
      <w:r w:rsidR="002A7B39">
        <w:rPr>
          <w:rFonts w:ascii="Times New Roman" w:hAnsi="Times New Roman"/>
          <w:sz w:val="24"/>
          <w:szCs w:val="24"/>
        </w:rPr>
        <w:t xml:space="preserve">  </w:t>
      </w:r>
      <w:r w:rsidR="00CF4102">
        <w:rPr>
          <w:rFonts w:ascii="Times New Roman" w:hAnsi="Times New Roman"/>
          <w:sz w:val="24"/>
          <w:szCs w:val="24"/>
        </w:rPr>
        <w:t xml:space="preserve">The research provisions are ripe for an overhaul of how they </w:t>
      </w:r>
      <w:proofErr w:type="spellStart"/>
      <w:r w:rsidR="00CF4102">
        <w:rPr>
          <w:rFonts w:ascii="Times New Roman" w:hAnsi="Times New Roman"/>
          <w:sz w:val="24"/>
          <w:szCs w:val="24"/>
        </w:rPr>
        <w:t>visualise</w:t>
      </w:r>
      <w:proofErr w:type="spellEnd"/>
      <w:r w:rsidR="00CF4102">
        <w:rPr>
          <w:rFonts w:ascii="Times New Roman" w:hAnsi="Times New Roman"/>
          <w:sz w:val="24"/>
          <w:szCs w:val="24"/>
        </w:rPr>
        <w:t xml:space="preserve"> the position of incapacitated </w:t>
      </w:r>
      <w:r w:rsidR="00A17D03">
        <w:rPr>
          <w:rFonts w:ascii="Times New Roman" w:hAnsi="Times New Roman"/>
          <w:sz w:val="24"/>
          <w:szCs w:val="24"/>
        </w:rPr>
        <w:t>participants</w:t>
      </w:r>
      <w:r w:rsidR="00CF4102">
        <w:rPr>
          <w:rFonts w:ascii="Times New Roman" w:hAnsi="Times New Roman"/>
          <w:sz w:val="24"/>
          <w:szCs w:val="24"/>
        </w:rPr>
        <w:t xml:space="preserve"> and</w:t>
      </w:r>
      <w:r w:rsidR="00A17D03">
        <w:rPr>
          <w:rFonts w:ascii="Times New Roman" w:hAnsi="Times New Roman"/>
          <w:sz w:val="24"/>
          <w:szCs w:val="24"/>
        </w:rPr>
        <w:t>, based on the excellent recent work of Clough,</w:t>
      </w:r>
      <w:r w:rsidR="00AD0520">
        <w:rPr>
          <w:rFonts w:ascii="Times New Roman" w:hAnsi="Times New Roman"/>
          <w:sz w:val="24"/>
          <w:szCs w:val="24"/>
        </w:rPr>
        <w:t xml:space="preserve"> this </w:t>
      </w:r>
      <w:r w:rsidR="00140283">
        <w:rPr>
          <w:rFonts w:ascii="Times New Roman" w:hAnsi="Times New Roman"/>
          <w:sz w:val="24"/>
          <w:szCs w:val="24"/>
        </w:rPr>
        <w:t xml:space="preserve">may entail </w:t>
      </w:r>
      <w:r w:rsidR="00A17D03">
        <w:rPr>
          <w:rFonts w:ascii="Times New Roman" w:hAnsi="Times New Roman"/>
          <w:sz w:val="24"/>
          <w:szCs w:val="24"/>
        </w:rPr>
        <w:t xml:space="preserve">a </w:t>
      </w:r>
      <w:r w:rsidR="00CF4102">
        <w:rPr>
          <w:rFonts w:ascii="Times New Roman" w:hAnsi="Times New Roman"/>
          <w:sz w:val="24"/>
          <w:szCs w:val="24"/>
        </w:rPr>
        <w:t xml:space="preserve">complete reconsideration of how </w:t>
      </w:r>
      <w:r w:rsidR="00A17D03">
        <w:rPr>
          <w:rFonts w:ascii="Times New Roman" w:hAnsi="Times New Roman"/>
          <w:sz w:val="24"/>
          <w:szCs w:val="24"/>
        </w:rPr>
        <w:t xml:space="preserve">notions </w:t>
      </w:r>
      <w:r w:rsidR="00AD0520">
        <w:rPr>
          <w:rFonts w:ascii="Times New Roman" w:hAnsi="Times New Roman"/>
          <w:sz w:val="24"/>
          <w:szCs w:val="24"/>
        </w:rPr>
        <w:t xml:space="preserve">of incapacity and its affect upon </w:t>
      </w:r>
      <w:r w:rsidR="00A17D03">
        <w:rPr>
          <w:rFonts w:ascii="Times New Roman" w:hAnsi="Times New Roman"/>
          <w:sz w:val="24"/>
          <w:szCs w:val="24"/>
        </w:rPr>
        <w:t>individual</w:t>
      </w:r>
      <w:r w:rsidR="00AD0520">
        <w:rPr>
          <w:rFonts w:ascii="Times New Roman" w:hAnsi="Times New Roman"/>
          <w:sz w:val="24"/>
          <w:szCs w:val="24"/>
        </w:rPr>
        <w:t>s</w:t>
      </w:r>
      <w:r w:rsidR="00A17D03">
        <w:rPr>
          <w:rFonts w:ascii="Times New Roman" w:hAnsi="Times New Roman"/>
          <w:sz w:val="24"/>
          <w:szCs w:val="24"/>
        </w:rPr>
        <w:t xml:space="preserve"> are thought </w:t>
      </w:r>
      <w:r w:rsidR="00AD0520">
        <w:rPr>
          <w:rFonts w:ascii="Times New Roman" w:hAnsi="Times New Roman"/>
          <w:sz w:val="24"/>
          <w:szCs w:val="24"/>
        </w:rPr>
        <w:t>about</w:t>
      </w:r>
      <w:r w:rsidR="00A17D03">
        <w:rPr>
          <w:rFonts w:ascii="Times New Roman" w:hAnsi="Times New Roman"/>
          <w:sz w:val="24"/>
          <w:szCs w:val="24"/>
        </w:rPr>
        <w:t>.</w:t>
      </w:r>
      <w:r w:rsidR="00AD41D7">
        <w:rPr>
          <w:rStyle w:val="FootnoteReference"/>
          <w:rFonts w:ascii="Times New Roman" w:hAnsi="Times New Roman"/>
          <w:sz w:val="24"/>
          <w:szCs w:val="24"/>
        </w:rPr>
        <w:footnoteReference w:id="56"/>
      </w:r>
      <w:r w:rsidR="00CE0042">
        <w:rPr>
          <w:rFonts w:ascii="Times New Roman" w:hAnsi="Times New Roman"/>
          <w:sz w:val="24"/>
          <w:szCs w:val="24"/>
        </w:rPr>
        <w:t xml:space="preserve">  </w:t>
      </w:r>
      <w:r w:rsidR="00CE0042" w:rsidRPr="00563AB4">
        <w:rPr>
          <w:rFonts w:ascii="Times New Roman" w:hAnsi="Times New Roman"/>
          <w:color w:val="FF0000"/>
          <w:sz w:val="24"/>
          <w:szCs w:val="24"/>
        </w:rPr>
        <w:t xml:space="preserve">To clarify, the argument is not that there should be no special protection for incapacitated participants in research; it is that the provisions of the MCA that seek to provide </w:t>
      </w:r>
      <w:r w:rsidR="00563AB4">
        <w:rPr>
          <w:rFonts w:ascii="Times New Roman" w:hAnsi="Times New Roman"/>
          <w:color w:val="FF0000"/>
          <w:sz w:val="24"/>
          <w:szCs w:val="24"/>
        </w:rPr>
        <w:t xml:space="preserve">it </w:t>
      </w:r>
      <w:r w:rsidR="00CE0042" w:rsidRPr="00563AB4">
        <w:rPr>
          <w:rFonts w:ascii="Times New Roman" w:hAnsi="Times New Roman"/>
          <w:color w:val="FF0000"/>
          <w:sz w:val="24"/>
          <w:szCs w:val="24"/>
        </w:rPr>
        <w:t xml:space="preserve">are inappropriately </w:t>
      </w:r>
      <w:r w:rsidR="00AA648F" w:rsidRPr="00563AB4">
        <w:rPr>
          <w:rFonts w:ascii="Times New Roman" w:hAnsi="Times New Roman"/>
          <w:color w:val="FF0000"/>
          <w:sz w:val="24"/>
          <w:szCs w:val="24"/>
        </w:rPr>
        <w:t>constru</w:t>
      </w:r>
      <w:r w:rsidR="00AD05DE">
        <w:rPr>
          <w:rFonts w:ascii="Times New Roman" w:hAnsi="Times New Roman"/>
          <w:color w:val="FF0000"/>
          <w:sz w:val="24"/>
          <w:szCs w:val="24"/>
        </w:rPr>
        <w:t xml:space="preserve">cted and </w:t>
      </w:r>
      <w:r w:rsidR="00AA648F" w:rsidRPr="00563AB4">
        <w:rPr>
          <w:rFonts w:ascii="Times New Roman" w:hAnsi="Times New Roman"/>
          <w:color w:val="FF0000"/>
          <w:sz w:val="24"/>
          <w:szCs w:val="24"/>
        </w:rPr>
        <w:t>overly restrictive, when a more appropriate balance could be struck between protection and empowerment.  The opening</w:t>
      </w:r>
      <w:r w:rsidR="00563AB4">
        <w:rPr>
          <w:rFonts w:ascii="Times New Roman" w:hAnsi="Times New Roman"/>
          <w:color w:val="FF0000"/>
          <w:sz w:val="24"/>
          <w:szCs w:val="24"/>
        </w:rPr>
        <w:t xml:space="preserve"> </w:t>
      </w:r>
      <w:r w:rsidR="00AD05DE">
        <w:rPr>
          <w:rFonts w:ascii="Times New Roman" w:hAnsi="Times New Roman"/>
          <w:color w:val="FF0000"/>
          <w:sz w:val="24"/>
          <w:szCs w:val="24"/>
        </w:rPr>
        <w:t xml:space="preserve">segments </w:t>
      </w:r>
      <w:r w:rsidR="00563AB4">
        <w:rPr>
          <w:rFonts w:ascii="Times New Roman" w:hAnsi="Times New Roman"/>
          <w:color w:val="FF0000"/>
          <w:sz w:val="24"/>
          <w:szCs w:val="24"/>
        </w:rPr>
        <w:t xml:space="preserve">of the MCA </w:t>
      </w:r>
      <w:proofErr w:type="spellStart"/>
      <w:r w:rsidR="00563AB4">
        <w:rPr>
          <w:rFonts w:ascii="Times New Roman" w:hAnsi="Times New Roman"/>
          <w:color w:val="FF0000"/>
          <w:sz w:val="24"/>
          <w:szCs w:val="24"/>
        </w:rPr>
        <w:t>epitomise</w:t>
      </w:r>
      <w:proofErr w:type="spellEnd"/>
      <w:r w:rsidR="00563AB4">
        <w:rPr>
          <w:rFonts w:ascii="Times New Roman" w:hAnsi="Times New Roman"/>
          <w:color w:val="FF0000"/>
          <w:sz w:val="24"/>
          <w:szCs w:val="24"/>
        </w:rPr>
        <w:t xml:space="preserve"> this and </w:t>
      </w:r>
      <w:r w:rsidR="00AA648F" w:rsidRPr="00563AB4">
        <w:rPr>
          <w:rFonts w:ascii="Times New Roman" w:hAnsi="Times New Roman"/>
          <w:color w:val="FF0000"/>
          <w:sz w:val="24"/>
          <w:szCs w:val="24"/>
        </w:rPr>
        <w:t>begin by asking the wrong</w:t>
      </w:r>
      <w:r w:rsidR="00563AB4">
        <w:rPr>
          <w:rFonts w:ascii="Times New Roman" w:hAnsi="Times New Roman"/>
          <w:color w:val="FF0000"/>
          <w:sz w:val="24"/>
          <w:szCs w:val="24"/>
        </w:rPr>
        <w:t xml:space="preserve"> questions, which sets a narrow </w:t>
      </w:r>
      <w:r w:rsidR="00AA648F" w:rsidRPr="00563AB4">
        <w:rPr>
          <w:rFonts w:ascii="Times New Roman" w:hAnsi="Times New Roman"/>
          <w:color w:val="FF0000"/>
          <w:sz w:val="24"/>
          <w:szCs w:val="24"/>
        </w:rPr>
        <w:t>tone for the remainder of the</w:t>
      </w:r>
      <w:r w:rsidR="00AD05DE">
        <w:rPr>
          <w:rFonts w:ascii="Times New Roman" w:hAnsi="Times New Roman"/>
          <w:color w:val="FF0000"/>
          <w:sz w:val="24"/>
          <w:szCs w:val="24"/>
        </w:rPr>
        <w:t xml:space="preserve"> conditions</w:t>
      </w:r>
      <w:r w:rsidR="00AA648F" w:rsidRPr="00563AB4">
        <w:rPr>
          <w:rFonts w:ascii="Times New Roman" w:hAnsi="Times New Roman"/>
          <w:color w:val="FF0000"/>
          <w:sz w:val="24"/>
          <w:szCs w:val="24"/>
        </w:rPr>
        <w:t xml:space="preserve">.  In any event, if the underlying intention behind the insertion of specific research </w:t>
      </w:r>
      <w:r w:rsidR="00AD05DE">
        <w:rPr>
          <w:rFonts w:ascii="Times New Roman" w:hAnsi="Times New Roman"/>
          <w:color w:val="FF0000"/>
          <w:sz w:val="24"/>
          <w:szCs w:val="24"/>
        </w:rPr>
        <w:t xml:space="preserve">requirements </w:t>
      </w:r>
      <w:r w:rsidR="00AA648F" w:rsidRPr="00563AB4">
        <w:rPr>
          <w:rFonts w:ascii="Times New Roman" w:hAnsi="Times New Roman"/>
          <w:color w:val="FF0000"/>
          <w:sz w:val="24"/>
          <w:szCs w:val="24"/>
        </w:rPr>
        <w:t>was to provide special protection</w:t>
      </w:r>
      <w:r w:rsidR="00563AB4" w:rsidRPr="00563AB4">
        <w:rPr>
          <w:rFonts w:ascii="Times New Roman" w:hAnsi="Times New Roman"/>
          <w:color w:val="FF0000"/>
          <w:sz w:val="24"/>
          <w:szCs w:val="24"/>
        </w:rPr>
        <w:t xml:space="preserve">, </w:t>
      </w:r>
      <w:r w:rsidR="00AA648F" w:rsidRPr="00563AB4">
        <w:rPr>
          <w:rFonts w:ascii="Times New Roman" w:hAnsi="Times New Roman"/>
          <w:color w:val="FF0000"/>
          <w:sz w:val="24"/>
          <w:szCs w:val="24"/>
        </w:rPr>
        <w:t>it is not abundantly clear that they have achieved this</w:t>
      </w:r>
      <w:r w:rsidR="00563AB4" w:rsidRPr="00563AB4">
        <w:rPr>
          <w:rFonts w:ascii="Times New Roman" w:hAnsi="Times New Roman"/>
          <w:color w:val="FF0000"/>
          <w:sz w:val="24"/>
          <w:szCs w:val="24"/>
        </w:rPr>
        <w:t xml:space="preserve">.  </w:t>
      </w:r>
      <w:r w:rsidR="00AA648F" w:rsidRPr="00563AB4">
        <w:rPr>
          <w:rFonts w:ascii="Times New Roman" w:hAnsi="Times New Roman"/>
          <w:color w:val="FF0000"/>
          <w:sz w:val="24"/>
          <w:szCs w:val="24"/>
        </w:rPr>
        <w:t xml:space="preserve">As we will now proceed to discuss, the further </w:t>
      </w:r>
      <w:r w:rsidR="00AD05DE">
        <w:rPr>
          <w:rFonts w:ascii="Times New Roman" w:hAnsi="Times New Roman"/>
          <w:color w:val="FF0000"/>
          <w:sz w:val="24"/>
          <w:szCs w:val="24"/>
        </w:rPr>
        <w:t xml:space="preserve">additional grounds </w:t>
      </w:r>
      <w:r w:rsidR="00AA648F" w:rsidRPr="00563AB4">
        <w:rPr>
          <w:rFonts w:ascii="Times New Roman" w:hAnsi="Times New Roman"/>
          <w:color w:val="FF0000"/>
          <w:sz w:val="24"/>
          <w:szCs w:val="24"/>
        </w:rPr>
        <w:t>for approval also miss their target</w:t>
      </w:r>
    </w:p>
    <w:p w14:paraId="3530E3B0" w14:textId="77777777" w:rsidR="00563AB4" w:rsidRDefault="00563AB4" w:rsidP="00563AB4">
      <w:pPr>
        <w:pStyle w:val="Body"/>
        <w:jc w:val="both"/>
        <w:rPr>
          <w:rFonts w:ascii="Times New Roman" w:hAnsi="Times New Roman"/>
          <w:sz w:val="24"/>
          <w:szCs w:val="24"/>
        </w:rPr>
      </w:pPr>
    </w:p>
    <w:p w14:paraId="01F4ABAB" w14:textId="7B1F32FA" w:rsidR="007A5A88" w:rsidRDefault="00DD3F5B" w:rsidP="003200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 </w:t>
      </w:r>
      <w:r w:rsidR="0011017F">
        <w:rPr>
          <w:rFonts w:ascii="Times New Roman" w:hAnsi="Times New Roman" w:cs="Times New Roman"/>
          <w:b/>
          <w:sz w:val="24"/>
          <w:szCs w:val="24"/>
        </w:rPr>
        <w:t>A</w:t>
      </w:r>
      <w:r w:rsidR="001D4040">
        <w:rPr>
          <w:rFonts w:ascii="Times New Roman" w:hAnsi="Times New Roman" w:cs="Times New Roman"/>
          <w:b/>
          <w:sz w:val="24"/>
          <w:szCs w:val="24"/>
        </w:rPr>
        <w:t xml:space="preserve">n Illusionary Different </w:t>
      </w:r>
      <w:r w:rsidR="0011017F">
        <w:rPr>
          <w:rFonts w:ascii="Times New Roman" w:hAnsi="Times New Roman" w:cs="Times New Roman"/>
          <w:b/>
          <w:sz w:val="24"/>
          <w:szCs w:val="24"/>
        </w:rPr>
        <w:t xml:space="preserve">Threshold for </w:t>
      </w:r>
      <w:r w:rsidR="00083152">
        <w:rPr>
          <w:rFonts w:ascii="Times New Roman" w:hAnsi="Times New Roman" w:cs="Times New Roman"/>
          <w:b/>
          <w:sz w:val="24"/>
          <w:szCs w:val="24"/>
        </w:rPr>
        <w:t xml:space="preserve">Approving </w:t>
      </w:r>
      <w:r w:rsidR="00653EB5">
        <w:rPr>
          <w:rFonts w:ascii="Times New Roman" w:hAnsi="Times New Roman" w:cs="Times New Roman"/>
          <w:b/>
          <w:sz w:val="24"/>
          <w:szCs w:val="24"/>
        </w:rPr>
        <w:t>Research?</w:t>
      </w:r>
    </w:p>
    <w:p w14:paraId="08C2E8F0" w14:textId="453F2178" w:rsidR="004529EC" w:rsidRDefault="008A3853" w:rsidP="00194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Pr="008A3853">
        <w:rPr>
          <w:rFonts w:ascii="Times New Roman" w:hAnsi="Times New Roman" w:cs="Times New Roman"/>
          <w:sz w:val="24"/>
          <w:szCs w:val="24"/>
        </w:rPr>
        <w:t xml:space="preserve">est interests occupies a central role in the MCA, providing the lawful basis upon which certain decisions </w:t>
      </w:r>
      <w:proofErr w:type="gramStart"/>
      <w:r w:rsidRPr="008A3853">
        <w:rPr>
          <w:rFonts w:ascii="Times New Roman" w:hAnsi="Times New Roman" w:cs="Times New Roman"/>
          <w:sz w:val="24"/>
          <w:szCs w:val="24"/>
        </w:rPr>
        <w:t>can be made</w:t>
      </w:r>
      <w:proofErr w:type="gramEnd"/>
      <w:r w:rsidRPr="008A3853">
        <w:rPr>
          <w:rFonts w:ascii="Times New Roman" w:hAnsi="Times New Roman" w:cs="Times New Roman"/>
          <w:sz w:val="24"/>
          <w:szCs w:val="24"/>
        </w:rPr>
        <w:t xml:space="preserve"> for those wh</w:t>
      </w:r>
      <w:r w:rsidR="002F52AB">
        <w:rPr>
          <w:rFonts w:ascii="Times New Roman" w:hAnsi="Times New Roman" w:cs="Times New Roman"/>
          <w:sz w:val="24"/>
          <w:szCs w:val="24"/>
        </w:rPr>
        <w:t xml:space="preserve">o cannot decide for themselves.  </w:t>
      </w:r>
      <w:r w:rsidR="002A7B39">
        <w:rPr>
          <w:rFonts w:ascii="Times New Roman" w:hAnsi="Times New Roman" w:cs="Times New Roman"/>
          <w:sz w:val="24"/>
          <w:szCs w:val="24"/>
        </w:rPr>
        <w:t>In theory t</w:t>
      </w:r>
      <w:r w:rsidR="00D84069">
        <w:rPr>
          <w:rFonts w:ascii="Times New Roman" w:hAnsi="Times New Roman" w:cs="Times New Roman"/>
          <w:sz w:val="24"/>
          <w:szCs w:val="24"/>
        </w:rPr>
        <w:t>he test remains objective</w:t>
      </w:r>
      <w:r w:rsidR="002F52AB">
        <w:rPr>
          <w:rFonts w:ascii="Times New Roman" w:hAnsi="Times New Roman" w:cs="Times New Roman"/>
          <w:sz w:val="24"/>
          <w:szCs w:val="24"/>
        </w:rPr>
        <w:t>, yet s</w:t>
      </w:r>
      <w:r w:rsidRPr="008A3853">
        <w:rPr>
          <w:rFonts w:ascii="Times New Roman" w:hAnsi="Times New Roman" w:cs="Times New Roman"/>
          <w:sz w:val="24"/>
          <w:szCs w:val="24"/>
        </w:rPr>
        <w:t>ection 4 of the MCA provides a non-exhaustive list of both objective and subjective factors that must be c</w:t>
      </w:r>
      <w:r w:rsidR="0043480D">
        <w:rPr>
          <w:rFonts w:ascii="Times New Roman" w:hAnsi="Times New Roman" w:cs="Times New Roman"/>
          <w:sz w:val="24"/>
          <w:szCs w:val="24"/>
        </w:rPr>
        <w:t>onsidered by any decision-maker</w:t>
      </w:r>
      <w:r w:rsidR="00AD05DE">
        <w:rPr>
          <w:rFonts w:ascii="Times New Roman" w:hAnsi="Times New Roman" w:cs="Times New Roman"/>
          <w:sz w:val="24"/>
          <w:szCs w:val="24"/>
        </w:rPr>
        <w:t xml:space="preserve"> when </w:t>
      </w:r>
      <w:r w:rsidRPr="008A3853">
        <w:rPr>
          <w:rFonts w:ascii="Times New Roman" w:hAnsi="Times New Roman" w:cs="Times New Roman"/>
          <w:sz w:val="24"/>
          <w:szCs w:val="24"/>
        </w:rPr>
        <w:t>deciding what is in an incapacitated person’s best interests.</w:t>
      </w:r>
      <w:r w:rsidR="003177AD">
        <w:rPr>
          <w:rStyle w:val="FootnoteReference"/>
          <w:rFonts w:ascii="Times New Roman" w:hAnsi="Times New Roman" w:cs="Times New Roman"/>
          <w:sz w:val="24"/>
          <w:szCs w:val="24"/>
        </w:rPr>
        <w:footnoteReference w:id="57"/>
      </w:r>
      <w:r>
        <w:rPr>
          <w:rFonts w:ascii="Times New Roman" w:hAnsi="Times New Roman" w:cs="Times New Roman"/>
          <w:sz w:val="24"/>
          <w:szCs w:val="24"/>
        </w:rPr>
        <w:t xml:space="preserve">  </w:t>
      </w:r>
      <w:r w:rsidR="002F6A38" w:rsidRPr="002F6A38">
        <w:rPr>
          <w:rFonts w:ascii="Times New Roman" w:hAnsi="Times New Roman" w:cs="Times New Roman"/>
          <w:sz w:val="24"/>
          <w:szCs w:val="24"/>
        </w:rPr>
        <w:t>One interesting questio</w:t>
      </w:r>
      <w:r w:rsidR="003177AD">
        <w:rPr>
          <w:rFonts w:ascii="Times New Roman" w:hAnsi="Times New Roman" w:cs="Times New Roman"/>
          <w:sz w:val="24"/>
          <w:szCs w:val="24"/>
        </w:rPr>
        <w:t xml:space="preserve">n surrounds its absence </w:t>
      </w:r>
      <w:r>
        <w:rPr>
          <w:rFonts w:ascii="Times New Roman" w:hAnsi="Times New Roman" w:cs="Times New Roman"/>
          <w:sz w:val="24"/>
          <w:szCs w:val="24"/>
        </w:rPr>
        <w:t xml:space="preserve">in the </w:t>
      </w:r>
      <w:r w:rsidR="003177AD">
        <w:rPr>
          <w:rFonts w:ascii="Times New Roman" w:hAnsi="Times New Roman" w:cs="Times New Roman"/>
          <w:sz w:val="24"/>
          <w:szCs w:val="24"/>
        </w:rPr>
        <w:t xml:space="preserve">arena </w:t>
      </w:r>
      <w:r>
        <w:rPr>
          <w:rFonts w:ascii="Times New Roman" w:hAnsi="Times New Roman" w:cs="Times New Roman"/>
          <w:sz w:val="24"/>
          <w:szCs w:val="24"/>
        </w:rPr>
        <w:t>of research</w:t>
      </w:r>
      <w:r w:rsidR="00D84069">
        <w:rPr>
          <w:rFonts w:ascii="Times New Roman" w:hAnsi="Times New Roman" w:cs="Times New Roman"/>
          <w:sz w:val="24"/>
          <w:szCs w:val="24"/>
        </w:rPr>
        <w:t xml:space="preserve">, and there </w:t>
      </w:r>
      <w:r w:rsidR="00C4353F">
        <w:rPr>
          <w:rFonts w:ascii="Times New Roman" w:hAnsi="Times New Roman" w:cs="Times New Roman"/>
          <w:sz w:val="24"/>
          <w:szCs w:val="24"/>
        </w:rPr>
        <w:t>was s</w:t>
      </w:r>
      <w:r w:rsidR="00D84069">
        <w:rPr>
          <w:rFonts w:ascii="Times New Roman" w:hAnsi="Times New Roman" w:cs="Times New Roman"/>
          <w:sz w:val="24"/>
          <w:szCs w:val="24"/>
        </w:rPr>
        <w:t>ome early confusion</w:t>
      </w:r>
      <w:r w:rsidR="004529EC">
        <w:rPr>
          <w:rFonts w:ascii="Times New Roman" w:hAnsi="Times New Roman" w:cs="Times New Roman"/>
          <w:sz w:val="24"/>
          <w:szCs w:val="24"/>
        </w:rPr>
        <w:t xml:space="preserve"> on </w:t>
      </w:r>
      <w:r w:rsidR="00D84069">
        <w:rPr>
          <w:rFonts w:ascii="Times New Roman" w:hAnsi="Times New Roman" w:cs="Times New Roman"/>
          <w:sz w:val="24"/>
          <w:szCs w:val="24"/>
        </w:rPr>
        <w:t>this</w:t>
      </w:r>
      <w:r w:rsidR="008B1F48">
        <w:rPr>
          <w:rFonts w:ascii="Times New Roman" w:hAnsi="Times New Roman" w:cs="Times New Roman"/>
          <w:sz w:val="24"/>
          <w:szCs w:val="24"/>
        </w:rPr>
        <w:t xml:space="preserve"> point</w:t>
      </w:r>
      <w:r w:rsidR="00D84069">
        <w:rPr>
          <w:rFonts w:ascii="Times New Roman" w:hAnsi="Times New Roman" w:cs="Times New Roman"/>
          <w:sz w:val="24"/>
          <w:szCs w:val="24"/>
        </w:rPr>
        <w:t xml:space="preserve">.  </w:t>
      </w:r>
      <w:r w:rsidR="00D84069">
        <w:rPr>
          <w:rFonts w:ascii="Times New Roman" w:hAnsi="Times New Roman" w:cs="Times New Roman"/>
          <w:sz w:val="24"/>
          <w:szCs w:val="24"/>
        </w:rPr>
        <w:tab/>
      </w:r>
    </w:p>
    <w:p w14:paraId="65936D98" w14:textId="03BC2BBE" w:rsidR="007F1384" w:rsidRDefault="004529EC" w:rsidP="00194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7EEE">
        <w:rPr>
          <w:rFonts w:ascii="Times New Roman" w:hAnsi="Times New Roman" w:cs="Times New Roman"/>
          <w:sz w:val="24"/>
          <w:szCs w:val="24"/>
        </w:rPr>
        <w:t xml:space="preserve">In his </w:t>
      </w:r>
      <w:r w:rsidR="009C7574">
        <w:rPr>
          <w:rFonts w:ascii="Times New Roman" w:hAnsi="Times New Roman" w:cs="Times New Roman"/>
          <w:sz w:val="24"/>
          <w:szCs w:val="24"/>
        </w:rPr>
        <w:t xml:space="preserve">first edition of </w:t>
      </w:r>
      <w:r w:rsidR="009C7574" w:rsidRPr="008A3853">
        <w:rPr>
          <w:rFonts w:ascii="Times New Roman" w:hAnsi="Times New Roman" w:cs="Times New Roman"/>
          <w:i/>
          <w:sz w:val="24"/>
          <w:szCs w:val="24"/>
        </w:rPr>
        <w:t>Blackstone’s Guide to the Mental Capacity Act 2005</w:t>
      </w:r>
      <w:r w:rsidR="009C7574">
        <w:rPr>
          <w:rFonts w:ascii="Times New Roman" w:hAnsi="Times New Roman" w:cs="Times New Roman"/>
          <w:sz w:val="24"/>
          <w:szCs w:val="24"/>
        </w:rPr>
        <w:t xml:space="preserve">, Bartlett argued </w:t>
      </w:r>
      <w:r w:rsidR="009C7574" w:rsidRPr="002F6A38">
        <w:rPr>
          <w:rFonts w:ascii="Times New Roman" w:hAnsi="Times New Roman" w:cs="Times New Roman"/>
          <w:sz w:val="24"/>
          <w:szCs w:val="24"/>
        </w:rPr>
        <w:t>that the guidi</w:t>
      </w:r>
      <w:r w:rsidR="008A3853">
        <w:rPr>
          <w:rFonts w:ascii="Times New Roman" w:hAnsi="Times New Roman" w:cs="Times New Roman"/>
          <w:sz w:val="24"/>
          <w:szCs w:val="24"/>
        </w:rPr>
        <w:t xml:space="preserve">ng principles of best interests should </w:t>
      </w:r>
      <w:r w:rsidR="009C7574">
        <w:rPr>
          <w:rFonts w:ascii="Times New Roman" w:hAnsi="Times New Roman" w:cs="Times New Roman"/>
          <w:sz w:val="24"/>
          <w:szCs w:val="24"/>
        </w:rPr>
        <w:t xml:space="preserve">apply to </w:t>
      </w:r>
      <w:r w:rsidR="009C7574" w:rsidRPr="002F6A38">
        <w:rPr>
          <w:rFonts w:ascii="Times New Roman" w:hAnsi="Times New Roman" w:cs="Times New Roman"/>
          <w:sz w:val="24"/>
          <w:szCs w:val="24"/>
        </w:rPr>
        <w:t>research in the same wa</w:t>
      </w:r>
      <w:r w:rsidR="008A3853">
        <w:rPr>
          <w:rFonts w:ascii="Times New Roman" w:hAnsi="Times New Roman" w:cs="Times New Roman"/>
          <w:sz w:val="24"/>
          <w:szCs w:val="24"/>
        </w:rPr>
        <w:t xml:space="preserve">y that they </w:t>
      </w:r>
      <w:r w:rsidR="0011017F">
        <w:rPr>
          <w:rFonts w:ascii="Times New Roman" w:hAnsi="Times New Roman" w:cs="Times New Roman"/>
          <w:sz w:val="24"/>
          <w:szCs w:val="24"/>
        </w:rPr>
        <w:t xml:space="preserve">should </w:t>
      </w:r>
      <w:r w:rsidR="008A3853">
        <w:rPr>
          <w:rFonts w:ascii="Times New Roman" w:hAnsi="Times New Roman" w:cs="Times New Roman"/>
          <w:sz w:val="24"/>
          <w:szCs w:val="24"/>
        </w:rPr>
        <w:t xml:space="preserve">apply </w:t>
      </w:r>
      <w:r w:rsidR="009C7574">
        <w:rPr>
          <w:rFonts w:ascii="Times New Roman" w:hAnsi="Times New Roman" w:cs="Times New Roman"/>
          <w:sz w:val="24"/>
          <w:szCs w:val="24"/>
        </w:rPr>
        <w:t>to treatment.</w:t>
      </w:r>
      <w:r w:rsidR="003177AD">
        <w:rPr>
          <w:rStyle w:val="FootnoteReference"/>
          <w:rFonts w:ascii="Times New Roman" w:hAnsi="Times New Roman" w:cs="Times New Roman"/>
          <w:sz w:val="24"/>
          <w:szCs w:val="24"/>
        </w:rPr>
        <w:footnoteReference w:id="58"/>
      </w:r>
      <w:r w:rsidR="00C47EEE">
        <w:rPr>
          <w:rFonts w:ascii="Times New Roman" w:hAnsi="Times New Roman" w:cs="Times New Roman"/>
          <w:sz w:val="24"/>
          <w:szCs w:val="24"/>
        </w:rPr>
        <w:t xml:space="preserve">  In the </w:t>
      </w:r>
      <w:r w:rsidR="009C7574">
        <w:rPr>
          <w:rFonts w:ascii="Times New Roman" w:hAnsi="Times New Roman" w:cs="Times New Roman"/>
          <w:sz w:val="24"/>
          <w:szCs w:val="24"/>
        </w:rPr>
        <w:t xml:space="preserve">later edition, he then </w:t>
      </w:r>
      <w:r w:rsidR="000817D2">
        <w:rPr>
          <w:rFonts w:ascii="Times New Roman" w:hAnsi="Times New Roman" w:cs="Times New Roman"/>
          <w:sz w:val="24"/>
          <w:szCs w:val="24"/>
        </w:rPr>
        <w:t>changes his</w:t>
      </w:r>
      <w:r w:rsidR="00C4353F">
        <w:rPr>
          <w:rFonts w:ascii="Times New Roman" w:hAnsi="Times New Roman" w:cs="Times New Roman"/>
          <w:sz w:val="24"/>
          <w:szCs w:val="24"/>
        </w:rPr>
        <w:t xml:space="preserve"> position</w:t>
      </w:r>
      <w:r w:rsidR="003703AC">
        <w:rPr>
          <w:rFonts w:ascii="Times New Roman" w:hAnsi="Times New Roman" w:cs="Times New Roman"/>
          <w:sz w:val="24"/>
          <w:szCs w:val="24"/>
        </w:rPr>
        <w:t xml:space="preserve"> </w:t>
      </w:r>
      <w:r w:rsidR="00C4353F">
        <w:rPr>
          <w:rFonts w:ascii="Times New Roman" w:hAnsi="Times New Roman" w:cs="Times New Roman"/>
          <w:sz w:val="24"/>
          <w:szCs w:val="24"/>
        </w:rPr>
        <w:lastRenderedPageBreak/>
        <w:t xml:space="preserve">accurately </w:t>
      </w:r>
      <w:r w:rsidR="009C7574">
        <w:rPr>
          <w:rFonts w:ascii="Times New Roman" w:hAnsi="Times New Roman" w:cs="Times New Roman"/>
          <w:sz w:val="24"/>
          <w:szCs w:val="24"/>
        </w:rPr>
        <w:t>identifying that the best interests test is</w:t>
      </w:r>
      <w:r w:rsidR="000817D2">
        <w:rPr>
          <w:rFonts w:ascii="Times New Roman" w:hAnsi="Times New Roman" w:cs="Times New Roman"/>
          <w:sz w:val="24"/>
          <w:szCs w:val="24"/>
        </w:rPr>
        <w:t xml:space="preserve"> not referred to</w:t>
      </w:r>
      <w:r w:rsidR="003177AD">
        <w:rPr>
          <w:rFonts w:ascii="Times New Roman" w:hAnsi="Times New Roman" w:cs="Times New Roman"/>
          <w:sz w:val="24"/>
          <w:szCs w:val="24"/>
        </w:rPr>
        <w:t xml:space="preserve"> and </w:t>
      </w:r>
      <w:r w:rsidR="009C7574">
        <w:rPr>
          <w:rFonts w:ascii="Times New Roman" w:hAnsi="Times New Roman" w:cs="Times New Roman"/>
          <w:sz w:val="24"/>
          <w:szCs w:val="24"/>
        </w:rPr>
        <w:t>that the research sections of the MCA ‘introduce their own substantive thresholds’</w:t>
      </w:r>
      <w:r w:rsidR="008A3853">
        <w:rPr>
          <w:rFonts w:ascii="Times New Roman" w:hAnsi="Times New Roman" w:cs="Times New Roman"/>
          <w:sz w:val="24"/>
          <w:szCs w:val="24"/>
        </w:rPr>
        <w:t>.</w:t>
      </w:r>
      <w:r w:rsidR="003177AD">
        <w:rPr>
          <w:rStyle w:val="FootnoteReference"/>
          <w:rFonts w:ascii="Times New Roman" w:hAnsi="Times New Roman" w:cs="Times New Roman"/>
          <w:sz w:val="24"/>
          <w:szCs w:val="24"/>
        </w:rPr>
        <w:footnoteReference w:id="59"/>
      </w:r>
      <w:r w:rsidR="00D84069">
        <w:rPr>
          <w:rFonts w:ascii="Times New Roman" w:hAnsi="Times New Roman" w:cs="Times New Roman"/>
          <w:sz w:val="24"/>
          <w:szCs w:val="24"/>
        </w:rPr>
        <w:t xml:space="preserve">  I</w:t>
      </w:r>
      <w:r w:rsidR="00846E84">
        <w:rPr>
          <w:rFonts w:ascii="Times New Roman" w:hAnsi="Times New Roman" w:cs="Times New Roman"/>
          <w:sz w:val="24"/>
          <w:szCs w:val="24"/>
        </w:rPr>
        <w:t xml:space="preserve">t would seem </w:t>
      </w:r>
      <w:r w:rsidR="002F6A38" w:rsidRPr="002F6A38">
        <w:rPr>
          <w:rFonts w:ascii="Times New Roman" w:hAnsi="Times New Roman" w:cs="Times New Roman"/>
          <w:sz w:val="24"/>
          <w:szCs w:val="24"/>
        </w:rPr>
        <w:t>that</w:t>
      </w:r>
      <w:r w:rsidR="00446CAC">
        <w:rPr>
          <w:rFonts w:ascii="Times New Roman" w:hAnsi="Times New Roman" w:cs="Times New Roman"/>
          <w:sz w:val="24"/>
          <w:szCs w:val="24"/>
        </w:rPr>
        <w:t xml:space="preserve"> the omission of best interests </w:t>
      </w:r>
      <w:r w:rsidR="002F6A38" w:rsidRPr="002F6A38">
        <w:rPr>
          <w:rFonts w:ascii="Times New Roman" w:hAnsi="Times New Roman" w:cs="Times New Roman"/>
          <w:sz w:val="24"/>
          <w:szCs w:val="24"/>
        </w:rPr>
        <w:t>was deliberate,</w:t>
      </w:r>
      <w:r w:rsidR="00846E84">
        <w:rPr>
          <w:rFonts w:ascii="Times New Roman" w:hAnsi="Times New Roman" w:cs="Times New Roman"/>
          <w:sz w:val="24"/>
          <w:szCs w:val="24"/>
        </w:rPr>
        <w:t xml:space="preserve"> because its inclusion in the context of research wa</w:t>
      </w:r>
      <w:r w:rsidR="00D84069">
        <w:rPr>
          <w:rFonts w:ascii="Times New Roman" w:hAnsi="Times New Roman" w:cs="Times New Roman"/>
          <w:sz w:val="24"/>
          <w:szCs w:val="24"/>
        </w:rPr>
        <w:t xml:space="preserve">s perceived by some </w:t>
      </w:r>
      <w:r w:rsidR="00631D58">
        <w:rPr>
          <w:rFonts w:ascii="Times New Roman" w:hAnsi="Times New Roman" w:cs="Times New Roman"/>
          <w:sz w:val="24"/>
          <w:szCs w:val="24"/>
        </w:rPr>
        <w:t xml:space="preserve">to be </w:t>
      </w:r>
      <w:r w:rsidR="00846E84">
        <w:rPr>
          <w:rFonts w:ascii="Times New Roman" w:hAnsi="Times New Roman" w:cs="Times New Roman"/>
          <w:sz w:val="24"/>
          <w:szCs w:val="24"/>
        </w:rPr>
        <w:t xml:space="preserve">problematic on the basis that research is seldom intended to benefit individual participants </w:t>
      </w:r>
      <w:r w:rsidR="00846E84" w:rsidRPr="008B1F48">
        <w:rPr>
          <w:rFonts w:ascii="Times New Roman" w:hAnsi="Times New Roman" w:cs="Times New Roman"/>
          <w:i/>
          <w:sz w:val="24"/>
          <w:szCs w:val="24"/>
        </w:rPr>
        <w:t>per se</w:t>
      </w:r>
      <w:r w:rsidR="00846E84">
        <w:rPr>
          <w:rFonts w:ascii="Times New Roman" w:hAnsi="Times New Roman" w:cs="Times New Roman"/>
          <w:sz w:val="24"/>
          <w:szCs w:val="24"/>
        </w:rPr>
        <w:t>.</w:t>
      </w:r>
      <w:r w:rsidR="003177AD">
        <w:rPr>
          <w:rStyle w:val="FootnoteReference"/>
          <w:rFonts w:ascii="Times New Roman" w:hAnsi="Times New Roman" w:cs="Times New Roman"/>
          <w:sz w:val="24"/>
          <w:szCs w:val="24"/>
        </w:rPr>
        <w:footnoteReference w:id="60"/>
      </w:r>
      <w:r w:rsidR="00F516B8">
        <w:rPr>
          <w:rFonts w:ascii="Times New Roman" w:hAnsi="Times New Roman" w:cs="Times New Roman"/>
          <w:sz w:val="24"/>
          <w:szCs w:val="24"/>
        </w:rPr>
        <w:t xml:space="preserve">  </w:t>
      </w:r>
      <w:r w:rsidR="00846E84">
        <w:rPr>
          <w:rFonts w:ascii="Times New Roman" w:hAnsi="Times New Roman" w:cs="Times New Roman"/>
          <w:sz w:val="24"/>
          <w:szCs w:val="24"/>
        </w:rPr>
        <w:t>Consequently, it was perhaps thought that endorsing</w:t>
      </w:r>
      <w:r w:rsidR="009335F5">
        <w:rPr>
          <w:rFonts w:ascii="Times New Roman" w:hAnsi="Times New Roman" w:cs="Times New Roman"/>
          <w:sz w:val="24"/>
          <w:szCs w:val="24"/>
        </w:rPr>
        <w:t xml:space="preserve"> a separate approach</w:t>
      </w:r>
      <w:r w:rsidR="00AC2F5E">
        <w:rPr>
          <w:rFonts w:ascii="Times New Roman" w:hAnsi="Times New Roman" w:cs="Times New Roman"/>
          <w:sz w:val="24"/>
          <w:szCs w:val="24"/>
        </w:rPr>
        <w:t xml:space="preserve"> would provide </w:t>
      </w:r>
      <w:r w:rsidR="00204A9D">
        <w:rPr>
          <w:rFonts w:ascii="Times New Roman" w:hAnsi="Times New Roman" w:cs="Times New Roman"/>
          <w:sz w:val="24"/>
          <w:szCs w:val="24"/>
        </w:rPr>
        <w:t>a more tailored type of protection</w:t>
      </w:r>
      <w:r w:rsidR="00846E84">
        <w:rPr>
          <w:rFonts w:ascii="Times New Roman" w:hAnsi="Times New Roman" w:cs="Times New Roman"/>
          <w:sz w:val="24"/>
          <w:szCs w:val="24"/>
        </w:rPr>
        <w:t xml:space="preserve">, </w:t>
      </w:r>
      <w:r w:rsidR="00D702FF">
        <w:rPr>
          <w:rFonts w:ascii="Times New Roman" w:hAnsi="Times New Roman" w:cs="Times New Roman"/>
          <w:sz w:val="24"/>
          <w:szCs w:val="24"/>
        </w:rPr>
        <w:t>but</w:t>
      </w:r>
      <w:r w:rsidR="00204A9D">
        <w:rPr>
          <w:rFonts w:ascii="Times New Roman" w:hAnsi="Times New Roman" w:cs="Times New Roman"/>
          <w:sz w:val="24"/>
          <w:szCs w:val="24"/>
        </w:rPr>
        <w:t xml:space="preserve"> the effectiveness of this </w:t>
      </w:r>
      <w:r w:rsidR="00D702FF">
        <w:rPr>
          <w:rFonts w:ascii="Times New Roman" w:hAnsi="Times New Roman" w:cs="Times New Roman"/>
          <w:sz w:val="24"/>
          <w:szCs w:val="24"/>
        </w:rPr>
        <w:t xml:space="preserve">is </w:t>
      </w:r>
      <w:r w:rsidR="00F463DA">
        <w:rPr>
          <w:rFonts w:ascii="Times New Roman" w:hAnsi="Times New Roman" w:cs="Times New Roman"/>
          <w:sz w:val="24"/>
          <w:szCs w:val="24"/>
        </w:rPr>
        <w:t>disputable.</w:t>
      </w:r>
      <w:r w:rsidR="003056B7">
        <w:rPr>
          <w:rStyle w:val="FootnoteReference"/>
          <w:rFonts w:ascii="Times New Roman" w:hAnsi="Times New Roman" w:cs="Times New Roman"/>
          <w:sz w:val="24"/>
          <w:szCs w:val="24"/>
        </w:rPr>
        <w:footnoteReference w:id="61"/>
      </w:r>
      <w:r w:rsidR="005E1B10">
        <w:rPr>
          <w:rFonts w:ascii="Times New Roman" w:hAnsi="Times New Roman" w:cs="Times New Roman"/>
          <w:sz w:val="24"/>
          <w:szCs w:val="24"/>
        </w:rPr>
        <w:t xml:space="preserve"> At t</w:t>
      </w:r>
      <w:r w:rsidR="00714D72">
        <w:rPr>
          <w:rFonts w:ascii="Times New Roman" w:hAnsi="Times New Roman" w:cs="Times New Roman"/>
          <w:sz w:val="24"/>
          <w:szCs w:val="24"/>
        </w:rPr>
        <w:t>he same time, a further</w:t>
      </w:r>
      <w:r w:rsidR="00204A9D">
        <w:rPr>
          <w:rFonts w:ascii="Times New Roman" w:hAnsi="Times New Roman" w:cs="Times New Roman"/>
          <w:sz w:val="24"/>
          <w:szCs w:val="24"/>
        </w:rPr>
        <w:t xml:space="preserve"> aim was </w:t>
      </w:r>
      <w:r w:rsidR="00F516B8">
        <w:rPr>
          <w:rFonts w:ascii="Times New Roman" w:hAnsi="Times New Roman" w:cs="Times New Roman"/>
          <w:sz w:val="24"/>
          <w:szCs w:val="24"/>
        </w:rPr>
        <w:t xml:space="preserve">to create a regime that was broad enough to </w:t>
      </w:r>
      <w:r w:rsidR="00A0107C">
        <w:rPr>
          <w:rFonts w:ascii="Times New Roman" w:hAnsi="Times New Roman" w:cs="Times New Roman"/>
          <w:sz w:val="24"/>
          <w:szCs w:val="24"/>
        </w:rPr>
        <w:t>f</w:t>
      </w:r>
      <w:r w:rsidR="003177AD">
        <w:rPr>
          <w:rFonts w:ascii="Times New Roman" w:hAnsi="Times New Roman" w:cs="Times New Roman"/>
          <w:sz w:val="24"/>
          <w:szCs w:val="24"/>
        </w:rPr>
        <w:t>aci</w:t>
      </w:r>
      <w:r w:rsidR="00714D72">
        <w:rPr>
          <w:rFonts w:ascii="Times New Roman" w:hAnsi="Times New Roman" w:cs="Times New Roman"/>
          <w:sz w:val="24"/>
          <w:szCs w:val="24"/>
        </w:rPr>
        <w:t>litate</w:t>
      </w:r>
      <w:r w:rsidR="00EB67F3">
        <w:rPr>
          <w:rFonts w:ascii="Times New Roman" w:hAnsi="Times New Roman" w:cs="Times New Roman"/>
          <w:sz w:val="24"/>
          <w:szCs w:val="24"/>
        </w:rPr>
        <w:t xml:space="preserve"> inclusive research, but, </w:t>
      </w:r>
      <w:r w:rsidR="003177AD">
        <w:rPr>
          <w:rFonts w:ascii="Times New Roman" w:hAnsi="Times New Roman" w:cs="Times New Roman"/>
          <w:sz w:val="24"/>
          <w:szCs w:val="24"/>
        </w:rPr>
        <w:t>once again</w:t>
      </w:r>
      <w:r w:rsidR="00EB67F3">
        <w:rPr>
          <w:rFonts w:ascii="Times New Roman" w:hAnsi="Times New Roman" w:cs="Times New Roman"/>
          <w:sz w:val="24"/>
          <w:szCs w:val="24"/>
        </w:rPr>
        <w:t>, it is not obvious that</w:t>
      </w:r>
      <w:r w:rsidR="00714D72">
        <w:rPr>
          <w:rFonts w:ascii="Times New Roman" w:hAnsi="Times New Roman" w:cs="Times New Roman"/>
          <w:sz w:val="24"/>
          <w:szCs w:val="24"/>
        </w:rPr>
        <w:t xml:space="preserve"> removing reference t</w:t>
      </w:r>
      <w:r w:rsidR="00F516B8">
        <w:rPr>
          <w:rFonts w:ascii="Times New Roman" w:hAnsi="Times New Roman" w:cs="Times New Roman"/>
          <w:sz w:val="24"/>
          <w:szCs w:val="24"/>
        </w:rPr>
        <w:t xml:space="preserve">o best interests </w:t>
      </w:r>
      <w:r w:rsidR="00204A9D">
        <w:rPr>
          <w:rFonts w:ascii="Times New Roman" w:hAnsi="Times New Roman" w:cs="Times New Roman"/>
          <w:sz w:val="24"/>
          <w:szCs w:val="24"/>
        </w:rPr>
        <w:t>has accomplished that</w:t>
      </w:r>
      <w:r w:rsidR="00714D72">
        <w:rPr>
          <w:rFonts w:ascii="Times New Roman" w:hAnsi="Times New Roman" w:cs="Times New Roman"/>
          <w:sz w:val="24"/>
          <w:szCs w:val="24"/>
        </w:rPr>
        <w:t>.</w:t>
      </w:r>
      <w:r w:rsidR="00204A9D">
        <w:rPr>
          <w:rStyle w:val="FootnoteReference"/>
          <w:rFonts w:ascii="Times New Roman" w:hAnsi="Times New Roman" w:cs="Times New Roman"/>
          <w:sz w:val="24"/>
          <w:szCs w:val="24"/>
        </w:rPr>
        <w:footnoteReference w:id="62"/>
      </w:r>
      <w:r w:rsidR="00204A9D">
        <w:rPr>
          <w:rFonts w:ascii="Times New Roman" w:hAnsi="Times New Roman" w:cs="Times New Roman"/>
          <w:sz w:val="24"/>
          <w:szCs w:val="24"/>
        </w:rPr>
        <w:t xml:space="preserve">  </w:t>
      </w:r>
      <w:r w:rsidR="00EB67F3">
        <w:rPr>
          <w:rFonts w:ascii="Times New Roman" w:hAnsi="Times New Roman" w:cs="Times New Roman"/>
          <w:sz w:val="24"/>
          <w:szCs w:val="24"/>
        </w:rPr>
        <w:t>As we examine in more detail below, the</w:t>
      </w:r>
      <w:r w:rsidR="00204A9D">
        <w:rPr>
          <w:rFonts w:ascii="Times New Roman" w:hAnsi="Times New Roman" w:cs="Times New Roman"/>
          <w:sz w:val="24"/>
          <w:szCs w:val="24"/>
        </w:rPr>
        <w:t xml:space="preserve"> </w:t>
      </w:r>
      <w:r w:rsidR="00EB67F3">
        <w:rPr>
          <w:rFonts w:ascii="Times New Roman" w:hAnsi="Times New Roman" w:cs="Times New Roman"/>
          <w:sz w:val="24"/>
          <w:szCs w:val="24"/>
        </w:rPr>
        <w:t>thresholds fo</w:t>
      </w:r>
      <w:r w:rsidR="00714D72">
        <w:rPr>
          <w:rFonts w:ascii="Times New Roman" w:hAnsi="Times New Roman" w:cs="Times New Roman"/>
          <w:sz w:val="24"/>
          <w:szCs w:val="24"/>
        </w:rPr>
        <w:t xml:space="preserve">r </w:t>
      </w:r>
      <w:r w:rsidR="00204A9D">
        <w:rPr>
          <w:rFonts w:ascii="Times New Roman" w:hAnsi="Times New Roman" w:cs="Times New Roman"/>
          <w:sz w:val="24"/>
          <w:szCs w:val="24"/>
        </w:rPr>
        <w:t xml:space="preserve">authorising </w:t>
      </w:r>
      <w:r w:rsidR="00714D72">
        <w:rPr>
          <w:rFonts w:ascii="Times New Roman" w:hAnsi="Times New Roman" w:cs="Times New Roman"/>
          <w:sz w:val="24"/>
          <w:szCs w:val="24"/>
        </w:rPr>
        <w:t>research require consideration of a range of factors that are not altogether dissimilar to those which must be considered under a best interests assessment, so little if anything is gained by their insertion</w:t>
      </w:r>
      <w:r w:rsidR="00FD1BBB">
        <w:rPr>
          <w:rFonts w:ascii="Times New Roman" w:hAnsi="Times New Roman" w:cs="Times New Roman"/>
          <w:sz w:val="24"/>
          <w:szCs w:val="24"/>
        </w:rPr>
        <w:t>.</w:t>
      </w:r>
      <w:r w:rsidR="00252112">
        <w:rPr>
          <w:rFonts w:ascii="Times New Roman" w:hAnsi="Times New Roman" w:cs="Times New Roman"/>
          <w:sz w:val="24"/>
          <w:szCs w:val="24"/>
        </w:rPr>
        <w:t xml:space="preserve">  </w:t>
      </w:r>
      <w:r w:rsidR="00D447FC">
        <w:rPr>
          <w:rFonts w:ascii="Times New Roman" w:hAnsi="Times New Roman" w:cs="Times New Roman"/>
          <w:sz w:val="24"/>
          <w:szCs w:val="24"/>
        </w:rPr>
        <w:t>For the purposes of the following analysis, t</w:t>
      </w:r>
      <w:r w:rsidR="00446CAC">
        <w:rPr>
          <w:rFonts w:ascii="Times New Roman" w:hAnsi="Times New Roman" w:cs="Times New Roman"/>
          <w:sz w:val="24"/>
          <w:szCs w:val="24"/>
        </w:rPr>
        <w:t xml:space="preserve">he provisions which </w:t>
      </w:r>
      <w:r w:rsidR="0011017F">
        <w:rPr>
          <w:rFonts w:ascii="Times New Roman" w:hAnsi="Times New Roman" w:cs="Times New Roman"/>
          <w:sz w:val="24"/>
          <w:szCs w:val="24"/>
        </w:rPr>
        <w:t xml:space="preserve">we </w:t>
      </w:r>
      <w:r w:rsidR="00446CAC">
        <w:rPr>
          <w:rFonts w:ascii="Times New Roman" w:hAnsi="Times New Roman" w:cs="Times New Roman"/>
          <w:sz w:val="24"/>
          <w:szCs w:val="24"/>
        </w:rPr>
        <w:t>are</w:t>
      </w:r>
      <w:r w:rsidR="00252112">
        <w:rPr>
          <w:rFonts w:ascii="Times New Roman" w:hAnsi="Times New Roman" w:cs="Times New Roman"/>
          <w:sz w:val="24"/>
          <w:szCs w:val="24"/>
        </w:rPr>
        <w:t xml:space="preserve"> </w:t>
      </w:r>
      <w:r w:rsidR="00EB67F3">
        <w:rPr>
          <w:rFonts w:ascii="Times New Roman" w:hAnsi="Times New Roman" w:cs="Times New Roman"/>
          <w:sz w:val="24"/>
          <w:szCs w:val="24"/>
        </w:rPr>
        <w:t xml:space="preserve">principally concerned with </w:t>
      </w:r>
      <w:r w:rsidR="0011017F">
        <w:rPr>
          <w:rFonts w:ascii="Times New Roman" w:hAnsi="Times New Roman" w:cs="Times New Roman"/>
          <w:sz w:val="24"/>
          <w:szCs w:val="24"/>
        </w:rPr>
        <w:t>are</w:t>
      </w:r>
      <w:r w:rsidR="007D2A80">
        <w:rPr>
          <w:rFonts w:ascii="Times New Roman" w:hAnsi="Times New Roman" w:cs="Times New Roman"/>
          <w:sz w:val="24"/>
          <w:szCs w:val="24"/>
        </w:rPr>
        <w:t xml:space="preserve"> </w:t>
      </w:r>
      <w:r w:rsidR="00BE0667">
        <w:rPr>
          <w:rFonts w:ascii="Times New Roman" w:hAnsi="Times New Roman" w:cs="Times New Roman"/>
          <w:sz w:val="24"/>
          <w:szCs w:val="24"/>
        </w:rPr>
        <w:t>secti</w:t>
      </w:r>
      <w:r w:rsidR="005F0117">
        <w:rPr>
          <w:rFonts w:ascii="Times New Roman" w:hAnsi="Times New Roman" w:cs="Times New Roman"/>
          <w:sz w:val="24"/>
          <w:szCs w:val="24"/>
        </w:rPr>
        <w:t>ons 31 (5) (a) and 31 (5) (b)</w:t>
      </w:r>
      <w:r w:rsidR="00252112">
        <w:rPr>
          <w:rFonts w:ascii="Times New Roman" w:hAnsi="Times New Roman" w:cs="Times New Roman"/>
          <w:sz w:val="24"/>
          <w:szCs w:val="24"/>
        </w:rPr>
        <w:t xml:space="preserve"> of the MCA</w:t>
      </w:r>
      <w:r w:rsidR="005F0117">
        <w:rPr>
          <w:rFonts w:ascii="Times New Roman" w:hAnsi="Times New Roman" w:cs="Times New Roman"/>
          <w:sz w:val="24"/>
          <w:szCs w:val="24"/>
        </w:rPr>
        <w:t>.</w:t>
      </w:r>
    </w:p>
    <w:p w14:paraId="63E057BA" w14:textId="77777777" w:rsidR="00194A3D" w:rsidRDefault="00194A3D" w:rsidP="00194A3D">
      <w:pPr>
        <w:spacing w:after="0" w:line="240" w:lineRule="auto"/>
        <w:jc w:val="both"/>
        <w:rPr>
          <w:rFonts w:ascii="Times New Roman" w:hAnsi="Times New Roman" w:cs="Times New Roman"/>
          <w:sz w:val="24"/>
          <w:szCs w:val="24"/>
        </w:rPr>
      </w:pPr>
    </w:p>
    <w:p w14:paraId="30926FE9" w14:textId="7C5FAE28" w:rsidR="00D25D8E" w:rsidRPr="00D25D8E" w:rsidRDefault="00D25D8E" w:rsidP="007A5A88">
      <w:pPr>
        <w:spacing w:after="0" w:line="360" w:lineRule="auto"/>
        <w:jc w:val="both"/>
        <w:rPr>
          <w:rFonts w:ascii="Times New Roman" w:hAnsi="Times New Roman" w:cs="Times New Roman"/>
          <w:b/>
          <w:i/>
          <w:sz w:val="24"/>
          <w:szCs w:val="24"/>
        </w:rPr>
      </w:pPr>
      <w:proofErr w:type="spellStart"/>
      <w:r>
        <w:rPr>
          <w:rFonts w:ascii="Times New Roman" w:hAnsi="Times New Roman" w:cs="Times New Roman"/>
          <w:b/>
          <w:i/>
          <w:sz w:val="24"/>
          <w:szCs w:val="24"/>
        </w:rPr>
        <w:t>i</w:t>
      </w:r>
      <w:proofErr w:type="spellEnd"/>
      <w:r>
        <w:rPr>
          <w:rFonts w:ascii="Times New Roman" w:hAnsi="Times New Roman" w:cs="Times New Roman"/>
          <w:b/>
          <w:i/>
          <w:sz w:val="24"/>
          <w:szCs w:val="24"/>
        </w:rPr>
        <w:t>) Benefits to Burdens Ratio: Considering the Position of the Participant</w:t>
      </w:r>
      <w:r w:rsidR="000C488A">
        <w:rPr>
          <w:rFonts w:ascii="Times New Roman" w:hAnsi="Times New Roman" w:cs="Times New Roman"/>
          <w:b/>
          <w:i/>
          <w:sz w:val="24"/>
          <w:szCs w:val="24"/>
        </w:rPr>
        <w:t xml:space="preserve"> (Section 31 (5) (a))</w:t>
      </w:r>
    </w:p>
    <w:p w14:paraId="60B51E28" w14:textId="1105853B" w:rsidR="00D5111E" w:rsidRPr="00D5111E" w:rsidRDefault="002F6A38" w:rsidP="007A5A88">
      <w:pPr>
        <w:spacing w:after="0" w:line="360" w:lineRule="auto"/>
        <w:jc w:val="both"/>
        <w:rPr>
          <w:rFonts w:ascii="Times New Roman" w:hAnsi="Times New Roman" w:cs="Times New Roman"/>
          <w:color w:val="FF0000"/>
          <w:sz w:val="24"/>
          <w:szCs w:val="24"/>
        </w:rPr>
      </w:pPr>
      <w:r w:rsidRPr="00D5111E">
        <w:rPr>
          <w:rFonts w:ascii="Times New Roman" w:hAnsi="Times New Roman" w:cs="Times New Roman"/>
          <w:color w:val="FF0000"/>
          <w:sz w:val="24"/>
          <w:szCs w:val="24"/>
        </w:rPr>
        <w:t xml:space="preserve">Under section 31 (5) (a), </w:t>
      </w:r>
      <w:r w:rsidR="00CA36FE" w:rsidRPr="00D5111E">
        <w:rPr>
          <w:rFonts w:ascii="Times New Roman" w:hAnsi="Times New Roman" w:cs="Times New Roman"/>
          <w:color w:val="FF0000"/>
          <w:sz w:val="24"/>
          <w:szCs w:val="24"/>
        </w:rPr>
        <w:t xml:space="preserve">a MCA REC </w:t>
      </w:r>
      <w:r w:rsidRPr="00D5111E">
        <w:rPr>
          <w:rFonts w:ascii="Times New Roman" w:hAnsi="Times New Roman" w:cs="Times New Roman"/>
          <w:color w:val="FF0000"/>
          <w:sz w:val="24"/>
          <w:szCs w:val="24"/>
        </w:rPr>
        <w:t xml:space="preserve">may not approve a research project unless it is satisfied that the research has the potential to benefit </w:t>
      </w:r>
      <w:r w:rsidR="00D702FF" w:rsidRPr="00D5111E">
        <w:rPr>
          <w:rFonts w:ascii="Times New Roman" w:hAnsi="Times New Roman" w:cs="Times New Roman"/>
          <w:color w:val="FF0000"/>
          <w:sz w:val="24"/>
          <w:szCs w:val="24"/>
        </w:rPr>
        <w:t xml:space="preserve">a </w:t>
      </w:r>
      <w:r w:rsidRPr="00D5111E">
        <w:rPr>
          <w:rFonts w:ascii="Times New Roman" w:hAnsi="Times New Roman" w:cs="Times New Roman"/>
          <w:color w:val="FF0000"/>
          <w:sz w:val="24"/>
          <w:szCs w:val="24"/>
        </w:rPr>
        <w:t>participant without imposing on her a burden that is disproporti</w:t>
      </w:r>
      <w:r w:rsidR="00455A89" w:rsidRPr="00D5111E">
        <w:rPr>
          <w:rFonts w:ascii="Times New Roman" w:hAnsi="Times New Roman" w:cs="Times New Roman"/>
          <w:color w:val="FF0000"/>
          <w:sz w:val="24"/>
          <w:szCs w:val="24"/>
        </w:rPr>
        <w:t>o</w:t>
      </w:r>
      <w:r w:rsidR="00D5111E" w:rsidRPr="00D5111E">
        <w:rPr>
          <w:rFonts w:ascii="Times New Roman" w:hAnsi="Times New Roman" w:cs="Times New Roman"/>
          <w:color w:val="FF0000"/>
          <w:sz w:val="24"/>
          <w:szCs w:val="24"/>
        </w:rPr>
        <w:t xml:space="preserve">nate to the potential benefit.  If research cannot be approved under this section, it can nonetheless still be approved under the alternative </w:t>
      </w:r>
      <w:r w:rsidR="00B9034A">
        <w:rPr>
          <w:rFonts w:ascii="Times New Roman" w:hAnsi="Times New Roman" w:cs="Times New Roman"/>
          <w:color w:val="FF0000"/>
          <w:sz w:val="24"/>
          <w:szCs w:val="24"/>
        </w:rPr>
        <w:t xml:space="preserve">of </w:t>
      </w:r>
      <w:r w:rsidR="00D5111E" w:rsidRPr="00D5111E">
        <w:rPr>
          <w:rFonts w:ascii="Times New Roman" w:hAnsi="Times New Roman" w:cs="Times New Roman"/>
          <w:color w:val="FF0000"/>
          <w:sz w:val="24"/>
          <w:szCs w:val="24"/>
        </w:rPr>
        <w:t>section 31 (5) (b), which we discuss under the next heading.</w:t>
      </w:r>
      <w:r w:rsidR="007F1384" w:rsidRPr="00D5111E">
        <w:rPr>
          <w:rStyle w:val="FootnoteReference"/>
          <w:rFonts w:ascii="Times New Roman" w:hAnsi="Times New Roman" w:cs="Times New Roman"/>
          <w:color w:val="FF0000"/>
          <w:sz w:val="24"/>
          <w:szCs w:val="24"/>
        </w:rPr>
        <w:footnoteReference w:id="63"/>
      </w:r>
      <w:r w:rsidR="00D5111E" w:rsidRPr="00D5111E">
        <w:rPr>
          <w:rFonts w:ascii="Times New Roman" w:hAnsi="Times New Roman" w:cs="Times New Roman"/>
          <w:color w:val="FF0000"/>
          <w:sz w:val="24"/>
          <w:szCs w:val="24"/>
        </w:rPr>
        <w:t xml:space="preserve">  </w:t>
      </w:r>
    </w:p>
    <w:p w14:paraId="7CDC025A" w14:textId="579CD2D7" w:rsidR="00463F8E" w:rsidRDefault="00D5111E" w:rsidP="007A5A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Focusing now on section 31 (5) (a), o</w:t>
      </w:r>
      <w:r w:rsidR="007D2A80">
        <w:rPr>
          <w:rFonts w:ascii="Times New Roman" w:hAnsi="Times New Roman" w:cs="Times New Roman"/>
          <w:sz w:val="24"/>
          <w:szCs w:val="24"/>
        </w:rPr>
        <w:t xml:space="preserve">ne fallout from the MCA’s apparent emphasis on </w:t>
      </w:r>
      <w:r w:rsidR="00CA36FE">
        <w:rPr>
          <w:rFonts w:ascii="Times New Roman" w:hAnsi="Times New Roman" w:cs="Times New Roman"/>
          <w:sz w:val="24"/>
          <w:szCs w:val="24"/>
        </w:rPr>
        <w:t xml:space="preserve">medically invasive research, </w:t>
      </w:r>
      <w:r w:rsidR="007D2A80">
        <w:rPr>
          <w:rFonts w:ascii="Times New Roman" w:hAnsi="Times New Roman" w:cs="Times New Roman"/>
          <w:sz w:val="24"/>
          <w:szCs w:val="24"/>
        </w:rPr>
        <w:t xml:space="preserve">is that </w:t>
      </w:r>
      <w:r w:rsidR="00CA36FE">
        <w:rPr>
          <w:rFonts w:ascii="Times New Roman" w:hAnsi="Times New Roman" w:cs="Times New Roman"/>
          <w:sz w:val="24"/>
          <w:szCs w:val="24"/>
        </w:rPr>
        <w:t>any</w:t>
      </w:r>
      <w:r w:rsidR="00B535FE">
        <w:rPr>
          <w:rFonts w:ascii="Times New Roman" w:hAnsi="Times New Roman" w:cs="Times New Roman"/>
          <w:sz w:val="24"/>
          <w:szCs w:val="24"/>
        </w:rPr>
        <w:t xml:space="preserve"> analysis of the notion of ‘benefit’ </w:t>
      </w:r>
      <w:r w:rsidR="00D702FF">
        <w:rPr>
          <w:rFonts w:ascii="Times New Roman" w:hAnsi="Times New Roman" w:cs="Times New Roman"/>
          <w:sz w:val="24"/>
          <w:szCs w:val="24"/>
        </w:rPr>
        <w:t xml:space="preserve">may naturally gravitate towards identification of </w:t>
      </w:r>
      <w:r w:rsidR="0090173B">
        <w:rPr>
          <w:rFonts w:ascii="Times New Roman" w:hAnsi="Times New Roman" w:cs="Times New Roman"/>
          <w:sz w:val="24"/>
          <w:szCs w:val="24"/>
        </w:rPr>
        <w:t>medical advantages</w:t>
      </w:r>
      <w:r w:rsidR="00B535FE">
        <w:rPr>
          <w:rFonts w:ascii="Times New Roman" w:hAnsi="Times New Roman" w:cs="Times New Roman"/>
          <w:sz w:val="24"/>
          <w:szCs w:val="24"/>
        </w:rPr>
        <w:t>.</w:t>
      </w:r>
      <w:r w:rsidR="007F1384">
        <w:rPr>
          <w:rStyle w:val="FootnoteReference"/>
          <w:rFonts w:ascii="Times New Roman" w:hAnsi="Times New Roman" w:cs="Times New Roman"/>
          <w:sz w:val="24"/>
          <w:szCs w:val="24"/>
        </w:rPr>
        <w:footnoteReference w:id="64"/>
      </w:r>
      <w:r w:rsidR="007F1384">
        <w:rPr>
          <w:rFonts w:ascii="Times New Roman" w:hAnsi="Times New Roman" w:cs="Times New Roman"/>
          <w:sz w:val="24"/>
          <w:szCs w:val="24"/>
        </w:rPr>
        <w:t xml:space="preserve">  Medical benefits </w:t>
      </w:r>
      <w:r w:rsidR="00B535FE">
        <w:rPr>
          <w:rFonts w:ascii="Times New Roman" w:hAnsi="Times New Roman" w:cs="Times New Roman"/>
          <w:sz w:val="24"/>
          <w:szCs w:val="24"/>
        </w:rPr>
        <w:t xml:space="preserve">are frequently </w:t>
      </w:r>
      <w:r w:rsidR="0090173B" w:rsidRPr="00CA36FE">
        <w:rPr>
          <w:rFonts w:ascii="Times New Roman" w:hAnsi="Times New Roman" w:cs="Times New Roman"/>
          <w:sz w:val="24"/>
          <w:szCs w:val="24"/>
        </w:rPr>
        <w:t>con</w:t>
      </w:r>
      <w:r w:rsidR="007F1384">
        <w:rPr>
          <w:rFonts w:ascii="Times New Roman" w:hAnsi="Times New Roman" w:cs="Times New Roman"/>
          <w:sz w:val="24"/>
          <w:szCs w:val="24"/>
        </w:rPr>
        <w:t>sidered from an objective evidence-based</w:t>
      </w:r>
      <w:r w:rsidR="00D702FF">
        <w:rPr>
          <w:rFonts w:ascii="Times New Roman" w:hAnsi="Times New Roman" w:cs="Times New Roman"/>
          <w:sz w:val="24"/>
          <w:szCs w:val="24"/>
        </w:rPr>
        <w:t xml:space="preserve"> perspective</w:t>
      </w:r>
      <w:r w:rsidR="007F1384">
        <w:rPr>
          <w:rFonts w:ascii="Times New Roman" w:hAnsi="Times New Roman" w:cs="Times New Roman"/>
          <w:sz w:val="24"/>
          <w:szCs w:val="24"/>
        </w:rPr>
        <w:t xml:space="preserve">, yet </w:t>
      </w:r>
      <w:r w:rsidR="009F0801">
        <w:rPr>
          <w:rFonts w:ascii="Times New Roman" w:hAnsi="Times New Roman" w:cs="Times New Roman"/>
          <w:sz w:val="24"/>
          <w:szCs w:val="24"/>
        </w:rPr>
        <w:t>t</w:t>
      </w:r>
      <w:r w:rsidR="0090173B">
        <w:rPr>
          <w:rFonts w:ascii="Times New Roman" w:hAnsi="Times New Roman" w:cs="Times New Roman"/>
          <w:sz w:val="24"/>
          <w:szCs w:val="24"/>
        </w:rPr>
        <w:t xml:space="preserve">o confine any examination under </w:t>
      </w:r>
      <w:r w:rsidR="0090173B">
        <w:rPr>
          <w:rFonts w:ascii="Times New Roman" w:hAnsi="Times New Roman" w:cs="Times New Roman"/>
          <w:sz w:val="24"/>
          <w:szCs w:val="24"/>
        </w:rPr>
        <w:lastRenderedPageBreak/>
        <w:t xml:space="preserve">section 31 (5) (a) of the MCA </w:t>
      </w:r>
      <w:r w:rsidR="007F1384">
        <w:rPr>
          <w:rFonts w:ascii="Times New Roman" w:hAnsi="Times New Roman" w:cs="Times New Roman"/>
          <w:sz w:val="24"/>
          <w:szCs w:val="24"/>
        </w:rPr>
        <w:t xml:space="preserve">purely </w:t>
      </w:r>
      <w:r w:rsidR="00D702FF">
        <w:rPr>
          <w:rFonts w:ascii="Times New Roman" w:hAnsi="Times New Roman" w:cs="Times New Roman"/>
          <w:sz w:val="24"/>
          <w:szCs w:val="24"/>
        </w:rPr>
        <w:t xml:space="preserve">to this </w:t>
      </w:r>
      <w:r w:rsidR="0090173B">
        <w:rPr>
          <w:rFonts w:ascii="Times New Roman" w:hAnsi="Times New Roman" w:cs="Times New Roman"/>
          <w:sz w:val="24"/>
          <w:szCs w:val="24"/>
        </w:rPr>
        <w:t>is too restrictive</w:t>
      </w:r>
      <w:r w:rsidR="00D702FF">
        <w:rPr>
          <w:rFonts w:ascii="Times New Roman" w:hAnsi="Times New Roman" w:cs="Times New Roman"/>
          <w:sz w:val="24"/>
          <w:szCs w:val="24"/>
        </w:rPr>
        <w:t>.</w:t>
      </w:r>
      <w:r w:rsidR="00674513">
        <w:rPr>
          <w:rStyle w:val="FootnoteReference"/>
          <w:rFonts w:ascii="Times New Roman" w:hAnsi="Times New Roman" w:cs="Times New Roman"/>
          <w:sz w:val="24"/>
          <w:szCs w:val="24"/>
        </w:rPr>
        <w:footnoteReference w:id="65"/>
      </w:r>
      <w:r w:rsidR="00D702FF">
        <w:rPr>
          <w:rFonts w:ascii="Times New Roman" w:hAnsi="Times New Roman" w:cs="Times New Roman"/>
          <w:sz w:val="24"/>
          <w:szCs w:val="24"/>
        </w:rPr>
        <w:t xml:space="preserve">  </w:t>
      </w:r>
      <w:r w:rsidR="00D702FF" w:rsidRPr="00664BF4">
        <w:rPr>
          <w:rFonts w:ascii="Times New Roman" w:hAnsi="Times New Roman" w:cs="Times New Roman"/>
          <w:color w:val="FF0000"/>
          <w:sz w:val="24"/>
          <w:szCs w:val="24"/>
        </w:rPr>
        <w:t>T</w:t>
      </w:r>
      <w:r w:rsidR="00664BF4" w:rsidRPr="00664BF4">
        <w:rPr>
          <w:rFonts w:ascii="Times New Roman" w:hAnsi="Times New Roman" w:cs="Times New Roman"/>
          <w:color w:val="FF0000"/>
          <w:sz w:val="24"/>
          <w:szCs w:val="24"/>
        </w:rPr>
        <w:t xml:space="preserve">his is one example of </w:t>
      </w:r>
      <w:r w:rsidR="009F0801" w:rsidRPr="00664BF4">
        <w:rPr>
          <w:rFonts w:ascii="Times New Roman" w:hAnsi="Times New Roman" w:cs="Times New Roman"/>
          <w:color w:val="FF0000"/>
          <w:sz w:val="24"/>
          <w:szCs w:val="24"/>
        </w:rPr>
        <w:t xml:space="preserve">the </w:t>
      </w:r>
      <w:r w:rsidRPr="00664BF4">
        <w:rPr>
          <w:rFonts w:ascii="Times New Roman" w:hAnsi="Times New Roman" w:cs="Times New Roman"/>
          <w:color w:val="FF0000"/>
          <w:sz w:val="24"/>
          <w:szCs w:val="24"/>
        </w:rPr>
        <w:t>broad nature of the MCA</w:t>
      </w:r>
      <w:r w:rsidR="00664BF4" w:rsidRPr="00664BF4">
        <w:rPr>
          <w:rFonts w:ascii="Times New Roman" w:hAnsi="Times New Roman" w:cs="Times New Roman"/>
          <w:color w:val="FF0000"/>
          <w:sz w:val="24"/>
          <w:szCs w:val="24"/>
        </w:rPr>
        <w:t xml:space="preserve">, </w:t>
      </w:r>
      <w:r w:rsidRPr="00664BF4">
        <w:rPr>
          <w:rFonts w:ascii="Times New Roman" w:hAnsi="Times New Roman" w:cs="Times New Roman"/>
          <w:color w:val="FF0000"/>
          <w:sz w:val="24"/>
          <w:szCs w:val="24"/>
        </w:rPr>
        <w:t xml:space="preserve">and the </w:t>
      </w:r>
      <w:r w:rsidR="00664BF4" w:rsidRPr="00664BF4">
        <w:rPr>
          <w:rFonts w:ascii="Times New Roman" w:hAnsi="Times New Roman" w:cs="Times New Roman"/>
          <w:color w:val="FF0000"/>
          <w:sz w:val="24"/>
          <w:szCs w:val="24"/>
        </w:rPr>
        <w:t xml:space="preserve">more detailed nature of the </w:t>
      </w:r>
      <w:r w:rsidR="009F0801" w:rsidRPr="00664BF4">
        <w:rPr>
          <w:rFonts w:ascii="Times New Roman" w:hAnsi="Times New Roman" w:cs="Times New Roman"/>
          <w:color w:val="FF0000"/>
          <w:sz w:val="24"/>
          <w:szCs w:val="24"/>
        </w:rPr>
        <w:t>COP</w:t>
      </w:r>
      <w:r w:rsidR="00664BF4" w:rsidRPr="00664BF4">
        <w:rPr>
          <w:rFonts w:ascii="Times New Roman" w:hAnsi="Times New Roman" w:cs="Times New Roman"/>
          <w:color w:val="FF0000"/>
          <w:sz w:val="24"/>
          <w:szCs w:val="24"/>
        </w:rPr>
        <w:t>,</w:t>
      </w:r>
      <w:r w:rsidRPr="00664BF4">
        <w:rPr>
          <w:rFonts w:ascii="Times New Roman" w:hAnsi="Times New Roman" w:cs="Times New Roman"/>
          <w:color w:val="FF0000"/>
          <w:sz w:val="24"/>
          <w:szCs w:val="24"/>
        </w:rPr>
        <w:t xml:space="preserve"> </w:t>
      </w:r>
      <w:r w:rsidR="00664BF4" w:rsidRPr="00664BF4">
        <w:rPr>
          <w:rFonts w:ascii="Times New Roman" w:hAnsi="Times New Roman" w:cs="Times New Roman"/>
          <w:color w:val="FF0000"/>
          <w:sz w:val="24"/>
          <w:szCs w:val="24"/>
        </w:rPr>
        <w:t>working well together.</w:t>
      </w:r>
      <w:r w:rsidR="00664BF4">
        <w:rPr>
          <w:rFonts w:ascii="Times New Roman" w:hAnsi="Times New Roman" w:cs="Times New Roman"/>
          <w:sz w:val="24"/>
          <w:szCs w:val="24"/>
        </w:rPr>
        <w:t xml:space="preserve">  The COP </w:t>
      </w:r>
      <w:r w:rsidR="009F0801">
        <w:rPr>
          <w:rFonts w:ascii="Times New Roman" w:hAnsi="Times New Roman" w:cs="Times New Roman"/>
          <w:sz w:val="24"/>
          <w:szCs w:val="24"/>
        </w:rPr>
        <w:t>is</w:t>
      </w:r>
      <w:r w:rsidR="00252112">
        <w:rPr>
          <w:rFonts w:ascii="Times New Roman" w:hAnsi="Times New Roman" w:cs="Times New Roman"/>
          <w:sz w:val="24"/>
          <w:szCs w:val="24"/>
        </w:rPr>
        <w:t xml:space="preserve"> </w:t>
      </w:r>
      <w:r w:rsidR="007F1384">
        <w:rPr>
          <w:rFonts w:ascii="Times New Roman" w:hAnsi="Times New Roman" w:cs="Times New Roman"/>
          <w:sz w:val="24"/>
          <w:szCs w:val="24"/>
        </w:rPr>
        <w:t xml:space="preserve">helpful </w:t>
      </w:r>
      <w:r w:rsidR="004529EC">
        <w:rPr>
          <w:rFonts w:ascii="Times New Roman" w:hAnsi="Times New Roman" w:cs="Times New Roman"/>
          <w:sz w:val="24"/>
          <w:szCs w:val="24"/>
        </w:rPr>
        <w:t xml:space="preserve">as </w:t>
      </w:r>
      <w:r w:rsidR="007D2A80">
        <w:rPr>
          <w:rFonts w:ascii="Times New Roman" w:hAnsi="Times New Roman" w:cs="Times New Roman"/>
          <w:sz w:val="24"/>
          <w:szCs w:val="24"/>
        </w:rPr>
        <w:t xml:space="preserve">it </w:t>
      </w:r>
      <w:r w:rsidR="00CA36FE" w:rsidRPr="00CA36FE">
        <w:rPr>
          <w:rFonts w:ascii="Times New Roman" w:hAnsi="Times New Roman" w:cs="Times New Roman"/>
          <w:sz w:val="24"/>
          <w:szCs w:val="24"/>
        </w:rPr>
        <w:t>elaborate</w:t>
      </w:r>
      <w:r w:rsidR="007F1384">
        <w:rPr>
          <w:rFonts w:ascii="Times New Roman" w:hAnsi="Times New Roman" w:cs="Times New Roman"/>
          <w:sz w:val="24"/>
          <w:szCs w:val="24"/>
        </w:rPr>
        <w:t>s</w:t>
      </w:r>
      <w:r w:rsidR="00CA36FE" w:rsidRPr="00CA36FE">
        <w:rPr>
          <w:rFonts w:ascii="Times New Roman" w:hAnsi="Times New Roman" w:cs="Times New Roman"/>
          <w:sz w:val="24"/>
          <w:szCs w:val="24"/>
        </w:rPr>
        <w:t xml:space="preserve"> on the</w:t>
      </w:r>
      <w:r w:rsidR="009F0801">
        <w:rPr>
          <w:rFonts w:ascii="Times New Roman" w:hAnsi="Times New Roman" w:cs="Times New Roman"/>
          <w:sz w:val="24"/>
          <w:szCs w:val="24"/>
        </w:rPr>
        <w:t xml:space="preserve"> potential meaning of ‘benefit’, embracing </w:t>
      </w:r>
      <w:r w:rsidR="00CA36FE" w:rsidRPr="00CA36FE">
        <w:rPr>
          <w:rFonts w:ascii="Times New Roman" w:hAnsi="Times New Roman" w:cs="Times New Roman"/>
          <w:sz w:val="24"/>
          <w:szCs w:val="24"/>
        </w:rPr>
        <w:t>a more expans</w:t>
      </w:r>
      <w:r w:rsidR="009F0801">
        <w:rPr>
          <w:rFonts w:ascii="Times New Roman" w:hAnsi="Times New Roman" w:cs="Times New Roman"/>
          <w:sz w:val="24"/>
          <w:szCs w:val="24"/>
        </w:rPr>
        <w:t xml:space="preserve">ive approach.  Section 11.14 of the COP </w:t>
      </w:r>
      <w:r w:rsidR="00CA36FE" w:rsidRPr="00CA36FE">
        <w:rPr>
          <w:rFonts w:ascii="Times New Roman" w:hAnsi="Times New Roman" w:cs="Times New Roman"/>
          <w:sz w:val="24"/>
          <w:szCs w:val="24"/>
        </w:rPr>
        <w:t>states that alongside developing more effective ways of treating or managing a participant’s condition, benefit could also mean improving the quality of health or social care that a participant may have access to, discovering the cause of the participant’s condition if she would benefit from that knowledge</w:t>
      </w:r>
      <w:r w:rsidR="00252112">
        <w:rPr>
          <w:rFonts w:ascii="Times New Roman" w:hAnsi="Times New Roman" w:cs="Times New Roman"/>
          <w:sz w:val="24"/>
          <w:szCs w:val="24"/>
        </w:rPr>
        <w:t>,</w:t>
      </w:r>
      <w:r w:rsidR="00CA36FE" w:rsidRPr="00CA36FE">
        <w:rPr>
          <w:rFonts w:ascii="Times New Roman" w:hAnsi="Times New Roman" w:cs="Times New Roman"/>
          <w:sz w:val="24"/>
          <w:szCs w:val="24"/>
        </w:rPr>
        <w:t xml:space="preserve"> and reducing the risk of the participant being harmed excluded or disadvantaged.</w:t>
      </w:r>
      <w:r w:rsidR="007F1384">
        <w:rPr>
          <w:rStyle w:val="FootnoteReference"/>
          <w:rFonts w:ascii="Times New Roman" w:hAnsi="Times New Roman" w:cs="Times New Roman"/>
          <w:sz w:val="24"/>
          <w:szCs w:val="24"/>
        </w:rPr>
        <w:footnoteReference w:id="66"/>
      </w:r>
      <w:r w:rsidR="00CA36FE" w:rsidRPr="00CA36FE">
        <w:rPr>
          <w:rFonts w:ascii="Times New Roman" w:hAnsi="Times New Roman" w:cs="Times New Roman"/>
          <w:sz w:val="24"/>
          <w:szCs w:val="24"/>
        </w:rPr>
        <w:t xml:space="preserve"> The adoption of </w:t>
      </w:r>
      <w:r w:rsidR="00EC6F1E">
        <w:rPr>
          <w:rFonts w:ascii="Times New Roman" w:hAnsi="Times New Roman" w:cs="Times New Roman"/>
          <w:sz w:val="24"/>
          <w:szCs w:val="24"/>
        </w:rPr>
        <w:t>this broader interpret</w:t>
      </w:r>
      <w:r w:rsidR="00B535FE">
        <w:rPr>
          <w:rFonts w:ascii="Times New Roman" w:hAnsi="Times New Roman" w:cs="Times New Roman"/>
          <w:sz w:val="24"/>
          <w:szCs w:val="24"/>
        </w:rPr>
        <w:t>ation is undoubtedly sensible,</w:t>
      </w:r>
      <w:r w:rsidR="00674513">
        <w:rPr>
          <w:rFonts w:ascii="Times New Roman" w:hAnsi="Times New Roman" w:cs="Times New Roman"/>
          <w:sz w:val="24"/>
          <w:szCs w:val="24"/>
        </w:rPr>
        <w:t xml:space="preserve"> </w:t>
      </w:r>
      <w:r w:rsidR="00C439EB">
        <w:rPr>
          <w:rFonts w:ascii="Times New Roman" w:hAnsi="Times New Roman" w:cs="Times New Roman"/>
          <w:sz w:val="24"/>
          <w:szCs w:val="24"/>
        </w:rPr>
        <w:t xml:space="preserve">but </w:t>
      </w:r>
      <w:r w:rsidR="00674513">
        <w:rPr>
          <w:rFonts w:ascii="Times New Roman" w:hAnsi="Times New Roman" w:cs="Times New Roman"/>
          <w:sz w:val="24"/>
          <w:szCs w:val="24"/>
        </w:rPr>
        <w:t xml:space="preserve">it is equally important to acknowledge that these considerations must be </w:t>
      </w:r>
      <w:r w:rsidR="00CA36FE" w:rsidRPr="00CA36FE">
        <w:rPr>
          <w:rFonts w:ascii="Times New Roman" w:hAnsi="Times New Roman" w:cs="Times New Roman"/>
          <w:sz w:val="24"/>
          <w:szCs w:val="24"/>
        </w:rPr>
        <w:t xml:space="preserve">targeted </w:t>
      </w:r>
      <w:r w:rsidR="0096661C">
        <w:rPr>
          <w:rFonts w:ascii="Times New Roman" w:hAnsi="Times New Roman" w:cs="Times New Roman"/>
          <w:sz w:val="24"/>
          <w:szCs w:val="24"/>
        </w:rPr>
        <w:t xml:space="preserve">at procuring some </w:t>
      </w:r>
      <w:r w:rsidR="0096661C" w:rsidRPr="00D64FEE">
        <w:rPr>
          <w:rFonts w:ascii="Times New Roman" w:hAnsi="Times New Roman" w:cs="Times New Roman"/>
          <w:i/>
          <w:sz w:val="24"/>
          <w:szCs w:val="24"/>
        </w:rPr>
        <w:t>direct</w:t>
      </w:r>
      <w:r w:rsidR="0096661C">
        <w:rPr>
          <w:rFonts w:ascii="Times New Roman" w:hAnsi="Times New Roman" w:cs="Times New Roman"/>
          <w:sz w:val="24"/>
          <w:szCs w:val="24"/>
        </w:rPr>
        <w:t xml:space="preserve"> </w:t>
      </w:r>
      <w:r w:rsidR="00CA36FE" w:rsidRPr="00CA36FE">
        <w:rPr>
          <w:rFonts w:ascii="Times New Roman" w:hAnsi="Times New Roman" w:cs="Times New Roman"/>
          <w:sz w:val="24"/>
          <w:szCs w:val="24"/>
        </w:rPr>
        <w:t xml:space="preserve">benefit to </w:t>
      </w:r>
      <w:r w:rsidR="00252112">
        <w:rPr>
          <w:rFonts w:ascii="Times New Roman" w:hAnsi="Times New Roman" w:cs="Times New Roman"/>
          <w:sz w:val="24"/>
          <w:szCs w:val="24"/>
        </w:rPr>
        <w:t xml:space="preserve">the </w:t>
      </w:r>
      <w:r w:rsidR="00CA36FE" w:rsidRPr="00CA36FE">
        <w:rPr>
          <w:rFonts w:ascii="Times New Roman" w:hAnsi="Times New Roman" w:cs="Times New Roman"/>
          <w:sz w:val="24"/>
          <w:szCs w:val="24"/>
        </w:rPr>
        <w:t>individ</w:t>
      </w:r>
      <w:r w:rsidR="00EC6F1E">
        <w:rPr>
          <w:rFonts w:ascii="Times New Roman" w:hAnsi="Times New Roman" w:cs="Times New Roman"/>
          <w:sz w:val="24"/>
          <w:szCs w:val="24"/>
        </w:rPr>
        <w:t xml:space="preserve">ual participant </w:t>
      </w:r>
      <w:r w:rsidR="00EC6F1E" w:rsidRPr="004529EC">
        <w:rPr>
          <w:rFonts w:ascii="Times New Roman" w:hAnsi="Times New Roman" w:cs="Times New Roman"/>
          <w:i/>
          <w:sz w:val="24"/>
          <w:szCs w:val="24"/>
        </w:rPr>
        <w:t>herself</w:t>
      </w:r>
      <w:r w:rsidR="00EC6F1E">
        <w:rPr>
          <w:rFonts w:ascii="Times New Roman" w:hAnsi="Times New Roman" w:cs="Times New Roman"/>
          <w:sz w:val="24"/>
          <w:szCs w:val="24"/>
        </w:rPr>
        <w:t>.</w:t>
      </w:r>
      <w:r w:rsidR="00C439EB">
        <w:rPr>
          <w:rFonts w:ascii="Times New Roman" w:hAnsi="Times New Roman" w:cs="Times New Roman"/>
          <w:sz w:val="24"/>
          <w:szCs w:val="24"/>
        </w:rPr>
        <w:t xml:space="preserve">  The subjective circumstances of an individual participant must therefore be considered </w:t>
      </w:r>
      <w:r w:rsidR="00252112">
        <w:rPr>
          <w:rFonts w:ascii="Times New Roman" w:hAnsi="Times New Roman" w:cs="Times New Roman"/>
          <w:sz w:val="24"/>
          <w:szCs w:val="24"/>
        </w:rPr>
        <w:t xml:space="preserve">carefully.  </w:t>
      </w:r>
      <w:r w:rsidR="00C439EB">
        <w:rPr>
          <w:rFonts w:ascii="Times New Roman" w:hAnsi="Times New Roman" w:cs="Times New Roman"/>
          <w:sz w:val="24"/>
          <w:szCs w:val="24"/>
        </w:rPr>
        <w:t xml:space="preserve">Remaining cognisant of </w:t>
      </w:r>
      <w:r w:rsidR="004529EC">
        <w:rPr>
          <w:rFonts w:ascii="Times New Roman" w:hAnsi="Times New Roman" w:cs="Times New Roman"/>
          <w:sz w:val="24"/>
          <w:szCs w:val="24"/>
        </w:rPr>
        <w:t xml:space="preserve">this </w:t>
      </w:r>
      <w:r w:rsidR="00C439EB">
        <w:rPr>
          <w:rFonts w:ascii="Times New Roman" w:hAnsi="Times New Roman" w:cs="Times New Roman"/>
          <w:sz w:val="24"/>
          <w:szCs w:val="24"/>
        </w:rPr>
        <w:t xml:space="preserve">becomes even more important </w:t>
      </w:r>
      <w:r w:rsidR="00F526CB">
        <w:rPr>
          <w:rFonts w:ascii="Times New Roman" w:hAnsi="Times New Roman" w:cs="Times New Roman"/>
          <w:sz w:val="24"/>
          <w:szCs w:val="24"/>
        </w:rPr>
        <w:t xml:space="preserve">when </w:t>
      </w:r>
      <w:r w:rsidR="00463F8E">
        <w:rPr>
          <w:rFonts w:ascii="Times New Roman" w:hAnsi="Times New Roman" w:cs="Times New Roman"/>
          <w:sz w:val="24"/>
          <w:szCs w:val="24"/>
        </w:rPr>
        <w:t xml:space="preserve">thinking about </w:t>
      </w:r>
      <w:r w:rsidR="00CA36FE" w:rsidRPr="00CA36FE">
        <w:rPr>
          <w:rFonts w:ascii="Times New Roman" w:hAnsi="Times New Roman" w:cs="Times New Roman"/>
          <w:sz w:val="24"/>
          <w:szCs w:val="24"/>
        </w:rPr>
        <w:t xml:space="preserve">potential </w:t>
      </w:r>
      <w:r w:rsidR="00CA36FE" w:rsidRPr="0096661C">
        <w:rPr>
          <w:rFonts w:ascii="Times New Roman" w:hAnsi="Times New Roman" w:cs="Times New Roman"/>
          <w:i/>
          <w:sz w:val="24"/>
          <w:szCs w:val="24"/>
        </w:rPr>
        <w:t>indirect</w:t>
      </w:r>
      <w:r w:rsidR="00CA36FE" w:rsidRPr="00CA36FE">
        <w:rPr>
          <w:rFonts w:ascii="Times New Roman" w:hAnsi="Times New Roman" w:cs="Times New Roman"/>
          <w:sz w:val="24"/>
          <w:szCs w:val="24"/>
        </w:rPr>
        <w:t xml:space="preserve"> benefits under section 31 (5) (a)</w:t>
      </w:r>
      <w:r w:rsidR="0096661C">
        <w:rPr>
          <w:rFonts w:ascii="Times New Roman" w:hAnsi="Times New Roman" w:cs="Times New Roman"/>
          <w:sz w:val="24"/>
          <w:szCs w:val="24"/>
        </w:rPr>
        <w:t xml:space="preserve"> of the MCA</w:t>
      </w:r>
      <w:r w:rsidR="00463F8E">
        <w:rPr>
          <w:rFonts w:ascii="Times New Roman" w:hAnsi="Times New Roman" w:cs="Times New Roman"/>
          <w:sz w:val="24"/>
          <w:szCs w:val="24"/>
        </w:rPr>
        <w:t>.</w:t>
      </w:r>
    </w:p>
    <w:p w14:paraId="41F637D8" w14:textId="34331C3A" w:rsidR="00D702FF" w:rsidRDefault="00463F8E" w:rsidP="00194A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understood correctly, </w:t>
      </w:r>
      <w:r w:rsidR="00CA36FE" w:rsidRPr="00CA36FE">
        <w:rPr>
          <w:rFonts w:ascii="Times New Roman" w:hAnsi="Times New Roman" w:cs="Times New Roman"/>
          <w:sz w:val="24"/>
          <w:szCs w:val="24"/>
        </w:rPr>
        <w:t>benef</w:t>
      </w:r>
      <w:r w:rsidR="0096661C">
        <w:rPr>
          <w:rFonts w:ascii="Times New Roman" w:hAnsi="Times New Roman" w:cs="Times New Roman"/>
          <w:sz w:val="24"/>
          <w:szCs w:val="24"/>
        </w:rPr>
        <w:t>it</w:t>
      </w:r>
      <w:r w:rsidR="008433A4">
        <w:rPr>
          <w:rFonts w:ascii="Times New Roman" w:hAnsi="Times New Roman" w:cs="Times New Roman"/>
          <w:sz w:val="24"/>
          <w:szCs w:val="24"/>
        </w:rPr>
        <w:t>s</w:t>
      </w:r>
      <w:r w:rsidR="0096661C">
        <w:rPr>
          <w:rFonts w:ascii="Times New Roman" w:hAnsi="Times New Roman" w:cs="Times New Roman"/>
          <w:sz w:val="24"/>
          <w:szCs w:val="24"/>
        </w:rPr>
        <w:t xml:space="preserve"> should </w:t>
      </w:r>
      <w:r w:rsidR="00CA36FE" w:rsidRPr="00CA36FE">
        <w:rPr>
          <w:rFonts w:ascii="Times New Roman" w:hAnsi="Times New Roman" w:cs="Times New Roman"/>
          <w:sz w:val="24"/>
          <w:szCs w:val="24"/>
        </w:rPr>
        <w:t>encompass social, psyc</w:t>
      </w:r>
      <w:r w:rsidR="008433A4">
        <w:rPr>
          <w:rFonts w:ascii="Times New Roman" w:hAnsi="Times New Roman" w:cs="Times New Roman"/>
          <w:sz w:val="24"/>
          <w:szCs w:val="24"/>
        </w:rPr>
        <w:t>hological and emotional factors, which ma</w:t>
      </w:r>
      <w:r w:rsidR="00C439EB">
        <w:rPr>
          <w:rFonts w:ascii="Times New Roman" w:hAnsi="Times New Roman" w:cs="Times New Roman"/>
          <w:sz w:val="24"/>
          <w:szCs w:val="24"/>
        </w:rPr>
        <w:t xml:space="preserve">y be specific to the </w:t>
      </w:r>
      <w:r w:rsidR="00252112">
        <w:rPr>
          <w:rFonts w:ascii="Times New Roman" w:hAnsi="Times New Roman" w:cs="Times New Roman"/>
          <w:sz w:val="24"/>
          <w:szCs w:val="24"/>
        </w:rPr>
        <w:t xml:space="preserve">individual </w:t>
      </w:r>
      <w:r w:rsidR="00C439EB">
        <w:rPr>
          <w:rFonts w:ascii="Times New Roman" w:hAnsi="Times New Roman" w:cs="Times New Roman"/>
          <w:sz w:val="24"/>
          <w:szCs w:val="24"/>
        </w:rPr>
        <w:t xml:space="preserve">position </w:t>
      </w:r>
      <w:r w:rsidR="008433A4">
        <w:rPr>
          <w:rFonts w:ascii="Times New Roman" w:hAnsi="Times New Roman" w:cs="Times New Roman"/>
          <w:sz w:val="24"/>
          <w:szCs w:val="24"/>
        </w:rPr>
        <w:t xml:space="preserve">of </w:t>
      </w:r>
      <w:r w:rsidR="00C439EB">
        <w:rPr>
          <w:rFonts w:ascii="Times New Roman" w:hAnsi="Times New Roman" w:cs="Times New Roman"/>
          <w:sz w:val="24"/>
          <w:szCs w:val="24"/>
        </w:rPr>
        <w:t xml:space="preserve">an incapacitated </w:t>
      </w:r>
      <w:r w:rsidR="008433A4">
        <w:rPr>
          <w:rFonts w:ascii="Times New Roman" w:hAnsi="Times New Roman" w:cs="Times New Roman"/>
          <w:sz w:val="24"/>
          <w:szCs w:val="24"/>
        </w:rPr>
        <w:t>participant.</w:t>
      </w:r>
      <w:r w:rsidR="00AF394E">
        <w:rPr>
          <w:rStyle w:val="FootnoteReference"/>
          <w:rFonts w:ascii="Times New Roman" w:hAnsi="Times New Roman" w:cs="Times New Roman"/>
          <w:sz w:val="24"/>
          <w:szCs w:val="24"/>
        </w:rPr>
        <w:footnoteReference w:id="67"/>
      </w:r>
      <w:r w:rsidR="008433A4">
        <w:rPr>
          <w:rFonts w:ascii="Times New Roman" w:hAnsi="Times New Roman" w:cs="Times New Roman"/>
          <w:sz w:val="24"/>
          <w:szCs w:val="24"/>
        </w:rPr>
        <w:t xml:space="preserve">  There </w:t>
      </w:r>
      <w:r w:rsidR="00D702FF">
        <w:rPr>
          <w:rFonts w:ascii="Times New Roman" w:hAnsi="Times New Roman" w:cs="Times New Roman"/>
          <w:sz w:val="24"/>
          <w:szCs w:val="24"/>
        </w:rPr>
        <w:t xml:space="preserve">may be some situations in which she </w:t>
      </w:r>
      <w:r w:rsidR="00CA36FE" w:rsidRPr="00CA36FE">
        <w:rPr>
          <w:rFonts w:ascii="Times New Roman" w:hAnsi="Times New Roman" w:cs="Times New Roman"/>
          <w:sz w:val="24"/>
          <w:szCs w:val="24"/>
        </w:rPr>
        <w:t xml:space="preserve">may only receive a </w:t>
      </w:r>
      <w:r w:rsidR="0096661C">
        <w:rPr>
          <w:rFonts w:ascii="Times New Roman" w:hAnsi="Times New Roman" w:cs="Times New Roman"/>
          <w:sz w:val="24"/>
          <w:szCs w:val="24"/>
        </w:rPr>
        <w:t>tangentially-</w:t>
      </w:r>
      <w:r w:rsidR="0096661C" w:rsidRPr="00CA36FE">
        <w:rPr>
          <w:rFonts w:ascii="Times New Roman" w:hAnsi="Times New Roman" w:cs="Times New Roman"/>
          <w:sz w:val="24"/>
          <w:szCs w:val="24"/>
        </w:rPr>
        <w:t>related</w:t>
      </w:r>
      <w:r w:rsidR="004C2A00">
        <w:rPr>
          <w:rFonts w:ascii="Times New Roman" w:hAnsi="Times New Roman" w:cs="Times New Roman"/>
          <w:sz w:val="24"/>
          <w:szCs w:val="24"/>
        </w:rPr>
        <w:t xml:space="preserve"> benefit from any involvement in research</w:t>
      </w:r>
      <w:r w:rsidR="00CA36FE" w:rsidRPr="00CA36FE">
        <w:rPr>
          <w:rFonts w:ascii="Times New Roman" w:hAnsi="Times New Roman" w:cs="Times New Roman"/>
          <w:sz w:val="24"/>
          <w:szCs w:val="24"/>
        </w:rPr>
        <w:t xml:space="preserve">, but the fact that this may be of a marginal, non-physical nature should not prevent it from being </w:t>
      </w:r>
      <w:r w:rsidR="0096661C">
        <w:rPr>
          <w:rFonts w:ascii="Times New Roman" w:hAnsi="Times New Roman" w:cs="Times New Roman"/>
          <w:sz w:val="24"/>
          <w:szCs w:val="24"/>
        </w:rPr>
        <w:t xml:space="preserve">classified </w:t>
      </w:r>
      <w:r w:rsidR="00CA36FE" w:rsidRPr="00CA36FE">
        <w:rPr>
          <w:rFonts w:ascii="Times New Roman" w:hAnsi="Times New Roman" w:cs="Times New Roman"/>
          <w:sz w:val="24"/>
          <w:szCs w:val="24"/>
        </w:rPr>
        <w:t>as something that may be of worth to</w:t>
      </w:r>
      <w:r w:rsidR="004C2A00">
        <w:rPr>
          <w:rFonts w:ascii="Times New Roman" w:hAnsi="Times New Roman" w:cs="Times New Roman"/>
          <w:sz w:val="24"/>
          <w:szCs w:val="24"/>
        </w:rPr>
        <w:t xml:space="preserve"> </w:t>
      </w:r>
      <w:r w:rsidR="00D702FF">
        <w:rPr>
          <w:rFonts w:ascii="Times New Roman" w:hAnsi="Times New Roman" w:cs="Times New Roman"/>
          <w:i/>
          <w:sz w:val="24"/>
          <w:szCs w:val="24"/>
        </w:rPr>
        <w:t>her</w:t>
      </w:r>
      <w:r w:rsidR="00252112">
        <w:rPr>
          <w:rFonts w:ascii="Times New Roman" w:hAnsi="Times New Roman" w:cs="Times New Roman"/>
          <w:sz w:val="24"/>
          <w:szCs w:val="24"/>
        </w:rPr>
        <w:t xml:space="preserve">.  </w:t>
      </w:r>
      <w:r w:rsidR="00835193">
        <w:rPr>
          <w:rFonts w:ascii="Times New Roman" w:hAnsi="Times New Roman" w:cs="Times New Roman"/>
          <w:sz w:val="24"/>
          <w:szCs w:val="24"/>
        </w:rPr>
        <w:t>The CO</w:t>
      </w:r>
      <w:r w:rsidR="0096661C">
        <w:rPr>
          <w:rFonts w:ascii="Times New Roman" w:hAnsi="Times New Roman" w:cs="Times New Roman"/>
          <w:sz w:val="24"/>
          <w:szCs w:val="24"/>
        </w:rPr>
        <w:t>P</w:t>
      </w:r>
      <w:r w:rsidR="004C2A00">
        <w:rPr>
          <w:rFonts w:ascii="Times New Roman" w:hAnsi="Times New Roman" w:cs="Times New Roman"/>
          <w:sz w:val="24"/>
          <w:szCs w:val="24"/>
        </w:rPr>
        <w:t xml:space="preserve"> also usefully </w:t>
      </w:r>
      <w:r w:rsidR="00CA36FE" w:rsidRPr="00CA36FE">
        <w:rPr>
          <w:rFonts w:ascii="Times New Roman" w:hAnsi="Times New Roman" w:cs="Times New Roman"/>
          <w:sz w:val="24"/>
          <w:szCs w:val="24"/>
        </w:rPr>
        <w:t>recognises this in stating that where ‘the research involves interviews and the person has the opportunity to express their views, this could be considered a real benefi</w:t>
      </w:r>
      <w:r w:rsidR="004C2A00">
        <w:rPr>
          <w:rFonts w:ascii="Times New Roman" w:hAnsi="Times New Roman" w:cs="Times New Roman"/>
          <w:sz w:val="24"/>
          <w:szCs w:val="24"/>
        </w:rPr>
        <w:t>t to a particular individual’.</w:t>
      </w:r>
      <w:r w:rsidR="00AF394E">
        <w:rPr>
          <w:rStyle w:val="FootnoteReference"/>
          <w:rFonts w:ascii="Times New Roman" w:hAnsi="Times New Roman" w:cs="Times New Roman"/>
          <w:sz w:val="24"/>
          <w:szCs w:val="24"/>
        </w:rPr>
        <w:footnoteReference w:id="68"/>
      </w:r>
      <w:r w:rsidR="00C439EB">
        <w:rPr>
          <w:rFonts w:ascii="Times New Roman" w:hAnsi="Times New Roman" w:cs="Times New Roman"/>
          <w:sz w:val="24"/>
          <w:szCs w:val="24"/>
        </w:rPr>
        <w:t xml:space="preserve">  T</w:t>
      </w:r>
      <w:r w:rsidR="00CA36FE" w:rsidRPr="00CA36FE">
        <w:rPr>
          <w:rFonts w:ascii="Times New Roman" w:hAnsi="Times New Roman" w:cs="Times New Roman"/>
          <w:sz w:val="24"/>
          <w:szCs w:val="24"/>
        </w:rPr>
        <w:t xml:space="preserve">he </w:t>
      </w:r>
      <w:r w:rsidR="003131A4">
        <w:rPr>
          <w:rFonts w:ascii="Times New Roman" w:hAnsi="Times New Roman" w:cs="Times New Roman"/>
          <w:sz w:val="24"/>
          <w:szCs w:val="24"/>
        </w:rPr>
        <w:t xml:space="preserve">broader </w:t>
      </w:r>
      <w:r w:rsidR="00CA36FE" w:rsidRPr="00CA36FE">
        <w:rPr>
          <w:rFonts w:ascii="Times New Roman" w:hAnsi="Times New Roman" w:cs="Times New Roman"/>
          <w:sz w:val="24"/>
          <w:szCs w:val="24"/>
        </w:rPr>
        <w:t>potential benefit of allowing an incapacitated research part</w:t>
      </w:r>
      <w:r w:rsidR="00D702FF">
        <w:rPr>
          <w:rFonts w:ascii="Times New Roman" w:hAnsi="Times New Roman" w:cs="Times New Roman"/>
          <w:sz w:val="24"/>
          <w:szCs w:val="24"/>
        </w:rPr>
        <w:t xml:space="preserve">icipant to have her voice heard </w:t>
      </w:r>
      <w:r w:rsidR="00CE1E81">
        <w:rPr>
          <w:rFonts w:ascii="Times New Roman" w:hAnsi="Times New Roman" w:cs="Times New Roman"/>
          <w:sz w:val="24"/>
          <w:szCs w:val="24"/>
        </w:rPr>
        <w:t>is</w:t>
      </w:r>
      <w:r w:rsidR="00C439EB">
        <w:rPr>
          <w:rFonts w:ascii="Times New Roman" w:hAnsi="Times New Roman" w:cs="Times New Roman"/>
          <w:sz w:val="24"/>
          <w:szCs w:val="24"/>
        </w:rPr>
        <w:t xml:space="preserve">, therefore, </w:t>
      </w:r>
      <w:r w:rsidR="00CE1E81">
        <w:rPr>
          <w:rFonts w:ascii="Times New Roman" w:hAnsi="Times New Roman" w:cs="Times New Roman"/>
          <w:sz w:val="24"/>
          <w:szCs w:val="24"/>
        </w:rPr>
        <w:t>explicitly</w:t>
      </w:r>
      <w:r w:rsidR="003131A4">
        <w:rPr>
          <w:rFonts w:ascii="Times New Roman" w:hAnsi="Times New Roman" w:cs="Times New Roman"/>
          <w:sz w:val="24"/>
          <w:szCs w:val="24"/>
        </w:rPr>
        <w:t xml:space="preserve"> recognised</w:t>
      </w:r>
      <w:r w:rsidR="00C439EB">
        <w:rPr>
          <w:rFonts w:ascii="Times New Roman" w:hAnsi="Times New Roman" w:cs="Times New Roman"/>
          <w:sz w:val="24"/>
          <w:szCs w:val="24"/>
        </w:rPr>
        <w:t>.  It follows that i</w:t>
      </w:r>
      <w:r w:rsidR="003131A4">
        <w:rPr>
          <w:rFonts w:ascii="Times New Roman" w:hAnsi="Times New Roman" w:cs="Times New Roman"/>
          <w:sz w:val="24"/>
          <w:szCs w:val="24"/>
        </w:rPr>
        <w:t xml:space="preserve">n order to encourage wider participation </w:t>
      </w:r>
      <w:r w:rsidR="00CA36FE" w:rsidRPr="00CA36FE">
        <w:rPr>
          <w:rFonts w:ascii="Times New Roman" w:hAnsi="Times New Roman" w:cs="Times New Roman"/>
          <w:sz w:val="24"/>
          <w:szCs w:val="24"/>
        </w:rPr>
        <w:t>and inclusiveness,</w:t>
      </w:r>
      <w:r w:rsidR="003131A4">
        <w:rPr>
          <w:rFonts w:ascii="Times New Roman" w:hAnsi="Times New Roman" w:cs="Times New Roman"/>
          <w:sz w:val="24"/>
          <w:szCs w:val="24"/>
        </w:rPr>
        <w:t xml:space="preserve"> an expansive meaning must be ascribed to the notion of benefit</w:t>
      </w:r>
      <w:r w:rsidR="00D702FF">
        <w:rPr>
          <w:rFonts w:ascii="Times New Roman" w:hAnsi="Times New Roman" w:cs="Times New Roman"/>
          <w:sz w:val="24"/>
          <w:szCs w:val="24"/>
        </w:rPr>
        <w:t>,</w:t>
      </w:r>
      <w:r w:rsidR="003131A4">
        <w:rPr>
          <w:rFonts w:ascii="Times New Roman" w:hAnsi="Times New Roman" w:cs="Times New Roman"/>
          <w:sz w:val="24"/>
          <w:szCs w:val="24"/>
        </w:rPr>
        <w:t xml:space="preserve"> which considers</w:t>
      </w:r>
      <w:r w:rsidR="00CE1E81">
        <w:rPr>
          <w:rFonts w:ascii="Times New Roman" w:hAnsi="Times New Roman" w:cs="Times New Roman"/>
          <w:sz w:val="24"/>
          <w:szCs w:val="24"/>
        </w:rPr>
        <w:t xml:space="preserve"> a range of both objective and subjective</w:t>
      </w:r>
      <w:r w:rsidR="003131A4">
        <w:rPr>
          <w:rFonts w:ascii="Times New Roman" w:hAnsi="Times New Roman" w:cs="Times New Roman"/>
          <w:sz w:val="24"/>
          <w:szCs w:val="24"/>
        </w:rPr>
        <w:t xml:space="preserve"> factors. At this point, i</w:t>
      </w:r>
      <w:r w:rsidR="00D25816">
        <w:rPr>
          <w:rFonts w:ascii="Times New Roman" w:hAnsi="Times New Roman" w:cs="Times New Roman"/>
          <w:sz w:val="24"/>
          <w:szCs w:val="24"/>
        </w:rPr>
        <w:t xml:space="preserve">t becomes evident that the test articulated </w:t>
      </w:r>
      <w:r w:rsidR="003131A4">
        <w:rPr>
          <w:rFonts w:ascii="Times New Roman" w:hAnsi="Times New Roman" w:cs="Times New Roman"/>
          <w:sz w:val="24"/>
          <w:szCs w:val="24"/>
        </w:rPr>
        <w:t xml:space="preserve">under section 31 (5) (a) of the MCA </w:t>
      </w:r>
      <w:r w:rsidR="00D25816">
        <w:rPr>
          <w:rFonts w:ascii="Times New Roman" w:hAnsi="Times New Roman" w:cs="Times New Roman"/>
          <w:sz w:val="24"/>
          <w:szCs w:val="24"/>
        </w:rPr>
        <w:t xml:space="preserve">does not </w:t>
      </w:r>
      <w:r w:rsidR="00D25816">
        <w:rPr>
          <w:rFonts w:ascii="Times New Roman" w:hAnsi="Times New Roman" w:cs="Times New Roman"/>
          <w:sz w:val="24"/>
          <w:szCs w:val="24"/>
        </w:rPr>
        <w:lastRenderedPageBreak/>
        <w:t xml:space="preserve">represent as radical a departure </w:t>
      </w:r>
      <w:r w:rsidR="00AF394E">
        <w:rPr>
          <w:rFonts w:ascii="Times New Roman" w:hAnsi="Times New Roman" w:cs="Times New Roman"/>
          <w:sz w:val="24"/>
          <w:szCs w:val="24"/>
        </w:rPr>
        <w:t>from the best interests test as</w:t>
      </w:r>
      <w:r w:rsidR="00707540">
        <w:rPr>
          <w:rFonts w:ascii="Times New Roman" w:hAnsi="Times New Roman" w:cs="Times New Roman"/>
          <w:sz w:val="24"/>
          <w:szCs w:val="24"/>
        </w:rPr>
        <w:t xml:space="preserve"> some may have </w:t>
      </w:r>
      <w:r w:rsidR="00C439EB">
        <w:rPr>
          <w:rFonts w:ascii="Times New Roman" w:hAnsi="Times New Roman" w:cs="Times New Roman"/>
          <w:sz w:val="24"/>
          <w:szCs w:val="24"/>
        </w:rPr>
        <w:t>envisaged</w:t>
      </w:r>
      <w:r w:rsidR="00D25816">
        <w:rPr>
          <w:rFonts w:ascii="Times New Roman" w:hAnsi="Times New Roman" w:cs="Times New Roman"/>
          <w:sz w:val="24"/>
          <w:szCs w:val="24"/>
        </w:rPr>
        <w:t>.</w:t>
      </w:r>
      <w:r w:rsidR="00AF394E">
        <w:rPr>
          <w:rStyle w:val="FootnoteReference"/>
          <w:rFonts w:ascii="Times New Roman" w:hAnsi="Times New Roman" w:cs="Times New Roman"/>
          <w:sz w:val="24"/>
          <w:szCs w:val="24"/>
        </w:rPr>
        <w:footnoteReference w:id="69"/>
      </w:r>
      <w:r w:rsidR="00C439EB">
        <w:rPr>
          <w:rFonts w:ascii="Times New Roman" w:hAnsi="Times New Roman" w:cs="Times New Roman"/>
          <w:sz w:val="24"/>
          <w:szCs w:val="24"/>
        </w:rPr>
        <w:t xml:space="preserve">  T</w:t>
      </w:r>
      <w:r w:rsidR="00707540">
        <w:rPr>
          <w:rFonts w:ascii="Times New Roman" w:hAnsi="Times New Roman" w:cs="Times New Roman"/>
          <w:sz w:val="24"/>
          <w:szCs w:val="24"/>
        </w:rPr>
        <w:t xml:space="preserve">he threshold for approval is not in reality raised, </w:t>
      </w:r>
      <w:r w:rsidR="006C6554">
        <w:rPr>
          <w:rFonts w:ascii="Times New Roman" w:hAnsi="Times New Roman" w:cs="Times New Roman"/>
          <w:sz w:val="24"/>
          <w:szCs w:val="24"/>
        </w:rPr>
        <w:t xml:space="preserve">because it </w:t>
      </w:r>
      <w:r w:rsidR="00AF394E">
        <w:rPr>
          <w:rFonts w:ascii="Times New Roman" w:hAnsi="Times New Roman" w:cs="Times New Roman"/>
          <w:sz w:val="24"/>
          <w:szCs w:val="24"/>
        </w:rPr>
        <w:t>do</w:t>
      </w:r>
      <w:r w:rsidR="006C6554">
        <w:rPr>
          <w:rFonts w:ascii="Times New Roman" w:hAnsi="Times New Roman" w:cs="Times New Roman"/>
          <w:sz w:val="24"/>
          <w:szCs w:val="24"/>
        </w:rPr>
        <w:t>es</w:t>
      </w:r>
      <w:r w:rsidR="00AF394E">
        <w:rPr>
          <w:rFonts w:ascii="Times New Roman" w:hAnsi="Times New Roman" w:cs="Times New Roman"/>
          <w:sz w:val="24"/>
          <w:szCs w:val="24"/>
        </w:rPr>
        <w:t xml:space="preserve"> </w:t>
      </w:r>
      <w:r w:rsidR="006C6554">
        <w:rPr>
          <w:rFonts w:ascii="Times New Roman" w:hAnsi="Times New Roman" w:cs="Times New Roman"/>
          <w:sz w:val="24"/>
          <w:szCs w:val="24"/>
        </w:rPr>
        <w:t xml:space="preserve">not demand proof of a higher objective </w:t>
      </w:r>
      <w:r w:rsidR="00F76A48">
        <w:rPr>
          <w:rFonts w:ascii="Times New Roman" w:hAnsi="Times New Roman" w:cs="Times New Roman"/>
          <w:sz w:val="24"/>
          <w:szCs w:val="24"/>
        </w:rPr>
        <w:t>level of benefit</w:t>
      </w:r>
      <w:r w:rsidR="006C6554">
        <w:rPr>
          <w:rFonts w:ascii="Times New Roman" w:hAnsi="Times New Roman" w:cs="Times New Roman"/>
          <w:sz w:val="24"/>
          <w:szCs w:val="24"/>
        </w:rPr>
        <w:t xml:space="preserve"> to be present</w:t>
      </w:r>
      <w:r w:rsidR="00F76A48">
        <w:rPr>
          <w:rFonts w:ascii="Times New Roman" w:hAnsi="Times New Roman" w:cs="Times New Roman"/>
          <w:sz w:val="24"/>
          <w:szCs w:val="24"/>
        </w:rPr>
        <w:t xml:space="preserve">.  It simply </w:t>
      </w:r>
      <w:r w:rsidR="006C6554">
        <w:rPr>
          <w:rFonts w:ascii="Times New Roman" w:hAnsi="Times New Roman" w:cs="Times New Roman"/>
          <w:sz w:val="24"/>
          <w:szCs w:val="24"/>
        </w:rPr>
        <w:t xml:space="preserve">requires </w:t>
      </w:r>
      <w:r w:rsidR="00F76A48">
        <w:rPr>
          <w:rFonts w:ascii="Times New Roman" w:hAnsi="Times New Roman" w:cs="Times New Roman"/>
          <w:sz w:val="24"/>
          <w:szCs w:val="24"/>
        </w:rPr>
        <w:t>that a balancing exercise is undertaken</w:t>
      </w:r>
      <w:r w:rsidR="0081049A">
        <w:rPr>
          <w:rFonts w:ascii="Times New Roman" w:hAnsi="Times New Roman" w:cs="Times New Roman"/>
          <w:sz w:val="24"/>
          <w:szCs w:val="24"/>
        </w:rPr>
        <w:t xml:space="preserve"> which </w:t>
      </w:r>
      <w:r w:rsidR="00216506">
        <w:rPr>
          <w:rFonts w:ascii="Times New Roman" w:hAnsi="Times New Roman" w:cs="Times New Roman"/>
          <w:sz w:val="24"/>
          <w:szCs w:val="24"/>
        </w:rPr>
        <w:t xml:space="preserve">necessitates </w:t>
      </w:r>
      <w:r w:rsidR="0081049A">
        <w:rPr>
          <w:rFonts w:ascii="Times New Roman" w:hAnsi="Times New Roman" w:cs="Times New Roman"/>
          <w:sz w:val="24"/>
          <w:szCs w:val="24"/>
        </w:rPr>
        <w:t>a comparative weighing of benefits versus burdens.</w:t>
      </w:r>
      <w:r w:rsidR="0093164F">
        <w:rPr>
          <w:rStyle w:val="FootnoteReference"/>
          <w:rFonts w:ascii="Times New Roman" w:hAnsi="Times New Roman" w:cs="Times New Roman"/>
          <w:sz w:val="24"/>
          <w:szCs w:val="24"/>
        </w:rPr>
        <w:footnoteReference w:id="70"/>
      </w:r>
      <w:r w:rsidR="0081049A">
        <w:rPr>
          <w:rFonts w:ascii="Times New Roman" w:hAnsi="Times New Roman" w:cs="Times New Roman"/>
          <w:sz w:val="24"/>
          <w:szCs w:val="24"/>
        </w:rPr>
        <w:t xml:space="preserve">  Provided there is some potential benefit to a participant, and provided any associated burden is not disproportionate</w:t>
      </w:r>
      <w:r w:rsidR="00216506">
        <w:rPr>
          <w:rFonts w:ascii="Times New Roman" w:hAnsi="Times New Roman" w:cs="Times New Roman"/>
          <w:sz w:val="24"/>
          <w:szCs w:val="24"/>
        </w:rPr>
        <w:t xml:space="preserve"> to that benefit, the standard </w:t>
      </w:r>
      <w:r w:rsidR="0081049A">
        <w:rPr>
          <w:rFonts w:ascii="Times New Roman" w:hAnsi="Times New Roman" w:cs="Times New Roman"/>
          <w:sz w:val="24"/>
          <w:szCs w:val="24"/>
        </w:rPr>
        <w:t>will be</w:t>
      </w:r>
      <w:r w:rsidR="00252112">
        <w:rPr>
          <w:rFonts w:ascii="Times New Roman" w:hAnsi="Times New Roman" w:cs="Times New Roman"/>
          <w:sz w:val="24"/>
          <w:szCs w:val="24"/>
        </w:rPr>
        <w:t xml:space="preserve"> satisfied</w:t>
      </w:r>
      <w:r w:rsidR="0081049A">
        <w:rPr>
          <w:rFonts w:ascii="Times New Roman" w:hAnsi="Times New Roman" w:cs="Times New Roman"/>
          <w:sz w:val="24"/>
          <w:szCs w:val="24"/>
        </w:rPr>
        <w:t>.</w:t>
      </w:r>
      <w:r w:rsidR="0093164F">
        <w:rPr>
          <w:rStyle w:val="FootnoteReference"/>
          <w:rFonts w:ascii="Times New Roman" w:hAnsi="Times New Roman" w:cs="Times New Roman"/>
          <w:sz w:val="24"/>
          <w:szCs w:val="24"/>
        </w:rPr>
        <w:footnoteReference w:id="71"/>
      </w:r>
      <w:r w:rsidR="002E2DFB">
        <w:rPr>
          <w:rFonts w:ascii="Times New Roman" w:hAnsi="Times New Roman" w:cs="Times New Roman"/>
          <w:sz w:val="24"/>
          <w:szCs w:val="24"/>
        </w:rPr>
        <w:t xml:space="preserve">  T</w:t>
      </w:r>
      <w:r w:rsidR="0081049A">
        <w:rPr>
          <w:rFonts w:ascii="Times New Roman" w:hAnsi="Times New Roman" w:cs="Times New Roman"/>
          <w:sz w:val="24"/>
          <w:szCs w:val="24"/>
        </w:rPr>
        <w:t>he correct approach is</w:t>
      </w:r>
      <w:r w:rsidR="002E2DFB">
        <w:rPr>
          <w:rFonts w:ascii="Times New Roman" w:hAnsi="Times New Roman" w:cs="Times New Roman"/>
          <w:sz w:val="24"/>
          <w:szCs w:val="24"/>
        </w:rPr>
        <w:t xml:space="preserve">, thus, </w:t>
      </w:r>
      <w:r w:rsidR="0081049A">
        <w:rPr>
          <w:rFonts w:ascii="Times New Roman" w:hAnsi="Times New Roman" w:cs="Times New Roman"/>
          <w:sz w:val="24"/>
          <w:szCs w:val="24"/>
        </w:rPr>
        <w:t xml:space="preserve">to consider both objective and subjective considerations in this assessment and, where this is acknowledged, the balancing exercise </w:t>
      </w:r>
      <w:r w:rsidR="00377B9A">
        <w:rPr>
          <w:rFonts w:ascii="Times New Roman" w:hAnsi="Times New Roman" w:cs="Times New Roman"/>
          <w:sz w:val="24"/>
          <w:szCs w:val="24"/>
        </w:rPr>
        <w:t>performed</w:t>
      </w:r>
      <w:r w:rsidR="0081049A">
        <w:rPr>
          <w:rFonts w:ascii="Times New Roman" w:hAnsi="Times New Roman" w:cs="Times New Roman"/>
          <w:sz w:val="24"/>
          <w:szCs w:val="24"/>
        </w:rPr>
        <w:t xml:space="preserve"> in the assessment </w:t>
      </w:r>
      <w:r w:rsidR="00377B9A">
        <w:rPr>
          <w:rFonts w:ascii="Times New Roman" w:hAnsi="Times New Roman" w:cs="Times New Roman"/>
          <w:sz w:val="24"/>
          <w:szCs w:val="24"/>
        </w:rPr>
        <w:t>of research</w:t>
      </w:r>
      <w:r w:rsidR="002E2DFB">
        <w:rPr>
          <w:rFonts w:ascii="Times New Roman" w:hAnsi="Times New Roman" w:cs="Times New Roman"/>
          <w:sz w:val="24"/>
          <w:szCs w:val="24"/>
        </w:rPr>
        <w:t xml:space="preserve"> under section 31 (5) (a)</w:t>
      </w:r>
      <w:r w:rsidR="00216506">
        <w:rPr>
          <w:rFonts w:ascii="Times New Roman" w:hAnsi="Times New Roman" w:cs="Times New Roman"/>
          <w:sz w:val="24"/>
          <w:szCs w:val="24"/>
        </w:rPr>
        <w:t xml:space="preserve">, and the factors </w:t>
      </w:r>
      <w:r w:rsidR="00377B9A">
        <w:rPr>
          <w:rFonts w:ascii="Times New Roman" w:hAnsi="Times New Roman" w:cs="Times New Roman"/>
          <w:sz w:val="24"/>
          <w:szCs w:val="24"/>
        </w:rPr>
        <w:t xml:space="preserve">that should </w:t>
      </w:r>
      <w:r w:rsidR="00216506">
        <w:rPr>
          <w:rFonts w:ascii="Times New Roman" w:hAnsi="Times New Roman" w:cs="Times New Roman"/>
          <w:sz w:val="24"/>
          <w:szCs w:val="24"/>
        </w:rPr>
        <w:t xml:space="preserve">be included therein, </w:t>
      </w:r>
      <w:r w:rsidR="002E2DFB">
        <w:rPr>
          <w:rFonts w:ascii="Times New Roman" w:hAnsi="Times New Roman" w:cs="Times New Roman"/>
          <w:sz w:val="24"/>
          <w:szCs w:val="24"/>
        </w:rPr>
        <w:t xml:space="preserve">is closely aligned </w:t>
      </w:r>
      <w:r w:rsidR="00216506">
        <w:rPr>
          <w:rFonts w:ascii="Times New Roman" w:hAnsi="Times New Roman" w:cs="Times New Roman"/>
          <w:sz w:val="24"/>
          <w:szCs w:val="24"/>
        </w:rPr>
        <w:t xml:space="preserve">to </w:t>
      </w:r>
      <w:r w:rsidR="00E8376E">
        <w:rPr>
          <w:rFonts w:ascii="Times New Roman" w:hAnsi="Times New Roman" w:cs="Times New Roman"/>
          <w:sz w:val="24"/>
          <w:szCs w:val="24"/>
        </w:rPr>
        <w:t>the manner in w</w:t>
      </w:r>
      <w:r w:rsidR="002E2DFB">
        <w:rPr>
          <w:rFonts w:ascii="Times New Roman" w:hAnsi="Times New Roman" w:cs="Times New Roman"/>
          <w:sz w:val="24"/>
          <w:szCs w:val="24"/>
        </w:rPr>
        <w:t xml:space="preserve">hich </w:t>
      </w:r>
      <w:r w:rsidR="00E8376E">
        <w:rPr>
          <w:rFonts w:ascii="Times New Roman" w:hAnsi="Times New Roman" w:cs="Times New Roman"/>
          <w:sz w:val="24"/>
          <w:szCs w:val="24"/>
        </w:rPr>
        <w:t xml:space="preserve">best interests assessments </w:t>
      </w:r>
      <w:r w:rsidR="002E2DFB">
        <w:rPr>
          <w:rFonts w:ascii="Times New Roman" w:hAnsi="Times New Roman" w:cs="Times New Roman"/>
          <w:sz w:val="24"/>
          <w:szCs w:val="24"/>
        </w:rPr>
        <w:t xml:space="preserve">should be </w:t>
      </w:r>
      <w:r w:rsidR="00E8376E">
        <w:rPr>
          <w:rFonts w:ascii="Times New Roman" w:hAnsi="Times New Roman" w:cs="Times New Roman"/>
          <w:sz w:val="24"/>
          <w:szCs w:val="24"/>
        </w:rPr>
        <w:t>performed.</w:t>
      </w:r>
      <w:r w:rsidR="00322BD8">
        <w:rPr>
          <w:rStyle w:val="FootnoteReference"/>
          <w:rFonts w:ascii="Times New Roman" w:hAnsi="Times New Roman" w:cs="Times New Roman"/>
          <w:sz w:val="24"/>
          <w:szCs w:val="24"/>
        </w:rPr>
        <w:footnoteReference w:id="72"/>
      </w:r>
    </w:p>
    <w:p w14:paraId="1DC920E1" w14:textId="77777777" w:rsidR="00194A3D" w:rsidRDefault="00194A3D" w:rsidP="00194A3D">
      <w:pPr>
        <w:spacing w:after="0" w:line="240" w:lineRule="auto"/>
        <w:jc w:val="both"/>
        <w:rPr>
          <w:rFonts w:ascii="Times New Roman" w:hAnsi="Times New Roman" w:cs="Times New Roman"/>
          <w:sz w:val="24"/>
          <w:szCs w:val="24"/>
        </w:rPr>
      </w:pPr>
    </w:p>
    <w:p w14:paraId="47FF0F2F" w14:textId="2B0EB2FE" w:rsidR="00D25D8E" w:rsidRPr="00D25D8E" w:rsidRDefault="00D25D8E" w:rsidP="007A5A88">
      <w:pPr>
        <w:spacing w:after="0" w:line="360" w:lineRule="auto"/>
        <w:jc w:val="both"/>
        <w:rPr>
          <w:rFonts w:ascii="Times New Roman" w:hAnsi="Times New Roman" w:cs="Times New Roman"/>
          <w:b/>
          <w:i/>
          <w:sz w:val="24"/>
          <w:szCs w:val="24"/>
        </w:rPr>
      </w:pPr>
      <w:r w:rsidRPr="00D25D8E">
        <w:rPr>
          <w:rFonts w:ascii="Times New Roman" w:hAnsi="Times New Roman" w:cs="Times New Roman"/>
          <w:b/>
          <w:i/>
          <w:sz w:val="24"/>
          <w:szCs w:val="24"/>
        </w:rPr>
        <w:t xml:space="preserve">ii) </w:t>
      </w:r>
      <w:r w:rsidR="00CE40B6">
        <w:rPr>
          <w:rFonts w:ascii="Times New Roman" w:hAnsi="Times New Roman" w:cs="Times New Roman"/>
          <w:b/>
          <w:i/>
          <w:sz w:val="24"/>
          <w:szCs w:val="24"/>
        </w:rPr>
        <w:t>Recognition of</w:t>
      </w:r>
      <w:r w:rsidR="00432BFC">
        <w:rPr>
          <w:rFonts w:ascii="Times New Roman" w:hAnsi="Times New Roman" w:cs="Times New Roman"/>
          <w:b/>
          <w:i/>
          <w:sz w:val="24"/>
          <w:szCs w:val="24"/>
        </w:rPr>
        <w:t xml:space="preserve"> Wider Societal Benefits (Section 31 (5) (b</w:t>
      </w:r>
      <w:r w:rsidR="00432BFC" w:rsidRPr="00432BFC">
        <w:rPr>
          <w:rFonts w:ascii="Times New Roman" w:hAnsi="Times New Roman" w:cs="Times New Roman"/>
          <w:b/>
          <w:i/>
          <w:sz w:val="24"/>
          <w:szCs w:val="24"/>
        </w:rPr>
        <w:t>))</w:t>
      </w:r>
    </w:p>
    <w:p w14:paraId="1EF667CD" w14:textId="77777777" w:rsidR="00D702FF" w:rsidRDefault="00C94CE2" w:rsidP="004806FF">
      <w:pPr>
        <w:spacing w:after="0" w:line="360" w:lineRule="auto"/>
        <w:jc w:val="both"/>
        <w:rPr>
          <w:rFonts w:ascii="Times New Roman" w:hAnsi="Times New Roman" w:cs="Times New Roman"/>
          <w:sz w:val="24"/>
          <w:szCs w:val="24"/>
        </w:rPr>
      </w:pPr>
      <w:r w:rsidRPr="002F6A38">
        <w:rPr>
          <w:rFonts w:ascii="Times New Roman" w:hAnsi="Times New Roman" w:cs="Times New Roman"/>
          <w:sz w:val="24"/>
          <w:szCs w:val="24"/>
        </w:rPr>
        <w:t>Where a rese</w:t>
      </w:r>
      <w:r w:rsidR="00867BC6">
        <w:rPr>
          <w:rFonts w:ascii="Times New Roman" w:hAnsi="Times New Roman" w:cs="Times New Roman"/>
          <w:sz w:val="24"/>
          <w:szCs w:val="24"/>
        </w:rPr>
        <w:t xml:space="preserve">arch project will not confer either a </w:t>
      </w:r>
      <w:r w:rsidRPr="002F6A38">
        <w:rPr>
          <w:rFonts w:ascii="Times New Roman" w:hAnsi="Times New Roman" w:cs="Times New Roman"/>
          <w:sz w:val="24"/>
          <w:szCs w:val="24"/>
        </w:rPr>
        <w:t>direct or indirect benefit on an incapacitated participant under section 31 (5) (a)</w:t>
      </w:r>
      <w:r w:rsidR="00A9631C">
        <w:rPr>
          <w:rFonts w:ascii="Times New Roman" w:hAnsi="Times New Roman" w:cs="Times New Roman"/>
          <w:sz w:val="24"/>
          <w:szCs w:val="24"/>
        </w:rPr>
        <w:t xml:space="preserve"> of the MCA</w:t>
      </w:r>
      <w:r w:rsidRPr="002F6A38">
        <w:rPr>
          <w:rFonts w:ascii="Times New Roman" w:hAnsi="Times New Roman" w:cs="Times New Roman"/>
          <w:sz w:val="24"/>
          <w:szCs w:val="24"/>
        </w:rPr>
        <w:t>, it may still nonetheless be approve</w:t>
      </w:r>
      <w:r>
        <w:rPr>
          <w:rFonts w:ascii="Times New Roman" w:hAnsi="Times New Roman" w:cs="Times New Roman"/>
          <w:sz w:val="24"/>
          <w:szCs w:val="24"/>
        </w:rPr>
        <w:t>d under section 31 (5) (b).</w:t>
      </w:r>
      <w:r w:rsidR="00673D81">
        <w:rPr>
          <w:rStyle w:val="FootnoteReference"/>
          <w:rFonts w:ascii="Times New Roman" w:hAnsi="Times New Roman" w:cs="Times New Roman"/>
          <w:sz w:val="24"/>
          <w:szCs w:val="24"/>
        </w:rPr>
        <w:footnoteReference w:id="73"/>
      </w:r>
      <w:r w:rsidR="00867BC6">
        <w:rPr>
          <w:rFonts w:ascii="Times New Roman" w:hAnsi="Times New Roman" w:cs="Times New Roman"/>
          <w:sz w:val="24"/>
          <w:szCs w:val="24"/>
        </w:rPr>
        <w:t xml:space="preserve">  Under this section, </w:t>
      </w:r>
      <w:r w:rsidRPr="002F6A38">
        <w:rPr>
          <w:rFonts w:ascii="Times New Roman" w:hAnsi="Times New Roman" w:cs="Times New Roman"/>
          <w:sz w:val="24"/>
          <w:szCs w:val="24"/>
        </w:rPr>
        <w:t>the emphasis switches to an assessment of</w:t>
      </w:r>
      <w:r w:rsidR="00867BC6">
        <w:rPr>
          <w:rFonts w:ascii="Times New Roman" w:hAnsi="Times New Roman" w:cs="Times New Roman"/>
          <w:sz w:val="24"/>
          <w:szCs w:val="24"/>
        </w:rPr>
        <w:t xml:space="preserve"> whether or not the research is</w:t>
      </w:r>
      <w:r w:rsidR="00867BC6" w:rsidRPr="00867BC6">
        <w:rPr>
          <w:rFonts w:ascii="Times New Roman" w:hAnsi="Times New Roman" w:cs="Times New Roman"/>
          <w:sz w:val="24"/>
          <w:szCs w:val="24"/>
        </w:rPr>
        <w:t xml:space="preserve"> intended to provide knowledge of the causes or treatment of, or of the care of persons affected by, </w:t>
      </w:r>
      <w:r w:rsidR="00867BC6">
        <w:rPr>
          <w:rFonts w:ascii="Times New Roman" w:hAnsi="Times New Roman" w:cs="Times New Roman"/>
          <w:sz w:val="24"/>
          <w:szCs w:val="24"/>
        </w:rPr>
        <w:t>the same or a similar condition to that of the participant.</w:t>
      </w:r>
      <w:r w:rsidR="00673D81">
        <w:rPr>
          <w:rStyle w:val="FootnoteReference"/>
          <w:rFonts w:ascii="Times New Roman" w:hAnsi="Times New Roman" w:cs="Times New Roman"/>
          <w:sz w:val="24"/>
          <w:szCs w:val="24"/>
        </w:rPr>
        <w:footnoteReference w:id="74"/>
      </w:r>
      <w:r w:rsidR="00867BC6">
        <w:rPr>
          <w:rFonts w:ascii="Times New Roman" w:hAnsi="Times New Roman" w:cs="Times New Roman"/>
          <w:sz w:val="24"/>
          <w:szCs w:val="24"/>
        </w:rPr>
        <w:t xml:space="preserve">  </w:t>
      </w:r>
      <w:r w:rsidR="00A9631C">
        <w:rPr>
          <w:rFonts w:ascii="Times New Roman" w:hAnsi="Times New Roman" w:cs="Times New Roman"/>
          <w:sz w:val="24"/>
          <w:szCs w:val="24"/>
        </w:rPr>
        <w:t xml:space="preserve">On the basis that this </w:t>
      </w:r>
      <w:r w:rsidR="001D6DC8">
        <w:rPr>
          <w:rFonts w:ascii="Times New Roman" w:hAnsi="Times New Roman" w:cs="Times New Roman"/>
          <w:sz w:val="24"/>
          <w:szCs w:val="24"/>
        </w:rPr>
        <w:t xml:space="preserve">provision </w:t>
      </w:r>
      <w:r w:rsidR="002F6A38" w:rsidRPr="002F6A38">
        <w:rPr>
          <w:rFonts w:ascii="Times New Roman" w:hAnsi="Times New Roman" w:cs="Times New Roman"/>
          <w:sz w:val="24"/>
          <w:szCs w:val="24"/>
        </w:rPr>
        <w:t>invites some consideration of</w:t>
      </w:r>
      <w:r w:rsidR="00DE6A34">
        <w:rPr>
          <w:rFonts w:ascii="Times New Roman" w:hAnsi="Times New Roman" w:cs="Times New Roman"/>
          <w:sz w:val="24"/>
          <w:szCs w:val="24"/>
        </w:rPr>
        <w:t xml:space="preserve"> the impact of the research on </w:t>
      </w:r>
      <w:r w:rsidR="002F6A38" w:rsidRPr="002F6A38">
        <w:rPr>
          <w:rFonts w:ascii="Times New Roman" w:hAnsi="Times New Roman" w:cs="Times New Roman"/>
          <w:sz w:val="24"/>
          <w:szCs w:val="24"/>
        </w:rPr>
        <w:t>individuals other than the inc</w:t>
      </w:r>
      <w:r w:rsidR="005E1B10">
        <w:rPr>
          <w:rFonts w:ascii="Times New Roman" w:hAnsi="Times New Roman" w:cs="Times New Roman"/>
          <w:sz w:val="24"/>
          <w:szCs w:val="24"/>
        </w:rPr>
        <w:t>apacitated particip</w:t>
      </w:r>
      <w:r w:rsidR="001D6DC8">
        <w:rPr>
          <w:rFonts w:ascii="Times New Roman" w:hAnsi="Times New Roman" w:cs="Times New Roman"/>
          <w:sz w:val="24"/>
          <w:szCs w:val="24"/>
        </w:rPr>
        <w:t>ant herself, a more visible de</w:t>
      </w:r>
      <w:r w:rsidR="004B12D6">
        <w:rPr>
          <w:rFonts w:ascii="Times New Roman" w:hAnsi="Times New Roman" w:cs="Times New Roman"/>
          <w:sz w:val="24"/>
          <w:szCs w:val="24"/>
        </w:rPr>
        <w:t xml:space="preserve">parture from best interests may initially be </w:t>
      </w:r>
      <w:r w:rsidR="001D6DC8">
        <w:rPr>
          <w:rFonts w:ascii="Times New Roman" w:hAnsi="Times New Roman" w:cs="Times New Roman"/>
          <w:sz w:val="24"/>
          <w:szCs w:val="24"/>
        </w:rPr>
        <w:t xml:space="preserve">apparent here.  </w:t>
      </w:r>
    </w:p>
    <w:p w14:paraId="6DF8E243" w14:textId="5B9DA2C4" w:rsidR="00FD4988" w:rsidRDefault="00D702FF" w:rsidP="004806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14F2">
        <w:rPr>
          <w:rFonts w:ascii="Times New Roman" w:hAnsi="Times New Roman" w:cs="Times New Roman"/>
          <w:sz w:val="24"/>
          <w:szCs w:val="24"/>
        </w:rPr>
        <w:t>A</w:t>
      </w:r>
      <w:r w:rsidR="00DE6A34">
        <w:rPr>
          <w:rFonts w:ascii="Times New Roman" w:hAnsi="Times New Roman" w:cs="Times New Roman"/>
          <w:sz w:val="24"/>
          <w:szCs w:val="24"/>
        </w:rPr>
        <w:t xml:space="preserve"> conventional </w:t>
      </w:r>
      <w:r w:rsidR="002F6A38" w:rsidRPr="002F6A38">
        <w:rPr>
          <w:rFonts w:ascii="Times New Roman" w:hAnsi="Times New Roman" w:cs="Times New Roman"/>
          <w:sz w:val="24"/>
          <w:szCs w:val="24"/>
        </w:rPr>
        <w:t xml:space="preserve">best interests decision must be made by reference to what is in the best interests of </w:t>
      </w:r>
      <w:r w:rsidR="00087958">
        <w:rPr>
          <w:rFonts w:ascii="Times New Roman" w:hAnsi="Times New Roman" w:cs="Times New Roman"/>
          <w:sz w:val="24"/>
          <w:szCs w:val="24"/>
        </w:rPr>
        <w:t xml:space="preserve">a </w:t>
      </w:r>
      <w:r w:rsidR="002F6A38" w:rsidRPr="002F6A38">
        <w:rPr>
          <w:rFonts w:ascii="Times New Roman" w:hAnsi="Times New Roman" w:cs="Times New Roman"/>
          <w:sz w:val="24"/>
          <w:szCs w:val="24"/>
        </w:rPr>
        <w:t>particular individual,</w:t>
      </w:r>
      <w:r w:rsidR="00087958">
        <w:rPr>
          <w:rFonts w:ascii="Times New Roman" w:hAnsi="Times New Roman" w:cs="Times New Roman"/>
          <w:sz w:val="24"/>
          <w:szCs w:val="24"/>
        </w:rPr>
        <w:t xml:space="preserve"> but section 31 (5) (b) </w:t>
      </w:r>
      <w:r w:rsidR="00DE6A34">
        <w:rPr>
          <w:rFonts w:ascii="Times New Roman" w:hAnsi="Times New Roman" w:cs="Times New Roman"/>
          <w:sz w:val="24"/>
          <w:szCs w:val="24"/>
        </w:rPr>
        <w:t xml:space="preserve">actually </w:t>
      </w:r>
      <w:r w:rsidR="00CA254E">
        <w:rPr>
          <w:rFonts w:ascii="Times New Roman" w:hAnsi="Times New Roman" w:cs="Times New Roman"/>
          <w:sz w:val="24"/>
          <w:szCs w:val="24"/>
        </w:rPr>
        <w:t xml:space="preserve">requires </w:t>
      </w:r>
      <w:r w:rsidR="00087958">
        <w:rPr>
          <w:rFonts w:ascii="Times New Roman" w:hAnsi="Times New Roman" w:cs="Times New Roman"/>
          <w:sz w:val="24"/>
          <w:szCs w:val="24"/>
        </w:rPr>
        <w:t>the opposite.</w:t>
      </w:r>
      <w:r w:rsidR="0078107F">
        <w:rPr>
          <w:rStyle w:val="FootnoteReference"/>
          <w:rFonts w:ascii="Times New Roman" w:hAnsi="Times New Roman" w:cs="Times New Roman"/>
          <w:sz w:val="24"/>
          <w:szCs w:val="24"/>
        </w:rPr>
        <w:footnoteReference w:id="75"/>
      </w:r>
      <w:r w:rsidR="00087958">
        <w:rPr>
          <w:rFonts w:ascii="Times New Roman" w:hAnsi="Times New Roman" w:cs="Times New Roman"/>
          <w:sz w:val="24"/>
          <w:szCs w:val="24"/>
        </w:rPr>
        <w:t xml:space="preserve">  It distances </w:t>
      </w:r>
      <w:r w:rsidR="002F6A38" w:rsidRPr="002F6A38">
        <w:rPr>
          <w:rFonts w:ascii="Times New Roman" w:hAnsi="Times New Roman" w:cs="Times New Roman"/>
          <w:sz w:val="24"/>
          <w:szCs w:val="24"/>
        </w:rPr>
        <w:t xml:space="preserve">itself from analysing matters from the subjective perspective of </w:t>
      </w:r>
      <w:r w:rsidR="00DE6A34">
        <w:rPr>
          <w:rFonts w:ascii="Times New Roman" w:hAnsi="Times New Roman" w:cs="Times New Roman"/>
          <w:sz w:val="24"/>
          <w:szCs w:val="24"/>
        </w:rPr>
        <w:t>a would-be participant and</w:t>
      </w:r>
      <w:r w:rsidR="00087958">
        <w:rPr>
          <w:rFonts w:ascii="Times New Roman" w:hAnsi="Times New Roman" w:cs="Times New Roman"/>
          <w:sz w:val="24"/>
          <w:szCs w:val="24"/>
        </w:rPr>
        <w:t xml:space="preserve"> instructs an assessor to turn her attention </w:t>
      </w:r>
      <w:r w:rsidR="001D67E7">
        <w:rPr>
          <w:rFonts w:ascii="Times New Roman" w:hAnsi="Times New Roman" w:cs="Times New Roman"/>
          <w:sz w:val="24"/>
          <w:szCs w:val="24"/>
        </w:rPr>
        <w:t xml:space="preserve">to </w:t>
      </w:r>
      <w:r w:rsidR="002F6A38" w:rsidRPr="002F6A38">
        <w:rPr>
          <w:rFonts w:ascii="Times New Roman" w:hAnsi="Times New Roman" w:cs="Times New Roman"/>
          <w:sz w:val="24"/>
          <w:szCs w:val="24"/>
        </w:rPr>
        <w:t>a</w:t>
      </w:r>
      <w:r w:rsidR="00DE6A34">
        <w:rPr>
          <w:rFonts w:ascii="Times New Roman" w:hAnsi="Times New Roman" w:cs="Times New Roman"/>
          <w:sz w:val="24"/>
          <w:szCs w:val="24"/>
        </w:rPr>
        <w:t>ny</w:t>
      </w:r>
      <w:r w:rsidR="009D7FDF">
        <w:rPr>
          <w:rFonts w:ascii="Times New Roman" w:hAnsi="Times New Roman" w:cs="Times New Roman"/>
          <w:sz w:val="24"/>
          <w:szCs w:val="24"/>
        </w:rPr>
        <w:t xml:space="preserve"> potential </w:t>
      </w:r>
      <w:r w:rsidR="001D6DC8">
        <w:rPr>
          <w:rFonts w:ascii="Times New Roman" w:hAnsi="Times New Roman" w:cs="Times New Roman"/>
          <w:sz w:val="24"/>
          <w:szCs w:val="24"/>
        </w:rPr>
        <w:t xml:space="preserve">knowledge </w:t>
      </w:r>
      <w:r w:rsidR="004B12D6">
        <w:rPr>
          <w:rFonts w:ascii="Times New Roman" w:hAnsi="Times New Roman" w:cs="Times New Roman"/>
          <w:sz w:val="24"/>
          <w:szCs w:val="24"/>
        </w:rPr>
        <w:t>that</w:t>
      </w:r>
      <w:r w:rsidR="00673D81">
        <w:rPr>
          <w:rFonts w:ascii="Times New Roman" w:hAnsi="Times New Roman" w:cs="Times New Roman"/>
          <w:sz w:val="24"/>
          <w:szCs w:val="24"/>
        </w:rPr>
        <w:t xml:space="preserve"> could be gained from </w:t>
      </w:r>
      <w:r w:rsidR="009D7FDF">
        <w:rPr>
          <w:rFonts w:ascii="Times New Roman" w:hAnsi="Times New Roman" w:cs="Times New Roman"/>
          <w:sz w:val="24"/>
          <w:szCs w:val="24"/>
        </w:rPr>
        <w:t xml:space="preserve">research that may be useful to </w:t>
      </w:r>
      <w:r w:rsidR="00FB6B15">
        <w:rPr>
          <w:rFonts w:ascii="Times New Roman" w:hAnsi="Times New Roman" w:cs="Times New Roman"/>
          <w:sz w:val="24"/>
          <w:szCs w:val="24"/>
        </w:rPr>
        <w:t xml:space="preserve">wider </w:t>
      </w:r>
      <w:r w:rsidR="00087958">
        <w:rPr>
          <w:rFonts w:ascii="Times New Roman" w:hAnsi="Times New Roman" w:cs="Times New Roman"/>
          <w:sz w:val="24"/>
          <w:szCs w:val="24"/>
        </w:rPr>
        <w:t xml:space="preserve">members of </w:t>
      </w:r>
      <w:r w:rsidR="009D7FDF">
        <w:rPr>
          <w:rFonts w:ascii="Times New Roman" w:hAnsi="Times New Roman" w:cs="Times New Roman"/>
          <w:sz w:val="24"/>
          <w:szCs w:val="24"/>
        </w:rPr>
        <w:t>society</w:t>
      </w:r>
      <w:r w:rsidR="002F6A38" w:rsidRPr="002F6A38">
        <w:rPr>
          <w:rFonts w:ascii="Times New Roman" w:hAnsi="Times New Roman" w:cs="Times New Roman"/>
          <w:sz w:val="24"/>
          <w:szCs w:val="24"/>
        </w:rPr>
        <w:t>.</w:t>
      </w:r>
      <w:r w:rsidR="00673D81">
        <w:rPr>
          <w:rStyle w:val="FootnoteReference"/>
          <w:rFonts w:ascii="Times New Roman" w:hAnsi="Times New Roman" w:cs="Times New Roman"/>
          <w:sz w:val="24"/>
          <w:szCs w:val="24"/>
        </w:rPr>
        <w:footnoteReference w:id="76"/>
      </w:r>
      <w:r w:rsidR="003F45EB">
        <w:rPr>
          <w:rFonts w:ascii="Times New Roman" w:hAnsi="Times New Roman" w:cs="Times New Roman"/>
          <w:sz w:val="24"/>
          <w:szCs w:val="24"/>
        </w:rPr>
        <w:t xml:space="preserve">  A</w:t>
      </w:r>
      <w:r w:rsidR="00DC6BFF" w:rsidRPr="00DC6BFF">
        <w:rPr>
          <w:rFonts w:ascii="Times New Roman" w:hAnsi="Times New Roman" w:cs="Times New Roman"/>
          <w:sz w:val="24"/>
          <w:szCs w:val="24"/>
        </w:rPr>
        <w:t xml:space="preserve"> different mode </w:t>
      </w:r>
      <w:r w:rsidR="00DC6BFF" w:rsidRPr="00DC6BFF">
        <w:rPr>
          <w:rFonts w:ascii="Times New Roman" w:hAnsi="Times New Roman" w:cs="Times New Roman"/>
          <w:sz w:val="24"/>
          <w:szCs w:val="24"/>
        </w:rPr>
        <w:lastRenderedPageBreak/>
        <w:t>of thinking</w:t>
      </w:r>
      <w:r w:rsidR="003F45EB">
        <w:rPr>
          <w:rFonts w:ascii="Times New Roman" w:hAnsi="Times New Roman" w:cs="Times New Roman"/>
          <w:sz w:val="24"/>
          <w:szCs w:val="24"/>
        </w:rPr>
        <w:t xml:space="preserve"> is</w:t>
      </w:r>
      <w:r w:rsidR="00087958">
        <w:rPr>
          <w:rFonts w:ascii="Times New Roman" w:hAnsi="Times New Roman" w:cs="Times New Roman"/>
          <w:sz w:val="24"/>
          <w:szCs w:val="24"/>
        </w:rPr>
        <w:t xml:space="preserve">, at first blush, </w:t>
      </w:r>
      <w:r w:rsidR="003F45EB">
        <w:rPr>
          <w:rFonts w:ascii="Times New Roman" w:hAnsi="Times New Roman" w:cs="Times New Roman"/>
          <w:sz w:val="24"/>
          <w:szCs w:val="24"/>
        </w:rPr>
        <w:t xml:space="preserve">required </w:t>
      </w:r>
      <w:r w:rsidR="00DC6BFF" w:rsidRPr="00DC6BFF">
        <w:rPr>
          <w:rFonts w:ascii="Times New Roman" w:hAnsi="Times New Roman" w:cs="Times New Roman"/>
          <w:sz w:val="24"/>
          <w:szCs w:val="24"/>
        </w:rPr>
        <w:t>than that which would typically be ex</w:t>
      </w:r>
      <w:r w:rsidR="00DC6BFF">
        <w:rPr>
          <w:rFonts w:ascii="Times New Roman" w:hAnsi="Times New Roman" w:cs="Times New Roman"/>
          <w:sz w:val="24"/>
          <w:szCs w:val="24"/>
        </w:rPr>
        <w:t xml:space="preserve">pected of a decision-maker under a </w:t>
      </w:r>
      <w:r w:rsidR="00704B3E">
        <w:rPr>
          <w:rFonts w:ascii="Times New Roman" w:hAnsi="Times New Roman" w:cs="Times New Roman"/>
          <w:sz w:val="24"/>
          <w:szCs w:val="24"/>
        </w:rPr>
        <w:t xml:space="preserve">standard </w:t>
      </w:r>
      <w:r w:rsidR="003F45EB">
        <w:rPr>
          <w:rFonts w:ascii="Times New Roman" w:hAnsi="Times New Roman" w:cs="Times New Roman"/>
          <w:sz w:val="24"/>
          <w:szCs w:val="24"/>
        </w:rPr>
        <w:t>best interests</w:t>
      </w:r>
      <w:r w:rsidR="00704B3E">
        <w:rPr>
          <w:rFonts w:ascii="Times New Roman" w:hAnsi="Times New Roman" w:cs="Times New Roman"/>
          <w:sz w:val="24"/>
          <w:szCs w:val="24"/>
        </w:rPr>
        <w:t xml:space="preserve"> examination</w:t>
      </w:r>
      <w:r w:rsidR="00DC6BFF">
        <w:rPr>
          <w:rFonts w:ascii="Times New Roman" w:hAnsi="Times New Roman" w:cs="Times New Roman"/>
          <w:sz w:val="24"/>
          <w:szCs w:val="24"/>
        </w:rPr>
        <w:t xml:space="preserve">.  </w:t>
      </w:r>
      <w:r w:rsidR="004B12D6">
        <w:rPr>
          <w:rFonts w:ascii="Times New Roman" w:hAnsi="Times New Roman" w:cs="Times New Roman"/>
          <w:sz w:val="24"/>
          <w:szCs w:val="24"/>
        </w:rPr>
        <w:t>Casting the net wider</w:t>
      </w:r>
      <w:r w:rsidR="003536FF">
        <w:rPr>
          <w:rFonts w:ascii="Times New Roman" w:hAnsi="Times New Roman" w:cs="Times New Roman"/>
          <w:sz w:val="24"/>
          <w:szCs w:val="24"/>
        </w:rPr>
        <w:t xml:space="preserve"> in this way has the capacity to facilitate </w:t>
      </w:r>
      <w:r w:rsidR="004B12D6">
        <w:rPr>
          <w:rFonts w:ascii="Times New Roman" w:hAnsi="Times New Roman" w:cs="Times New Roman"/>
          <w:sz w:val="24"/>
          <w:szCs w:val="24"/>
        </w:rPr>
        <w:t>a more inclusive and permissive approach</w:t>
      </w:r>
      <w:r w:rsidR="00087958">
        <w:rPr>
          <w:rFonts w:ascii="Times New Roman" w:hAnsi="Times New Roman" w:cs="Times New Roman"/>
          <w:sz w:val="24"/>
          <w:szCs w:val="24"/>
        </w:rPr>
        <w:t xml:space="preserve">, but </w:t>
      </w:r>
      <w:r w:rsidR="00261C9F">
        <w:rPr>
          <w:rFonts w:ascii="Times New Roman" w:hAnsi="Times New Roman" w:cs="Times New Roman"/>
          <w:sz w:val="24"/>
          <w:szCs w:val="24"/>
        </w:rPr>
        <w:t xml:space="preserve">where any inquiry must look beyond individual benefits, </w:t>
      </w:r>
      <w:r w:rsidR="003F45EB">
        <w:rPr>
          <w:rFonts w:ascii="Times New Roman" w:hAnsi="Times New Roman" w:cs="Times New Roman"/>
          <w:sz w:val="24"/>
          <w:szCs w:val="24"/>
        </w:rPr>
        <w:t xml:space="preserve">and </w:t>
      </w:r>
      <w:r w:rsidR="00261C9F">
        <w:rPr>
          <w:rFonts w:ascii="Times New Roman" w:hAnsi="Times New Roman" w:cs="Times New Roman"/>
          <w:sz w:val="24"/>
          <w:szCs w:val="24"/>
        </w:rPr>
        <w:t>where a participant is</w:t>
      </w:r>
      <w:r w:rsidR="00087958">
        <w:rPr>
          <w:rFonts w:ascii="Times New Roman" w:hAnsi="Times New Roman" w:cs="Times New Roman"/>
          <w:sz w:val="24"/>
          <w:szCs w:val="24"/>
        </w:rPr>
        <w:t xml:space="preserve"> particularly </w:t>
      </w:r>
      <w:r w:rsidR="00704B3E">
        <w:rPr>
          <w:rFonts w:ascii="Times New Roman" w:hAnsi="Times New Roman" w:cs="Times New Roman"/>
          <w:sz w:val="24"/>
          <w:szCs w:val="24"/>
        </w:rPr>
        <w:t xml:space="preserve">vulnerable, it would </w:t>
      </w:r>
      <w:r w:rsidR="00087958">
        <w:rPr>
          <w:rFonts w:ascii="Times New Roman" w:hAnsi="Times New Roman" w:cs="Times New Roman"/>
          <w:sz w:val="24"/>
          <w:szCs w:val="24"/>
        </w:rPr>
        <w:t>not</w:t>
      </w:r>
      <w:r w:rsidR="00704B3E">
        <w:rPr>
          <w:rFonts w:ascii="Times New Roman" w:hAnsi="Times New Roman" w:cs="Times New Roman"/>
          <w:sz w:val="24"/>
          <w:szCs w:val="24"/>
        </w:rPr>
        <w:t xml:space="preserve"> be </w:t>
      </w:r>
      <w:r w:rsidR="00087958">
        <w:rPr>
          <w:rFonts w:ascii="Times New Roman" w:hAnsi="Times New Roman" w:cs="Times New Roman"/>
          <w:sz w:val="24"/>
          <w:szCs w:val="24"/>
        </w:rPr>
        <w:t>un</w:t>
      </w:r>
      <w:r w:rsidR="00704B3E">
        <w:rPr>
          <w:rFonts w:ascii="Times New Roman" w:hAnsi="Times New Roman" w:cs="Times New Roman"/>
          <w:sz w:val="24"/>
          <w:szCs w:val="24"/>
        </w:rPr>
        <w:t xml:space="preserve">reasonable to expect a more stringent test </w:t>
      </w:r>
      <w:r w:rsidR="00087958">
        <w:rPr>
          <w:rFonts w:ascii="Times New Roman" w:hAnsi="Times New Roman" w:cs="Times New Roman"/>
          <w:sz w:val="24"/>
          <w:szCs w:val="24"/>
        </w:rPr>
        <w:t xml:space="preserve">in order to justify any research.  </w:t>
      </w:r>
      <w:r w:rsidR="003536FF">
        <w:rPr>
          <w:rFonts w:ascii="Times New Roman" w:hAnsi="Times New Roman" w:cs="Times New Roman"/>
          <w:sz w:val="24"/>
          <w:szCs w:val="24"/>
        </w:rPr>
        <w:t>S</w:t>
      </w:r>
      <w:r w:rsidR="00173DC8">
        <w:rPr>
          <w:rFonts w:ascii="Times New Roman" w:hAnsi="Times New Roman" w:cs="Times New Roman"/>
          <w:sz w:val="24"/>
          <w:szCs w:val="24"/>
        </w:rPr>
        <w:t>ection 31 (5) (b)</w:t>
      </w:r>
      <w:r w:rsidR="003536FF">
        <w:rPr>
          <w:rFonts w:ascii="Times New Roman" w:hAnsi="Times New Roman" w:cs="Times New Roman"/>
          <w:sz w:val="24"/>
          <w:szCs w:val="24"/>
        </w:rPr>
        <w:t xml:space="preserve"> does not actually provide this. </w:t>
      </w:r>
      <w:r w:rsidR="00DC6BFF">
        <w:rPr>
          <w:rFonts w:ascii="Times New Roman" w:hAnsi="Times New Roman" w:cs="Times New Roman"/>
          <w:sz w:val="24"/>
          <w:szCs w:val="24"/>
        </w:rPr>
        <w:t xml:space="preserve">Given that </w:t>
      </w:r>
      <w:r w:rsidR="001B1397">
        <w:rPr>
          <w:rFonts w:ascii="Times New Roman" w:hAnsi="Times New Roman" w:cs="Times New Roman"/>
          <w:sz w:val="24"/>
          <w:szCs w:val="24"/>
        </w:rPr>
        <w:t xml:space="preserve">under this section </w:t>
      </w:r>
      <w:r w:rsidR="00DC6BFF">
        <w:rPr>
          <w:rFonts w:ascii="Times New Roman" w:hAnsi="Times New Roman" w:cs="Times New Roman"/>
          <w:sz w:val="24"/>
          <w:szCs w:val="24"/>
        </w:rPr>
        <w:t>the research must be intended</w:t>
      </w:r>
      <w:r w:rsidR="003166DC">
        <w:rPr>
          <w:rFonts w:ascii="Times New Roman" w:hAnsi="Times New Roman" w:cs="Times New Roman"/>
          <w:sz w:val="24"/>
          <w:szCs w:val="24"/>
        </w:rPr>
        <w:t xml:space="preserve"> </w:t>
      </w:r>
      <w:r w:rsidR="004B12D6">
        <w:rPr>
          <w:rFonts w:ascii="Times New Roman" w:hAnsi="Times New Roman" w:cs="Times New Roman"/>
          <w:sz w:val="24"/>
          <w:szCs w:val="24"/>
        </w:rPr>
        <w:t xml:space="preserve">to provide </w:t>
      </w:r>
      <w:r w:rsidR="00936DB7" w:rsidRPr="002F6A38">
        <w:rPr>
          <w:rFonts w:ascii="Times New Roman" w:hAnsi="Times New Roman" w:cs="Times New Roman"/>
          <w:sz w:val="24"/>
          <w:szCs w:val="24"/>
        </w:rPr>
        <w:t>know</w:t>
      </w:r>
      <w:r w:rsidR="00936DB7">
        <w:rPr>
          <w:rFonts w:ascii="Times New Roman" w:hAnsi="Times New Roman" w:cs="Times New Roman"/>
          <w:sz w:val="24"/>
          <w:szCs w:val="24"/>
        </w:rPr>
        <w:t>ledge of causes, treatment or car</w:t>
      </w:r>
      <w:r w:rsidR="001D67E7">
        <w:rPr>
          <w:rFonts w:ascii="Times New Roman" w:hAnsi="Times New Roman" w:cs="Times New Roman"/>
          <w:sz w:val="24"/>
          <w:szCs w:val="24"/>
        </w:rPr>
        <w:t>e of a condition</w:t>
      </w:r>
      <w:r w:rsidR="00C867BE">
        <w:rPr>
          <w:rFonts w:ascii="Times New Roman" w:hAnsi="Times New Roman" w:cs="Times New Roman"/>
          <w:sz w:val="24"/>
          <w:szCs w:val="24"/>
        </w:rPr>
        <w:t>,</w:t>
      </w:r>
      <w:r w:rsidR="00673D81">
        <w:rPr>
          <w:rFonts w:ascii="Times New Roman" w:hAnsi="Times New Roman" w:cs="Times New Roman"/>
          <w:sz w:val="24"/>
          <w:szCs w:val="24"/>
        </w:rPr>
        <w:t xml:space="preserve"> there may be an inclination to think </w:t>
      </w:r>
      <w:r w:rsidR="001B1397">
        <w:rPr>
          <w:rFonts w:ascii="Times New Roman" w:hAnsi="Times New Roman" w:cs="Times New Roman"/>
          <w:sz w:val="24"/>
          <w:szCs w:val="24"/>
        </w:rPr>
        <w:t xml:space="preserve">that </w:t>
      </w:r>
      <w:r w:rsidR="003536FF">
        <w:rPr>
          <w:rFonts w:ascii="Times New Roman" w:hAnsi="Times New Roman" w:cs="Times New Roman"/>
          <w:sz w:val="24"/>
          <w:szCs w:val="24"/>
        </w:rPr>
        <w:t xml:space="preserve">it </w:t>
      </w:r>
      <w:r w:rsidR="001B1397">
        <w:rPr>
          <w:rFonts w:ascii="Times New Roman" w:hAnsi="Times New Roman" w:cs="Times New Roman"/>
          <w:sz w:val="24"/>
          <w:szCs w:val="24"/>
        </w:rPr>
        <w:t>shoul</w:t>
      </w:r>
      <w:r w:rsidR="009854B5">
        <w:rPr>
          <w:rFonts w:ascii="Times New Roman" w:hAnsi="Times New Roman" w:cs="Times New Roman"/>
          <w:sz w:val="24"/>
          <w:szCs w:val="24"/>
        </w:rPr>
        <w:t xml:space="preserve">d be judged against </w:t>
      </w:r>
      <w:r w:rsidR="00704B3E">
        <w:rPr>
          <w:rFonts w:ascii="Times New Roman" w:hAnsi="Times New Roman" w:cs="Times New Roman"/>
          <w:sz w:val="24"/>
          <w:szCs w:val="24"/>
        </w:rPr>
        <w:t xml:space="preserve">a higher level </w:t>
      </w:r>
      <w:r w:rsidR="00CA254E">
        <w:rPr>
          <w:rFonts w:ascii="Times New Roman" w:hAnsi="Times New Roman" w:cs="Times New Roman"/>
          <w:sz w:val="24"/>
          <w:szCs w:val="24"/>
        </w:rPr>
        <w:t xml:space="preserve">of </w:t>
      </w:r>
      <w:r w:rsidR="003536FF">
        <w:rPr>
          <w:rFonts w:ascii="Times New Roman" w:hAnsi="Times New Roman" w:cs="Times New Roman"/>
          <w:sz w:val="24"/>
          <w:szCs w:val="24"/>
        </w:rPr>
        <w:t xml:space="preserve">evidence-based criteria, but </w:t>
      </w:r>
      <w:r w:rsidR="00087958">
        <w:rPr>
          <w:rFonts w:ascii="Times New Roman" w:hAnsi="Times New Roman" w:cs="Times New Roman"/>
          <w:sz w:val="24"/>
          <w:szCs w:val="24"/>
        </w:rPr>
        <w:t xml:space="preserve">its wording is prone to mislead. Section 31 (5) (b) </w:t>
      </w:r>
      <w:r w:rsidR="009E4B28">
        <w:rPr>
          <w:rFonts w:ascii="Times New Roman" w:hAnsi="Times New Roman" w:cs="Times New Roman"/>
          <w:sz w:val="24"/>
          <w:szCs w:val="24"/>
        </w:rPr>
        <w:t xml:space="preserve">only demands that the research </w:t>
      </w:r>
      <w:r w:rsidR="00087958">
        <w:rPr>
          <w:rFonts w:ascii="Times New Roman" w:hAnsi="Times New Roman" w:cs="Times New Roman"/>
          <w:sz w:val="24"/>
          <w:szCs w:val="24"/>
        </w:rPr>
        <w:t xml:space="preserve">must </w:t>
      </w:r>
      <w:r w:rsidR="001D731A">
        <w:rPr>
          <w:rFonts w:ascii="Times New Roman" w:hAnsi="Times New Roman" w:cs="Times New Roman"/>
          <w:sz w:val="24"/>
          <w:szCs w:val="24"/>
        </w:rPr>
        <w:t xml:space="preserve">be </w:t>
      </w:r>
      <w:r w:rsidR="001D731A" w:rsidRPr="009748E5">
        <w:rPr>
          <w:rFonts w:ascii="Times New Roman" w:hAnsi="Times New Roman" w:cs="Times New Roman"/>
          <w:i/>
          <w:sz w:val="24"/>
          <w:szCs w:val="24"/>
        </w:rPr>
        <w:t>intended</w:t>
      </w:r>
      <w:r w:rsidR="001D731A">
        <w:rPr>
          <w:rFonts w:ascii="Times New Roman" w:hAnsi="Times New Roman" w:cs="Times New Roman"/>
          <w:sz w:val="24"/>
          <w:szCs w:val="24"/>
        </w:rPr>
        <w:t xml:space="preserve"> to provide k</w:t>
      </w:r>
      <w:r w:rsidR="009748E5">
        <w:rPr>
          <w:rFonts w:ascii="Times New Roman" w:hAnsi="Times New Roman" w:cs="Times New Roman"/>
          <w:sz w:val="24"/>
          <w:szCs w:val="24"/>
        </w:rPr>
        <w:t>nowledge; there is no requirement for it to be objectively proved that any research</w:t>
      </w:r>
      <w:r w:rsidR="003536FF">
        <w:rPr>
          <w:rFonts w:ascii="Times New Roman" w:hAnsi="Times New Roman" w:cs="Times New Roman"/>
          <w:sz w:val="24"/>
          <w:szCs w:val="24"/>
        </w:rPr>
        <w:t xml:space="preserve"> </w:t>
      </w:r>
      <w:r w:rsidR="003536FF" w:rsidRPr="00087958">
        <w:rPr>
          <w:rFonts w:ascii="Times New Roman" w:hAnsi="Times New Roman" w:cs="Times New Roman"/>
          <w:i/>
          <w:sz w:val="24"/>
          <w:szCs w:val="24"/>
        </w:rPr>
        <w:t>will</w:t>
      </w:r>
      <w:r w:rsidR="003536FF">
        <w:rPr>
          <w:rFonts w:ascii="Times New Roman" w:hAnsi="Times New Roman" w:cs="Times New Roman"/>
          <w:sz w:val="24"/>
          <w:szCs w:val="24"/>
        </w:rPr>
        <w:t xml:space="preserve"> </w:t>
      </w:r>
      <w:r w:rsidR="003536FF" w:rsidRPr="003536FF">
        <w:rPr>
          <w:rFonts w:ascii="Times New Roman" w:hAnsi="Times New Roman" w:cs="Times New Roman"/>
          <w:i/>
          <w:sz w:val="24"/>
          <w:szCs w:val="24"/>
        </w:rPr>
        <w:t>actually</w:t>
      </w:r>
      <w:r w:rsidR="00704B3E">
        <w:rPr>
          <w:rFonts w:ascii="Times New Roman" w:hAnsi="Times New Roman" w:cs="Times New Roman"/>
          <w:sz w:val="24"/>
          <w:szCs w:val="24"/>
        </w:rPr>
        <w:t xml:space="preserve"> produce </w:t>
      </w:r>
      <w:r w:rsidR="00087958">
        <w:rPr>
          <w:rFonts w:ascii="Times New Roman" w:hAnsi="Times New Roman" w:cs="Times New Roman"/>
          <w:sz w:val="24"/>
          <w:szCs w:val="24"/>
        </w:rPr>
        <w:t xml:space="preserve">such </w:t>
      </w:r>
      <w:r w:rsidR="009748E5">
        <w:rPr>
          <w:rFonts w:ascii="Times New Roman" w:hAnsi="Times New Roman" w:cs="Times New Roman"/>
          <w:sz w:val="24"/>
          <w:szCs w:val="24"/>
        </w:rPr>
        <w:t xml:space="preserve">knowledge.  </w:t>
      </w:r>
      <w:r w:rsidR="001D731A">
        <w:rPr>
          <w:rFonts w:ascii="Times New Roman" w:hAnsi="Times New Roman" w:cs="Times New Roman"/>
          <w:sz w:val="24"/>
          <w:szCs w:val="24"/>
        </w:rPr>
        <w:t xml:space="preserve">As most credible research projects will be </w:t>
      </w:r>
      <w:r w:rsidR="00AC0940">
        <w:rPr>
          <w:rFonts w:ascii="Times New Roman" w:hAnsi="Times New Roman" w:cs="Times New Roman"/>
          <w:sz w:val="24"/>
          <w:szCs w:val="24"/>
        </w:rPr>
        <w:t xml:space="preserve">underpinned </w:t>
      </w:r>
      <w:r w:rsidR="001D731A">
        <w:rPr>
          <w:rFonts w:ascii="Times New Roman" w:hAnsi="Times New Roman" w:cs="Times New Roman"/>
          <w:sz w:val="24"/>
          <w:szCs w:val="24"/>
        </w:rPr>
        <w:t xml:space="preserve">by </w:t>
      </w:r>
      <w:r w:rsidR="00704B3E">
        <w:rPr>
          <w:rFonts w:ascii="Times New Roman" w:hAnsi="Times New Roman" w:cs="Times New Roman"/>
          <w:sz w:val="24"/>
          <w:szCs w:val="24"/>
        </w:rPr>
        <w:t xml:space="preserve">at least </w:t>
      </w:r>
      <w:r w:rsidR="001D731A">
        <w:rPr>
          <w:rFonts w:ascii="Times New Roman" w:hAnsi="Times New Roman" w:cs="Times New Roman"/>
          <w:sz w:val="24"/>
          <w:szCs w:val="24"/>
        </w:rPr>
        <w:t>an intention to develop a deeper understanding of a particular problem</w:t>
      </w:r>
      <w:r w:rsidR="00704B3E">
        <w:rPr>
          <w:rFonts w:ascii="Times New Roman" w:hAnsi="Times New Roman" w:cs="Times New Roman"/>
          <w:sz w:val="24"/>
          <w:szCs w:val="24"/>
        </w:rPr>
        <w:t xml:space="preserve"> to help society in a broader sense</w:t>
      </w:r>
      <w:r w:rsidR="001D731A">
        <w:rPr>
          <w:rFonts w:ascii="Times New Roman" w:hAnsi="Times New Roman" w:cs="Times New Roman"/>
          <w:sz w:val="24"/>
          <w:szCs w:val="24"/>
        </w:rPr>
        <w:t>, the reality is that the test under section 31 (5) (b) may be</w:t>
      </w:r>
      <w:r w:rsidR="00D560A1">
        <w:rPr>
          <w:rFonts w:ascii="Times New Roman" w:hAnsi="Times New Roman" w:cs="Times New Roman"/>
          <w:sz w:val="24"/>
          <w:szCs w:val="24"/>
        </w:rPr>
        <w:t xml:space="preserve"> easier to meet than some may imagine. </w:t>
      </w:r>
      <w:r w:rsidR="004806FF">
        <w:rPr>
          <w:rFonts w:ascii="Times New Roman" w:hAnsi="Times New Roman" w:cs="Times New Roman"/>
          <w:sz w:val="24"/>
          <w:szCs w:val="24"/>
        </w:rPr>
        <w:t>To mitigate against this, the legislation attempts to provide a protective counterbalance.</w:t>
      </w:r>
    </w:p>
    <w:p w14:paraId="000D066D" w14:textId="7EEC14C8" w:rsidR="002914F2" w:rsidRDefault="00FD4988" w:rsidP="007A5A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06FF">
        <w:rPr>
          <w:rFonts w:ascii="Times New Roman" w:hAnsi="Times New Roman" w:cs="Times New Roman"/>
          <w:sz w:val="24"/>
          <w:szCs w:val="24"/>
        </w:rPr>
        <w:t>Where section 31 (5) (b) is engaged</w:t>
      </w:r>
      <w:r w:rsidR="004806FF" w:rsidRPr="004806FF">
        <w:rPr>
          <w:rFonts w:ascii="Times New Roman" w:hAnsi="Times New Roman" w:cs="Times New Roman"/>
          <w:sz w:val="24"/>
          <w:szCs w:val="24"/>
        </w:rPr>
        <w:t>, section 31 (6) states that there must also be reasonable grounds for believing that the risk to the participant fro</w:t>
      </w:r>
      <w:r w:rsidR="004806FF">
        <w:rPr>
          <w:rFonts w:ascii="Times New Roman" w:hAnsi="Times New Roman" w:cs="Times New Roman"/>
          <w:sz w:val="24"/>
          <w:szCs w:val="24"/>
        </w:rPr>
        <w:t xml:space="preserve">m taking part in the project will be </w:t>
      </w:r>
      <w:r w:rsidR="004806FF" w:rsidRPr="004806FF">
        <w:rPr>
          <w:rFonts w:ascii="Times New Roman" w:hAnsi="Times New Roman" w:cs="Times New Roman"/>
          <w:sz w:val="24"/>
          <w:szCs w:val="24"/>
        </w:rPr>
        <w:t xml:space="preserve">negligible, and that anything done to, or in relation to the participant, will not interfere with her freedom of action or privacy in a significant </w:t>
      </w:r>
      <w:r w:rsidR="00992312">
        <w:rPr>
          <w:rFonts w:ascii="Times New Roman" w:hAnsi="Times New Roman" w:cs="Times New Roman"/>
          <w:sz w:val="24"/>
          <w:szCs w:val="24"/>
        </w:rPr>
        <w:t>way, or be unduly restrictive.</w:t>
      </w:r>
      <w:r w:rsidR="00673D81">
        <w:rPr>
          <w:rStyle w:val="FootnoteReference"/>
          <w:rFonts w:ascii="Times New Roman" w:hAnsi="Times New Roman" w:cs="Times New Roman"/>
          <w:sz w:val="24"/>
          <w:szCs w:val="24"/>
        </w:rPr>
        <w:footnoteReference w:id="77"/>
      </w:r>
      <w:r w:rsidR="00992312">
        <w:rPr>
          <w:rFonts w:ascii="Times New Roman" w:hAnsi="Times New Roman" w:cs="Times New Roman"/>
          <w:sz w:val="24"/>
          <w:szCs w:val="24"/>
        </w:rPr>
        <w:t xml:space="preserve">  </w:t>
      </w:r>
      <w:r w:rsidR="00D560A1">
        <w:rPr>
          <w:rFonts w:ascii="Times New Roman" w:hAnsi="Times New Roman" w:cs="Times New Roman"/>
          <w:sz w:val="24"/>
          <w:szCs w:val="24"/>
        </w:rPr>
        <w:t xml:space="preserve">This </w:t>
      </w:r>
      <w:r w:rsidR="00AC0940">
        <w:rPr>
          <w:rFonts w:ascii="Times New Roman" w:hAnsi="Times New Roman" w:cs="Times New Roman"/>
          <w:sz w:val="24"/>
          <w:szCs w:val="24"/>
        </w:rPr>
        <w:t>direct</w:t>
      </w:r>
      <w:r w:rsidR="00D560A1">
        <w:rPr>
          <w:rFonts w:ascii="Times New Roman" w:hAnsi="Times New Roman" w:cs="Times New Roman"/>
          <w:sz w:val="24"/>
          <w:szCs w:val="24"/>
        </w:rPr>
        <w:t>s</w:t>
      </w:r>
      <w:r w:rsidR="00AC0940">
        <w:rPr>
          <w:rFonts w:ascii="Times New Roman" w:hAnsi="Times New Roman" w:cs="Times New Roman"/>
          <w:sz w:val="24"/>
          <w:szCs w:val="24"/>
        </w:rPr>
        <w:t xml:space="preserve"> </w:t>
      </w:r>
      <w:r w:rsidR="00992312">
        <w:rPr>
          <w:rFonts w:ascii="Times New Roman" w:hAnsi="Times New Roman" w:cs="Times New Roman"/>
          <w:sz w:val="24"/>
          <w:szCs w:val="24"/>
        </w:rPr>
        <w:t xml:space="preserve">the </w:t>
      </w:r>
      <w:r w:rsidR="00D64FEE">
        <w:rPr>
          <w:rFonts w:ascii="Times New Roman" w:hAnsi="Times New Roman" w:cs="Times New Roman"/>
          <w:sz w:val="24"/>
          <w:szCs w:val="24"/>
        </w:rPr>
        <w:t xml:space="preserve">examination </w:t>
      </w:r>
      <w:r w:rsidR="00AC0940">
        <w:rPr>
          <w:rFonts w:ascii="Times New Roman" w:hAnsi="Times New Roman" w:cs="Times New Roman"/>
          <w:sz w:val="24"/>
          <w:szCs w:val="24"/>
        </w:rPr>
        <w:t xml:space="preserve">away from </w:t>
      </w:r>
      <w:r w:rsidR="00F00DC6">
        <w:rPr>
          <w:rFonts w:ascii="Times New Roman" w:hAnsi="Times New Roman" w:cs="Times New Roman"/>
          <w:sz w:val="24"/>
          <w:szCs w:val="24"/>
        </w:rPr>
        <w:t>balancing out the risks and benefits, towards</w:t>
      </w:r>
      <w:r w:rsidR="004F4AF2">
        <w:rPr>
          <w:rFonts w:ascii="Times New Roman" w:hAnsi="Times New Roman" w:cs="Times New Roman"/>
          <w:sz w:val="24"/>
          <w:szCs w:val="24"/>
        </w:rPr>
        <w:t xml:space="preserve"> ensuring that </w:t>
      </w:r>
      <w:r w:rsidR="00673D81">
        <w:rPr>
          <w:rFonts w:ascii="Times New Roman" w:hAnsi="Times New Roman" w:cs="Times New Roman"/>
          <w:sz w:val="24"/>
          <w:szCs w:val="24"/>
        </w:rPr>
        <w:t xml:space="preserve">an incapacitated participant is prevented from being </w:t>
      </w:r>
      <w:r w:rsidR="004F4AF2">
        <w:rPr>
          <w:rFonts w:ascii="Times New Roman" w:hAnsi="Times New Roman" w:cs="Times New Roman"/>
          <w:sz w:val="24"/>
          <w:szCs w:val="24"/>
        </w:rPr>
        <w:t xml:space="preserve">exposed to anything greater than a </w:t>
      </w:r>
      <w:r w:rsidR="0069341B">
        <w:rPr>
          <w:rFonts w:ascii="Times New Roman" w:hAnsi="Times New Roman" w:cs="Times New Roman"/>
          <w:sz w:val="24"/>
          <w:szCs w:val="24"/>
        </w:rPr>
        <w:t>low-level</w:t>
      </w:r>
      <w:r w:rsidR="004F4AF2">
        <w:rPr>
          <w:rFonts w:ascii="Times New Roman" w:hAnsi="Times New Roman" w:cs="Times New Roman"/>
          <w:sz w:val="24"/>
          <w:szCs w:val="24"/>
        </w:rPr>
        <w:t xml:space="preserve"> risk </w:t>
      </w:r>
      <w:r w:rsidR="00AC0940">
        <w:rPr>
          <w:rFonts w:ascii="Times New Roman" w:hAnsi="Times New Roman" w:cs="Times New Roman"/>
          <w:sz w:val="24"/>
          <w:szCs w:val="24"/>
        </w:rPr>
        <w:t xml:space="preserve">when partaking in research </w:t>
      </w:r>
      <w:r w:rsidR="0069341B">
        <w:rPr>
          <w:rFonts w:ascii="Times New Roman" w:hAnsi="Times New Roman" w:cs="Times New Roman"/>
          <w:sz w:val="24"/>
          <w:szCs w:val="24"/>
        </w:rPr>
        <w:t xml:space="preserve">designed solely to </w:t>
      </w:r>
      <w:r w:rsidR="004F4AF2">
        <w:rPr>
          <w:rFonts w:ascii="Times New Roman" w:hAnsi="Times New Roman" w:cs="Times New Roman"/>
          <w:sz w:val="24"/>
          <w:szCs w:val="24"/>
        </w:rPr>
        <w:t>benefit of others.</w:t>
      </w:r>
      <w:r w:rsidR="00B9615E">
        <w:rPr>
          <w:rFonts w:ascii="Times New Roman" w:hAnsi="Times New Roman" w:cs="Times New Roman"/>
          <w:sz w:val="24"/>
          <w:szCs w:val="24"/>
        </w:rPr>
        <w:t xml:space="preserve"> Those who believe that the definition of a negligible risk is something that can</w:t>
      </w:r>
      <w:r w:rsidR="00D64FEE">
        <w:rPr>
          <w:rFonts w:ascii="Times New Roman" w:hAnsi="Times New Roman" w:cs="Times New Roman"/>
          <w:sz w:val="24"/>
          <w:szCs w:val="24"/>
        </w:rPr>
        <w:t xml:space="preserve"> be calculated with precision though </w:t>
      </w:r>
      <w:r w:rsidR="00B9615E">
        <w:rPr>
          <w:rFonts w:ascii="Times New Roman" w:hAnsi="Times New Roman" w:cs="Times New Roman"/>
          <w:sz w:val="24"/>
          <w:szCs w:val="24"/>
        </w:rPr>
        <w:t>are operating under a m</w:t>
      </w:r>
      <w:r w:rsidR="00DC034F">
        <w:rPr>
          <w:rFonts w:ascii="Times New Roman" w:hAnsi="Times New Roman" w:cs="Times New Roman"/>
          <w:sz w:val="24"/>
          <w:szCs w:val="24"/>
        </w:rPr>
        <w:t xml:space="preserve">isapprehension.  </w:t>
      </w:r>
      <w:r w:rsidR="00EF28E6">
        <w:rPr>
          <w:rFonts w:ascii="Times New Roman" w:hAnsi="Times New Roman" w:cs="Times New Roman"/>
          <w:sz w:val="24"/>
          <w:szCs w:val="24"/>
        </w:rPr>
        <w:t>Any categorisation of a risk</w:t>
      </w:r>
      <w:r w:rsidR="0069341B">
        <w:rPr>
          <w:rFonts w:ascii="Times New Roman" w:hAnsi="Times New Roman" w:cs="Times New Roman"/>
          <w:sz w:val="24"/>
          <w:szCs w:val="24"/>
        </w:rPr>
        <w:t xml:space="preserve"> as being beyond n</w:t>
      </w:r>
      <w:r w:rsidR="00EF28E6">
        <w:rPr>
          <w:rFonts w:ascii="Times New Roman" w:hAnsi="Times New Roman" w:cs="Times New Roman"/>
          <w:sz w:val="24"/>
          <w:szCs w:val="24"/>
        </w:rPr>
        <w:t>egligible may depend on a numbe</w:t>
      </w:r>
      <w:r w:rsidR="00D64FEE">
        <w:rPr>
          <w:rFonts w:ascii="Times New Roman" w:hAnsi="Times New Roman" w:cs="Times New Roman"/>
          <w:sz w:val="24"/>
          <w:szCs w:val="24"/>
        </w:rPr>
        <w:t xml:space="preserve">r of factors; emphasis could be given to </w:t>
      </w:r>
      <w:r w:rsidR="00EF28E6">
        <w:rPr>
          <w:rFonts w:ascii="Times New Roman" w:hAnsi="Times New Roman" w:cs="Times New Roman"/>
          <w:sz w:val="24"/>
          <w:szCs w:val="24"/>
        </w:rPr>
        <w:t>percentage rate</w:t>
      </w:r>
      <w:r w:rsidR="0069341B">
        <w:rPr>
          <w:rFonts w:ascii="Times New Roman" w:hAnsi="Times New Roman" w:cs="Times New Roman"/>
          <w:sz w:val="24"/>
          <w:szCs w:val="24"/>
        </w:rPr>
        <w:t>s</w:t>
      </w:r>
      <w:r w:rsidR="00EF28E6">
        <w:rPr>
          <w:rFonts w:ascii="Times New Roman" w:hAnsi="Times New Roman" w:cs="Times New Roman"/>
          <w:sz w:val="24"/>
          <w:szCs w:val="24"/>
        </w:rPr>
        <w:t xml:space="preserve"> of occurrence, whereas elsewhere it may be placed on the </w:t>
      </w:r>
      <w:r w:rsidR="00AC0940">
        <w:rPr>
          <w:rFonts w:ascii="Times New Roman" w:hAnsi="Times New Roman" w:cs="Times New Roman"/>
          <w:sz w:val="24"/>
          <w:szCs w:val="24"/>
        </w:rPr>
        <w:t>severity of consequence should that risk materialise</w:t>
      </w:r>
      <w:r w:rsidR="00EF28E6">
        <w:rPr>
          <w:rFonts w:ascii="Times New Roman" w:hAnsi="Times New Roman" w:cs="Times New Roman"/>
          <w:sz w:val="24"/>
          <w:szCs w:val="24"/>
        </w:rPr>
        <w:t>.  Equally, it is subject to differing interpretations.  For some, t</w:t>
      </w:r>
      <w:r w:rsidR="00B606E9">
        <w:rPr>
          <w:rFonts w:ascii="Times New Roman" w:hAnsi="Times New Roman" w:cs="Times New Roman"/>
          <w:sz w:val="24"/>
          <w:szCs w:val="24"/>
        </w:rPr>
        <w:t xml:space="preserve">he mere existence of a </w:t>
      </w:r>
      <w:r w:rsidR="00DC034F">
        <w:rPr>
          <w:rFonts w:ascii="Times New Roman" w:hAnsi="Times New Roman" w:cs="Times New Roman"/>
          <w:sz w:val="24"/>
          <w:szCs w:val="24"/>
        </w:rPr>
        <w:t>remote risk, no matte</w:t>
      </w:r>
      <w:r w:rsidR="0069341B">
        <w:rPr>
          <w:rFonts w:ascii="Times New Roman" w:hAnsi="Times New Roman" w:cs="Times New Roman"/>
          <w:sz w:val="24"/>
          <w:szCs w:val="24"/>
        </w:rPr>
        <w:t xml:space="preserve">r how slight, may be sufficient </w:t>
      </w:r>
      <w:r w:rsidR="00DC034F">
        <w:rPr>
          <w:rFonts w:ascii="Times New Roman" w:hAnsi="Times New Roman" w:cs="Times New Roman"/>
          <w:sz w:val="24"/>
          <w:szCs w:val="24"/>
        </w:rPr>
        <w:t>to</w:t>
      </w:r>
      <w:r w:rsidR="0069341B">
        <w:rPr>
          <w:rFonts w:ascii="Times New Roman" w:hAnsi="Times New Roman" w:cs="Times New Roman"/>
          <w:sz w:val="24"/>
          <w:szCs w:val="24"/>
        </w:rPr>
        <w:t xml:space="preserve"> classify it as something </w:t>
      </w:r>
      <w:r w:rsidR="00EF28E6">
        <w:rPr>
          <w:rFonts w:ascii="Times New Roman" w:hAnsi="Times New Roman" w:cs="Times New Roman"/>
          <w:sz w:val="24"/>
          <w:szCs w:val="24"/>
        </w:rPr>
        <w:t>beyond negligible</w:t>
      </w:r>
      <w:r w:rsidR="00DC034F">
        <w:rPr>
          <w:rFonts w:ascii="Times New Roman" w:hAnsi="Times New Roman" w:cs="Times New Roman"/>
          <w:sz w:val="24"/>
          <w:szCs w:val="24"/>
        </w:rPr>
        <w:t>, thereby ruling out any authorisatio</w:t>
      </w:r>
      <w:r w:rsidR="00EF28E6">
        <w:rPr>
          <w:rFonts w:ascii="Times New Roman" w:hAnsi="Times New Roman" w:cs="Times New Roman"/>
          <w:sz w:val="24"/>
          <w:szCs w:val="24"/>
        </w:rPr>
        <w:t>n of the research.</w:t>
      </w:r>
      <w:r w:rsidR="00AC764D">
        <w:rPr>
          <w:rFonts w:ascii="Times New Roman" w:hAnsi="Times New Roman" w:cs="Times New Roman"/>
          <w:sz w:val="24"/>
          <w:szCs w:val="24"/>
        </w:rPr>
        <w:t xml:space="preserve"> This could lead to a problematic situation in which </w:t>
      </w:r>
      <w:r w:rsidR="00AC764D">
        <w:rPr>
          <w:rFonts w:ascii="Times New Roman" w:hAnsi="Times New Roman" w:cs="Times New Roman"/>
          <w:sz w:val="24"/>
          <w:szCs w:val="24"/>
        </w:rPr>
        <w:lastRenderedPageBreak/>
        <w:t xml:space="preserve">certain participants may be prevented from taking part in some research projects because of problematic risk appraisals associated with vague definitions. </w:t>
      </w:r>
      <w:r w:rsidR="00A22CB2">
        <w:rPr>
          <w:rFonts w:ascii="Times New Roman" w:hAnsi="Times New Roman" w:cs="Times New Roman"/>
          <w:sz w:val="24"/>
          <w:szCs w:val="24"/>
        </w:rPr>
        <w:t>The CO</w:t>
      </w:r>
      <w:r w:rsidR="00485B19">
        <w:rPr>
          <w:rFonts w:ascii="Times New Roman" w:hAnsi="Times New Roman" w:cs="Times New Roman"/>
          <w:sz w:val="24"/>
          <w:szCs w:val="24"/>
        </w:rPr>
        <w:t>P, for example, equates ‘negligible’ with ‘minimal’ and proceeds to state that a participant should suffer ‘no harm or distress by taking part’.</w:t>
      </w:r>
      <w:r w:rsidR="005D3FEC">
        <w:rPr>
          <w:rStyle w:val="FootnoteReference"/>
          <w:rFonts w:ascii="Times New Roman" w:hAnsi="Times New Roman" w:cs="Times New Roman"/>
          <w:sz w:val="24"/>
          <w:szCs w:val="24"/>
        </w:rPr>
        <w:footnoteReference w:id="78"/>
      </w:r>
      <w:r w:rsidR="00485B19">
        <w:rPr>
          <w:rFonts w:ascii="Times New Roman" w:hAnsi="Times New Roman" w:cs="Times New Roman"/>
          <w:sz w:val="24"/>
          <w:szCs w:val="24"/>
        </w:rPr>
        <w:t xml:space="preserve">  Properly understood, minimal risk should not be taken to mean no risk at all and so perhaps the COP is too restrictive</w:t>
      </w:r>
      <w:r w:rsidR="0069341B">
        <w:rPr>
          <w:rFonts w:ascii="Times New Roman" w:hAnsi="Times New Roman" w:cs="Times New Roman"/>
          <w:sz w:val="24"/>
          <w:szCs w:val="24"/>
        </w:rPr>
        <w:t xml:space="preserve"> </w:t>
      </w:r>
      <w:r w:rsidR="00485B19">
        <w:rPr>
          <w:rFonts w:ascii="Times New Roman" w:hAnsi="Times New Roman" w:cs="Times New Roman"/>
          <w:sz w:val="24"/>
          <w:szCs w:val="24"/>
        </w:rPr>
        <w:t xml:space="preserve">on this point. </w:t>
      </w:r>
      <w:r w:rsidR="00EF28E6">
        <w:rPr>
          <w:rFonts w:ascii="Times New Roman" w:hAnsi="Times New Roman" w:cs="Times New Roman"/>
          <w:sz w:val="24"/>
          <w:szCs w:val="24"/>
        </w:rPr>
        <w:t xml:space="preserve">  </w:t>
      </w:r>
      <w:r w:rsidR="00485B19">
        <w:rPr>
          <w:rFonts w:ascii="Times New Roman" w:hAnsi="Times New Roman" w:cs="Times New Roman"/>
          <w:sz w:val="24"/>
          <w:szCs w:val="24"/>
        </w:rPr>
        <w:t xml:space="preserve">It is certainly possible to </w:t>
      </w:r>
      <w:r w:rsidR="00EF28E6">
        <w:rPr>
          <w:rFonts w:ascii="Times New Roman" w:hAnsi="Times New Roman" w:cs="Times New Roman"/>
          <w:sz w:val="24"/>
          <w:szCs w:val="24"/>
        </w:rPr>
        <w:t xml:space="preserve">interpret the meaning of negligible </w:t>
      </w:r>
      <w:r w:rsidR="00485B19">
        <w:rPr>
          <w:rFonts w:ascii="Times New Roman" w:hAnsi="Times New Roman" w:cs="Times New Roman"/>
          <w:sz w:val="24"/>
          <w:szCs w:val="24"/>
        </w:rPr>
        <w:t xml:space="preserve">more </w:t>
      </w:r>
      <w:r w:rsidR="00EF28E6">
        <w:rPr>
          <w:rFonts w:ascii="Times New Roman" w:hAnsi="Times New Roman" w:cs="Times New Roman"/>
          <w:sz w:val="24"/>
          <w:szCs w:val="24"/>
        </w:rPr>
        <w:t>liberally</w:t>
      </w:r>
      <w:r w:rsidR="00AC764D">
        <w:rPr>
          <w:rFonts w:ascii="Times New Roman" w:hAnsi="Times New Roman" w:cs="Times New Roman"/>
          <w:sz w:val="24"/>
          <w:szCs w:val="24"/>
        </w:rPr>
        <w:t xml:space="preserve"> in order to recognise </w:t>
      </w:r>
      <w:r w:rsidR="00D64FEE">
        <w:rPr>
          <w:rFonts w:ascii="Times New Roman" w:hAnsi="Times New Roman" w:cs="Times New Roman"/>
          <w:sz w:val="24"/>
          <w:szCs w:val="24"/>
        </w:rPr>
        <w:t xml:space="preserve">that </w:t>
      </w:r>
      <w:r w:rsidR="00485B19">
        <w:rPr>
          <w:rFonts w:ascii="Times New Roman" w:hAnsi="Times New Roman" w:cs="Times New Roman"/>
          <w:sz w:val="24"/>
          <w:szCs w:val="24"/>
        </w:rPr>
        <w:t xml:space="preserve">certain </w:t>
      </w:r>
      <w:r w:rsidR="00EF28E6">
        <w:rPr>
          <w:rFonts w:ascii="Times New Roman" w:hAnsi="Times New Roman" w:cs="Times New Roman"/>
          <w:sz w:val="24"/>
          <w:szCs w:val="24"/>
        </w:rPr>
        <w:t>incapacitated participants may be</w:t>
      </w:r>
      <w:r w:rsidR="006A506C">
        <w:rPr>
          <w:rFonts w:ascii="Times New Roman" w:hAnsi="Times New Roman" w:cs="Times New Roman"/>
          <w:sz w:val="24"/>
          <w:szCs w:val="24"/>
        </w:rPr>
        <w:t xml:space="preserve"> capable of withstanding </w:t>
      </w:r>
      <w:r w:rsidR="00485B19">
        <w:rPr>
          <w:rFonts w:ascii="Times New Roman" w:hAnsi="Times New Roman" w:cs="Times New Roman"/>
          <w:sz w:val="24"/>
          <w:szCs w:val="24"/>
        </w:rPr>
        <w:t xml:space="preserve">a greater level of risk </w:t>
      </w:r>
      <w:r w:rsidR="00A22CB2">
        <w:rPr>
          <w:rFonts w:ascii="Times New Roman" w:hAnsi="Times New Roman" w:cs="Times New Roman"/>
          <w:sz w:val="24"/>
          <w:szCs w:val="24"/>
        </w:rPr>
        <w:t xml:space="preserve">in order to legitimise </w:t>
      </w:r>
      <w:r w:rsidR="00AC764D">
        <w:rPr>
          <w:rFonts w:ascii="Times New Roman" w:hAnsi="Times New Roman" w:cs="Times New Roman"/>
          <w:sz w:val="24"/>
          <w:szCs w:val="24"/>
        </w:rPr>
        <w:t>their involvement in research.</w:t>
      </w:r>
    </w:p>
    <w:p w14:paraId="0EBC2E3C" w14:textId="6BFB3150" w:rsidR="00D4743C" w:rsidRDefault="002914F2" w:rsidP="007A5A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5B19">
        <w:rPr>
          <w:rFonts w:ascii="Times New Roman" w:hAnsi="Times New Roman" w:cs="Times New Roman"/>
          <w:sz w:val="24"/>
          <w:szCs w:val="24"/>
        </w:rPr>
        <w:t xml:space="preserve">This feeds into a further </w:t>
      </w:r>
      <w:r w:rsidR="00B606E9">
        <w:rPr>
          <w:rFonts w:ascii="Times New Roman" w:hAnsi="Times New Roman" w:cs="Times New Roman"/>
          <w:sz w:val="24"/>
          <w:szCs w:val="24"/>
        </w:rPr>
        <w:t xml:space="preserve">important point; any examination of the magnitude of a </w:t>
      </w:r>
      <w:r w:rsidR="00B95DC2">
        <w:rPr>
          <w:rFonts w:ascii="Times New Roman" w:hAnsi="Times New Roman" w:cs="Times New Roman"/>
          <w:sz w:val="24"/>
          <w:szCs w:val="24"/>
        </w:rPr>
        <w:t>risk associated with a project needs at least some consideration of how a prospective participant may view it.</w:t>
      </w:r>
      <w:r w:rsidR="006A506C">
        <w:rPr>
          <w:rStyle w:val="FootnoteReference"/>
          <w:rFonts w:ascii="Times New Roman" w:hAnsi="Times New Roman" w:cs="Times New Roman"/>
          <w:sz w:val="24"/>
          <w:szCs w:val="24"/>
        </w:rPr>
        <w:footnoteReference w:id="79"/>
      </w:r>
      <w:r w:rsidR="00B95DC2">
        <w:rPr>
          <w:rFonts w:ascii="Times New Roman" w:hAnsi="Times New Roman" w:cs="Times New Roman"/>
          <w:sz w:val="24"/>
          <w:szCs w:val="24"/>
        </w:rPr>
        <w:t xml:space="preserve"> It is therefore sensible to be explicit about the fact subjective conside</w:t>
      </w:r>
      <w:r w:rsidR="00D64FEE">
        <w:rPr>
          <w:rFonts w:ascii="Times New Roman" w:hAnsi="Times New Roman" w:cs="Times New Roman"/>
          <w:sz w:val="24"/>
          <w:szCs w:val="24"/>
        </w:rPr>
        <w:t>rations also have a role to play</w:t>
      </w:r>
      <w:r w:rsidR="00704B3E">
        <w:rPr>
          <w:rFonts w:ascii="Times New Roman" w:hAnsi="Times New Roman" w:cs="Times New Roman"/>
          <w:sz w:val="24"/>
          <w:szCs w:val="24"/>
        </w:rPr>
        <w:t xml:space="preserve"> in the assessment of research </w:t>
      </w:r>
      <w:r w:rsidR="00355B8D">
        <w:rPr>
          <w:rFonts w:ascii="Times New Roman" w:hAnsi="Times New Roman" w:cs="Times New Roman"/>
          <w:sz w:val="24"/>
          <w:szCs w:val="24"/>
        </w:rPr>
        <w:t>justified on the grounds of wider societal benefits</w:t>
      </w:r>
      <w:r w:rsidR="004529EC">
        <w:rPr>
          <w:rFonts w:ascii="Times New Roman" w:hAnsi="Times New Roman" w:cs="Times New Roman"/>
          <w:sz w:val="24"/>
          <w:szCs w:val="24"/>
        </w:rPr>
        <w:t xml:space="preserve">.  </w:t>
      </w:r>
      <w:r w:rsidR="00B95DC2">
        <w:rPr>
          <w:rFonts w:ascii="Times New Roman" w:hAnsi="Times New Roman" w:cs="Times New Roman"/>
          <w:sz w:val="24"/>
          <w:szCs w:val="24"/>
        </w:rPr>
        <w:t>Where</w:t>
      </w:r>
      <w:r w:rsidR="00F95F5C">
        <w:rPr>
          <w:rFonts w:ascii="Times New Roman" w:hAnsi="Times New Roman" w:cs="Times New Roman"/>
          <w:sz w:val="24"/>
          <w:szCs w:val="24"/>
        </w:rPr>
        <w:t xml:space="preserve"> a participant is able to express </w:t>
      </w:r>
      <w:r w:rsidR="00B95DC2">
        <w:rPr>
          <w:rFonts w:ascii="Times New Roman" w:hAnsi="Times New Roman" w:cs="Times New Roman"/>
          <w:sz w:val="24"/>
          <w:szCs w:val="24"/>
        </w:rPr>
        <w:t xml:space="preserve">enthusiasm for </w:t>
      </w:r>
      <w:r w:rsidR="00704B3E">
        <w:rPr>
          <w:rFonts w:ascii="Times New Roman" w:hAnsi="Times New Roman" w:cs="Times New Roman"/>
          <w:sz w:val="24"/>
          <w:szCs w:val="24"/>
        </w:rPr>
        <w:t xml:space="preserve">involvement </w:t>
      </w:r>
      <w:r w:rsidR="00F95F5C">
        <w:rPr>
          <w:rFonts w:ascii="Times New Roman" w:hAnsi="Times New Roman" w:cs="Times New Roman"/>
          <w:sz w:val="24"/>
          <w:szCs w:val="24"/>
        </w:rPr>
        <w:t>in a project</w:t>
      </w:r>
      <w:r w:rsidR="00BD73E8">
        <w:rPr>
          <w:rFonts w:ascii="Times New Roman" w:hAnsi="Times New Roman" w:cs="Times New Roman"/>
          <w:sz w:val="24"/>
          <w:szCs w:val="24"/>
        </w:rPr>
        <w:t>, it may colour any assessment of what</w:t>
      </w:r>
      <w:r w:rsidR="00704B3E">
        <w:rPr>
          <w:rFonts w:ascii="Times New Roman" w:hAnsi="Times New Roman" w:cs="Times New Roman"/>
          <w:sz w:val="24"/>
          <w:szCs w:val="24"/>
        </w:rPr>
        <w:t xml:space="preserve"> amounts to a negligible risk; a</w:t>
      </w:r>
      <w:r w:rsidR="00833440">
        <w:rPr>
          <w:rFonts w:ascii="Times New Roman" w:hAnsi="Times New Roman" w:cs="Times New Roman"/>
          <w:sz w:val="24"/>
          <w:szCs w:val="24"/>
        </w:rPr>
        <w:t xml:space="preserve"> risk may exist which</w:t>
      </w:r>
      <w:r w:rsidR="00A22CB2">
        <w:rPr>
          <w:rFonts w:ascii="Times New Roman" w:hAnsi="Times New Roman" w:cs="Times New Roman"/>
          <w:sz w:val="24"/>
          <w:szCs w:val="24"/>
        </w:rPr>
        <w:t xml:space="preserve"> to some reviewers </w:t>
      </w:r>
      <w:r w:rsidR="00F95F5C">
        <w:rPr>
          <w:rFonts w:ascii="Times New Roman" w:hAnsi="Times New Roman" w:cs="Times New Roman"/>
          <w:sz w:val="24"/>
          <w:szCs w:val="24"/>
        </w:rPr>
        <w:t xml:space="preserve">would </w:t>
      </w:r>
      <w:r w:rsidR="00833440">
        <w:rPr>
          <w:rFonts w:ascii="Times New Roman" w:hAnsi="Times New Roman" w:cs="Times New Roman"/>
          <w:sz w:val="24"/>
          <w:szCs w:val="24"/>
        </w:rPr>
        <w:t xml:space="preserve">appear </w:t>
      </w:r>
      <w:r w:rsidR="00BD73E8">
        <w:rPr>
          <w:rFonts w:ascii="Times New Roman" w:hAnsi="Times New Roman" w:cs="Times New Roman"/>
          <w:sz w:val="24"/>
          <w:szCs w:val="24"/>
        </w:rPr>
        <w:t>more than negligible, but</w:t>
      </w:r>
      <w:r w:rsidR="00833440">
        <w:rPr>
          <w:rFonts w:ascii="Times New Roman" w:hAnsi="Times New Roman" w:cs="Times New Roman"/>
          <w:sz w:val="24"/>
          <w:szCs w:val="24"/>
        </w:rPr>
        <w:t xml:space="preserve"> </w:t>
      </w:r>
      <w:r w:rsidR="00BD73E8">
        <w:rPr>
          <w:rFonts w:ascii="Times New Roman" w:hAnsi="Times New Roman" w:cs="Times New Roman"/>
          <w:sz w:val="24"/>
          <w:szCs w:val="24"/>
        </w:rPr>
        <w:t>from the perspect</w:t>
      </w:r>
      <w:r w:rsidR="00833440">
        <w:rPr>
          <w:rFonts w:ascii="Times New Roman" w:hAnsi="Times New Roman" w:cs="Times New Roman"/>
          <w:sz w:val="24"/>
          <w:szCs w:val="24"/>
        </w:rPr>
        <w:t xml:space="preserve">ive of a potential participant </w:t>
      </w:r>
      <w:r w:rsidR="00BD73E8">
        <w:rPr>
          <w:rFonts w:ascii="Times New Roman" w:hAnsi="Times New Roman" w:cs="Times New Roman"/>
          <w:sz w:val="24"/>
          <w:szCs w:val="24"/>
        </w:rPr>
        <w:t>i</w:t>
      </w:r>
      <w:r w:rsidR="005D3FEC">
        <w:rPr>
          <w:rFonts w:ascii="Times New Roman" w:hAnsi="Times New Roman" w:cs="Times New Roman"/>
          <w:sz w:val="24"/>
          <w:szCs w:val="24"/>
        </w:rPr>
        <w:t>t may</w:t>
      </w:r>
      <w:r w:rsidR="00833440">
        <w:rPr>
          <w:rFonts w:ascii="Times New Roman" w:hAnsi="Times New Roman" w:cs="Times New Roman"/>
          <w:sz w:val="24"/>
          <w:szCs w:val="24"/>
        </w:rPr>
        <w:t xml:space="preserve"> not be viewed in the same way.</w:t>
      </w:r>
    </w:p>
    <w:p w14:paraId="7DFD1059" w14:textId="43914FD8" w:rsidR="00CE40B6" w:rsidRDefault="00D4743C" w:rsidP="00E716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F04901">
        <w:rPr>
          <w:rFonts w:ascii="Times New Roman" w:hAnsi="Times New Roman" w:cs="Times New Roman"/>
          <w:sz w:val="24"/>
          <w:szCs w:val="24"/>
        </w:rPr>
        <w:t xml:space="preserve">he other protective measures under section 31 (6) are </w:t>
      </w:r>
      <w:r>
        <w:rPr>
          <w:rFonts w:ascii="Times New Roman" w:hAnsi="Times New Roman" w:cs="Times New Roman"/>
          <w:sz w:val="24"/>
          <w:szCs w:val="24"/>
        </w:rPr>
        <w:t xml:space="preserve">also </w:t>
      </w:r>
      <w:r w:rsidR="00F04901">
        <w:rPr>
          <w:rFonts w:ascii="Times New Roman" w:hAnsi="Times New Roman" w:cs="Times New Roman"/>
          <w:sz w:val="24"/>
          <w:szCs w:val="24"/>
        </w:rPr>
        <w:t>plagued by ambiguous phrases</w:t>
      </w:r>
      <w:r w:rsidR="00A22CB2">
        <w:rPr>
          <w:rFonts w:ascii="Times New Roman" w:hAnsi="Times New Roman" w:cs="Times New Roman"/>
          <w:sz w:val="24"/>
          <w:szCs w:val="24"/>
        </w:rPr>
        <w:t xml:space="preserve"> </w:t>
      </w:r>
      <w:r w:rsidR="00F04901">
        <w:rPr>
          <w:rFonts w:ascii="Times New Roman" w:hAnsi="Times New Roman" w:cs="Times New Roman"/>
          <w:sz w:val="24"/>
          <w:szCs w:val="24"/>
        </w:rPr>
        <w:t>that are very m</w:t>
      </w:r>
      <w:r w:rsidR="007C5E69">
        <w:rPr>
          <w:rFonts w:ascii="Times New Roman" w:hAnsi="Times New Roman" w:cs="Times New Roman"/>
          <w:sz w:val="24"/>
          <w:szCs w:val="24"/>
        </w:rPr>
        <w:t xml:space="preserve">uch dependant on </w:t>
      </w:r>
      <w:r w:rsidR="00833440">
        <w:rPr>
          <w:rFonts w:ascii="Times New Roman" w:hAnsi="Times New Roman" w:cs="Times New Roman"/>
          <w:sz w:val="24"/>
          <w:szCs w:val="24"/>
        </w:rPr>
        <w:t xml:space="preserve">an </w:t>
      </w:r>
      <w:r w:rsidR="007C5E69">
        <w:rPr>
          <w:rFonts w:ascii="Times New Roman" w:hAnsi="Times New Roman" w:cs="Times New Roman"/>
          <w:sz w:val="24"/>
          <w:szCs w:val="24"/>
        </w:rPr>
        <w:t>individual</w:t>
      </w:r>
      <w:r w:rsidR="00833440">
        <w:rPr>
          <w:rFonts w:ascii="Times New Roman" w:hAnsi="Times New Roman" w:cs="Times New Roman"/>
          <w:sz w:val="24"/>
          <w:szCs w:val="24"/>
        </w:rPr>
        <w:t xml:space="preserve">. Ensuring that anything done </w:t>
      </w:r>
      <w:r w:rsidR="00D6260E">
        <w:rPr>
          <w:rFonts w:ascii="Times New Roman" w:hAnsi="Times New Roman" w:cs="Times New Roman"/>
          <w:sz w:val="24"/>
          <w:szCs w:val="24"/>
        </w:rPr>
        <w:t xml:space="preserve">will not amount to a </w:t>
      </w:r>
      <w:r w:rsidR="00F04901">
        <w:rPr>
          <w:rFonts w:ascii="Times New Roman" w:hAnsi="Times New Roman" w:cs="Times New Roman"/>
          <w:sz w:val="24"/>
          <w:szCs w:val="24"/>
        </w:rPr>
        <w:t>‘significant’ i</w:t>
      </w:r>
      <w:r w:rsidR="00833440">
        <w:rPr>
          <w:rFonts w:ascii="Times New Roman" w:hAnsi="Times New Roman" w:cs="Times New Roman"/>
          <w:sz w:val="24"/>
          <w:szCs w:val="24"/>
        </w:rPr>
        <w:t xml:space="preserve">nterference with </w:t>
      </w:r>
      <w:r w:rsidR="00D6260E">
        <w:rPr>
          <w:rFonts w:ascii="Times New Roman" w:hAnsi="Times New Roman" w:cs="Times New Roman"/>
          <w:sz w:val="24"/>
          <w:szCs w:val="24"/>
        </w:rPr>
        <w:t xml:space="preserve">privacy needs at least some evaluation of </w:t>
      </w:r>
      <w:r w:rsidR="00833440">
        <w:rPr>
          <w:rFonts w:ascii="Times New Roman" w:hAnsi="Times New Roman" w:cs="Times New Roman"/>
          <w:sz w:val="24"/>
          <w:szCs w:val="24"/>
        </w:rPr>
        <w:t xml:space="preserve">a participant’s </w:t>
      </w:r>
      <w:r w:rsidR="00D6260E">
        <w:rPr>
          <w:rFonts w:ascii="Times New Roman" w:hAnsi="Times New Roman" w:cs="Times New Roman"/>
          <w:sz w:val="24"/>
          <w:szCs w:val="24"/>
        </w:rPr>
        <w:t>position and personal circumstances</w:t>
      </w:r>
      <w:r w:rsidR="007C5E69">
        <w:rPr>
          <w:rFonts w:ascii="Times New Roman" w:hAnsi="Times New Roman" w:cs="Times New Roman"/>
          <w:sz w:val="24"/>
          <w:szCs w:val="24"/>
        </w:rPr>
        <w:t xml:space="preserve">, because what amounts to </w:t>
      </w:r>
      <w:r w:rsidR="00D6260E">
        <w:rPr>
          <w:rFonts w:ascii="Times New Roman" w:hAnsi="Times New Roman" w:cs="Times New Roman"/>
          <w:sz w:val="24"/>
          <w:szCs w:val="24"/>
        </w:rPr>
        <w:t xml:space="preserve">a </w:t>
      </w:r>
      <w:r w:rsidR="007C5E69">
        <w:rPr>
          <w:rFonts w:ascii="Times New Roman" w:hAnsi="Times New Roman" w:cs="Times New Roman"/>
          <w:sz w:val="24"/>
          <w:szCs w:val="24"/>
        </w:rPr>
        <w:t>significant interference may vary greatly</w:t>
      </w:r>
      <w:r w:rsidR="00AC0940">
        <w:rPr>
          <w:rFonts w:ascii="Times New Roman" w:hAnsi="Times New Roman" w:cs="Times New Roman"/>
          <w:sz w:val="24"/>
          <w:szCs w:val="24"/>
        </w:rPr>
        <w:t>.</w:t>
      </w:r>
      <w:r w:rsidR="005D3FEC">
        <w:rPr>
          <w:rStyle w:val="FootnoteReference"/>
          <w:rFonts w:ascii="Times New Roman" w:hAnsi="Times New Roman" w:cs="Times New Roman"/>
          <w:sz w:val="24"/>
          <w:szCs w:val="24"/>
        </w:rPr>
        <w:footnoteReference w:id="80"/>
      </w:r>
      <w:r w:rsidR="00AC0940">
        <w:rPr>
          <w:rFonts w:ascii="Times New Roman" w:hAnsi="Times New Roman" w:cs="Times New Roman"/>
          <w:sz w:val="24"/>
          <w:szCs w:val="24"/>
        </w:rPr>
        <w:t xml:space="preserve">  Similar </w:t>
      </w:r>
      <w:r w:rsidR="002914F2">
        <w:rPr>
          <w:rFonts w:ascii="Times New Roman" w:hAnsi="Times New Roman" w:cs="Times New Roman"/>
          <w:sz w:val="24"/>
          <w:szCs w:val="24"/>
        </w:rPr>
        <w:t xml:space="preserve">complications are associated </w:t>
      </w:r>
      <w:r w:rsidR="00AC0940">
        <w:rPr>
          <w:rFonts w:ascii="Times New Roman" w:hAnsi="Times New Roman" w:cs="Times New Roman"/>
          <w:sz w:val="24"/>
          <w:szCs w:val="24"/>
        </w:rPr>
        <w:t xml:space="preserve">with the requirement not to do </w:t>
      </w:r>
      <w:r w:rsidR="00704B3E">
        <w:rPr>
          <w:rFonts w:ascii="Times New Roman" w:hAnsi="Times New Roman" w:cs="Times New Roman"/>
          <w:sz w:val="24"/>
          <w:szCs w:val="24"/>
        </w:rPr>
        <w:t xml:space="preserve">anything </w:t>
      </w:r>
      <w:r w:rsidR="00D6260E">
        <w:rPr>
          <w:rFonts w:ascii="Times New Roman" w:hAnsi="Times New Roman" w:cs="Times New Roman"/>
          <w:sz w:val="24"/>
          <w:szCs w:val="24"/>
        </w:rPr>
        <w:t>that is unduly invasive or restrictive</w:t>
      </w:r>
      <w:r w:rsidR="00F95F5C">
        <w:rPr>
          <w:rFonts w:ascii="Times New Roman" w:hAnsi="Times New Roman" w:cs="Times New Roman"/>
          <w:sz w:val="24"/>
          <w:szCs w:val="24"/>
        </w:rPr>
        <w:t xml:space="preserve">. The meaning of ‘unduly’ is </w:t>
      </w:r>
      <w:r w:rsidR="002914F2">
        <w:rPr>
          <w:rFonts w:ascii="Times New Roman" w:hAnsi="Times New Roman" w:cs="Times New Roman"/>
          <w:sz w:val="24"/>
          <w:szCs w:val="24"/>
        </w:rPr>
        <w:t xml:space="preserve">subject to </w:t>
      </w:r>
      <w:r w:rsidR="00D6260E">
        <w:rPr>
          <w:rFonts w:ascii="Times New Roman" w:hAnsi="Times New Roman" w:cs="Times New Roman"/>
          <w:sz w:val="24"/>
          <w:szCs w:val="24"/>
        </w:rPr>
        <w:t xml:space="preserve">the </w:t>
      </w:r>
      <w:r w:rsidR="00042F02">
        <w:rPr>
          <w:rFonts w:ascii="Times New Roman" w:hAnsi="Times New Roman" w:cs="Times New Roman"/>
          <w:sz w:val="24"/>
          <w:szCs w:val="24"/>
        </w:rPr>
        <w:t>specifics of the t</w:t>
      </w:r>
      <w:r w:rsidR="002914F2">
        <w:rPr>
          <w:rFonts w:ascii="Times New Roman" w:hAnsi="Times New Roman" w:cs="Times New Roman"/>
          <w:sz w:val="24"/>
          <w:szCs w:val="24"/>
        </w:rPr>
        <w:t xml:space="preserve">ype of research in question and how it may impact </w:t>
      </w:r>
      <w:r w:rsidR="00042F02">
        <w:rPr>
          <w:rFonts w:ascii="Times New Roman" w:hAnsi="Times New Roman" w:cs="Times New Roman"/>
          <w:sz w:val="24"/>
          <w:szCs w:val="24"/>
        </w:rPr>
        <w:t>upon a range of participants in potentially different ways.</w:t>
      </w:r>
      <w:r w:rsidR="005D3FEC">
        <w:rPr>
          <w:rStyle w:val="FootnoteReference"/>
          <w:rFonts w:ascii="Times New Roman" w:hAnsi="Times New Roman" w:cs="Times New Roman"/>
          <w:sz w:val="24"/>
          <w:szCs w:val="24"/>
        </w:rPr>
        <w:footnoteReference w:id="81"/>
      </w:r>
      <w:r w:rsidR="00042F02">
        <w:rPr>
          <w:rFonts w:ascii="Times New Roman" w:hAnsi="Times New Roman" w:cs="Times New Roman"/>
          <w:sz w:val="24"/>
          <w:szCs w:val="24"/>
        </w:rPr>
        <w:t xml:space="preserve">  </w:t>
      </w:r>
      <w:r w:rsidR="005D3FEC">
        <w:rPr>
          <w:rFonts w:ascii="Times New Roman" w:hAnsi="Times New Roman" w:cs="Times New Roman"/>
          <w:sz w:val="24"/>
          <w:szCs w:val="24"/>
        </w:rPr>
        <w:t xml:space="preserve">Accordingly, </w:t>
      </w:r>
      <w:r w:rsidR="00042F02">
        <w:rPr>
          <w:rFonts w:ascii="Times New Roman" w:hAnsi="Times New Roman" w:cs="Times New Roman"/>
          <w:sz w:val="24"/>
          <w:szCs w:val="24"/>
        </w:rPr>
        <w:t>a p</w:t>
      </w:r>
      <w:r w:rsidR="00AC0940">
        <w:rPr>
          <w:rFonts w:ascii="Times New Roman" w:hAnsi="Times New Roman" w:cs="Times New Roman"/>
          <w:sz w:val="24"/>
          <w:szCs w:val="24"/>
        </w:rPr>
        <w:t>attern emerges which belies the</w:t>
      </w:r>
      <w:r w:rsidR="00042F02">
        <w:rPr>
          <w:rFonts w:ascii="Times New Roman" w:hAnsi="Times New Roman" w:cs="Times New Roman"/>
          <w:sz w:val="24"/>
          <w:szCs w:val="24"/>
        </w:rPr>
        <w:t xml:space="preserve"> notion that section 31 (5) (b) demands a wholly </w:t>
      </w:r>
      <w:r w:rsidR="00355B8D">
        <w:rPr>
          <w:rFonts w:ascii="Times New Roman" w:hAnsi="Times New Roman" w:cs="Times New Roman"/>
          <w:sz w:val="24"/>
          <w:szCs w:val="24"/>
        </w:rPr>
        <w:t xml:space="preserve">objective examination when </w:t>
      </w:r>
      <w:r w:rsidR="00042F02">
        <w:rPr>
          <w:rFonts w:ascii="Times New Roman" w:hAnsi="Times New Roman" w:cs="Times New Roman"/>
          <w:sz w:val="24"/>
          <w:szCs w:val="24"/>
        </w:rPr>
        <w:t xml:space="preserve">assessing </w:t>
      </w:r>
      <w:r w:rsidR="00670608">
        <w:rPr>
          <w:rFonts w:ascii="Times New Roman" w:hAnsi="Times New Roman" w:cs="Times New Roman"/>
          <w:sz w:val="24"/>
          <w:szCs w:val="24"/>
        </w:rPr>
        <w:t xml:space="preserve">any potential wider </w:t>
      </w:r>
      <w:r w:rsidR="00670608">
        <w:rPr>
          <w:rFonts w:ascii="Times New Roman" w:hAnsi="Times New Roman" w:cs="Times New Roman"/>
          <w:sz w:val="24"/>
          <w:szCs w:val="24"/>
        </w:rPr>
        <w:lastRenderedPageBreak/>
        <w:t>societal benefits</w:t>
      </w:r>
      <w:r w:rsidR="00BF0188">
        <w:rPr>
          <w:rFonts w:ascii="Times New Roman" w:hAnsi="Times New Roman" w:cs="Times New Roman"/>
          <w:sz w:val="24"/>
          <w:szCs w:val="24"/>
        </w:rPr>
        <w:t xml:space="preserve"> stemming from research</w:t>
      </w:r>
      <w:r w:rsidR="00670608">
        <w:rPr>
          <w:rFonts w:ascii="Times New Roman" w:hAnsi="Times New Roman" w:cs="Times New Roman"/>
          <w:sz w:val="24"/>
          <w:szCs w:val="24"/>
        </w:rPr>
        <w:t xml:space="preserve">.  Operating in tandem with </w:t>
      </w:r>
      <w:r w:rsidR="00042F02">
        <w:rPr>
          <w:rFonts w:ascii="Times New Roman" w:hAnsi="Times New Roman" w:cs="Times New Roman"/>
          <w:sz w:val="24"/>
          <w:szCs w:val="24"/>
        </w:rPr>
        <w:t>the additional protective mechanisms under section 31 (6)</w:t>
      </w:r>
      <w:r w:rsidR="00670608">
        <w:rPr>
          <w:rFonts w:ascii="Times New Roman" w:hAnsi="Times New Roman" w:cs="Times New Roman"/>
          <w:sz w:val="24"/>
          <w:szCs w:val="24"/>
        </w:rPr>
        <w:t xml:space="preserve">, it is clear that both objective </w:t>
      </w:r>
      <w:r>
        <w:rPr>
          <w:rFonts w:ascii="Times New Roman" w:hAnsi="Times New Roman" w:cs="Times New Roman"/>
          <w:sz w:val="24"/>
          <w:szCs w:val="24"/>
        </w:rPr>
        <w:t xml:space="preserve">and subjective factors </w:t>
      </w:r>
      <w:r w:rsidR="00670608">
        <w:rPr>
          <w:rFonts w:ascii="Times New Roman" w:hAnsi="Times New Roman" w:cs="Times New Roman"/>
          <w:sz w:val="24"/>
          <w:szCs w:val="24"/>
        </w:rPr>
        <w:t xml:space="preserve">need to be considered in a manner that is </w:t>
      </w:r>
      <w:r w:rsidR="00F95F5C">
        <w:rPr>
          <w:rFonts w:ascii="Times New Roman" w:hAnsi="Times New Roman" w:cs="Times New Roman"/>
          <w:sz w:val="24"/>
          <w:szCs w:val="24"/>
        </w:rPr>
        <w:t xml:space="preserve">again </w:t>
      </w:r>
      <w:r w:rsidR="00670608">
        <w:rPr>
          <w:rFonts w:ascii="Times New Roman" w:hAnsi="Times New Roman" w:cs="Times New Roman"/>
          <w:sz w:val="24"/>
          <w:szCs w:val="24"/>
        </w:rPr>
        <w:t>not entirely</w:t>
      </w:r>
      <w:r w:rsidR="001853DE">
        <w:rPr>
          <w:rFonts w:ascii="Times New Roman" w:hAnsi="Times New Roman" w:cs="Times New Roman"/>
          <w:sz w:val="24"/>
          <w:szCs w:val="24"/>
        </w:rPr>
        <w:t xml:space="preserve"> inconsistent </w:t>
      </w:r>
      <w:r w:rsidR="00355B8D">
        <w:rPr>
          <w:rFonts w:ascii="Times New Roman" w:hAnsi="Times New Roman" w:cs="Times New Roman"/>
          <w:sz w:val="24"/>
          <w:szCs w:val="24"/>
        </w:rPr>
        <w:t xml:space="preserve">with the section 4 </w:t>
      </w:r>
      <w:r w:rsidR="00BF0188">
        <w:rPr>
          <w:rFonts w:ascii="Times New Roman" w:hAnsi="Times New Roman" w:cs="Times New Roman"/>
          <w:sz w:val="24"/>
          <w:szCs w:val="24"/>
        </w:rPr>
        <w:t>best interests</w:t>
      </w:r>
      <w:r>
        <w:rPr>
          <w:rFonts w:ascii="Times New Roman" w:hAnsi="Times New Roman" w:cs="Times New Roman"/>
          <w:sz w:val="24"/>
          <w:szCs w:val="24"/>
        </w:rPr>
        <w:t xml:space="preserve"> approach</w:t>
      </w:r>
      <w:r w:rsidR="005D3FEC">
        <w:rPr>
          <w:rFonts w:ascii="Times New Roman" w:hAnsi="Times New Roman" w:cs="Times New Roman"/>
          <w:sz w:val="24"/>
          <w:szCs w:val="24"/>
        </w:rPr>
        <w:t xml:space="preserve">.  </w:t>
      </w:r>
    </w:p>
    <w:p w14:paraId="7C377704" w14:textId="5C92057C" w:rsidR="00A22CB2" w:rsidRDefault="00A22CB2" w:rsidP="00E71652">
      <w:pPr>
        <w:spacing w:after="0" w:line="240" w:lineRule="auto"/>
        <w:jc w:val="both"/>
        <w:rPr>
          <w:rFonts w:ascii="Times New Roman" w:hAnsi="Times New Roman" w:cs="Times New Roman"/>
          <w:sz w:val="24"/>
          <w:szCs w:val="24"/>
        </w:rPr>
      </w:pPr>
    </w:p>
    <w:p w14:paraId="14982777" w14:textId="37982CFA" w:rsidR="00704B3E" w:rsidRDefault="00704B3E" w:rsidP="002538E1">
      <w:pPr>
        <w:spacing w:after="0" w:line="360" w:lineRule="auto"/>
        <w:contextualSpacing/>
        <w:jc w:val="both"/>
        <w:rPr>
          <w:rFonts w:ascii="Times New Roman" w:hAnsi="Times New Roman" w:cs="Times New Roman"/>
          <w:b/>
          <w:i/>
          <w:sz w:val="24"/>
          <w:szCs w:val="24"/>
        </w:rPr>
      </w:pPr>
      <w:r>
        <w:rPr>
          <w:rFonts w:ascii="Times New Roman" w:hAnsi="Times New Roman" w:cs="Times New Roman"/>
          <w:b/>
          <w:i/>
          <w:sz w:val="24"/>
          <w:szCs w:val="24"/>
        </w:rPr>
        <w:t xml:space="preserve">iii) The Bespoke </w:t>
      </w:r>
      <w:r w:rsidR="007F09F4" w:rsidRPr="006B422C">
        <w:rPr>
          <w:rFonts w:ascii="Times New Roman" w:hAnsi="Times New Roman" w:cs="Times New Roman"/>
          <w:b/>
          <w:i/>
          <w:sz w:val="24"/>
          <w:szCs w:val="24"/>
        </w:rPr>
        <w:t>R</w:t>
      </w:r>
      <w:r w:rsidR="00CE40B6" w:rsidRPr="006B422C">
        <w:rPr>
          <w:rFonts w:ascii="Times New Roman" w:hAnsi="Times New Roman" w:cs="Times New Roman"/>
          <w:b/>
          <w:i/>
          <w:sz w:val="24"/>
          <w:szCs w:val="24"/>
        </w:rPr>
        <w:t>esearch</w:t>
      </w:r>
      <w:r w:rsidR="007F09F4" w:rsidRPr="006B422C">
        <w:rPr>
          <w:rFonts w:ascii="Times New Roman" w:hAnsi="Times New Roman" w:cs="Times New Roman"/>
          <w:b/>
          <w:i/>
          <w:sz w:val="24"/>
          <w:szCs w:val="24"/>
        </w:rPr>
        <w:t xml:space="preserve"> P</w:t>
      </w:r>
      <w:r w:rsidR="00CE40B6" w:rsidRPr="006B422C">
        <w:rPr>
          <w:rFonts w:ascii="Times New Roman" w:hAnsi="Times New Roman" w:cs="Times New Roman"/>
          <w:b/>
          <w:i/>
          <w:sz w:val="24"/>
          <w:szCs w:val="24"/>
        </w:rPr>
        <w:t>rovisions</w:t>
      </w:r>
      <w:r>
        <w:rPr>
          <w:rFonts w:ascii="Times New Roman" w:hAnsi="Times New Roman" w:cs="Times New Roman"/>
          <w:b/>
          <w:i/>
          <w:sz w:val="24"/>
          <w:szCs w:val="24"/>
        </w:rPr>
        <w:t>: Justified Abandonment of Best Interests?</w:t>
      </w:r>
    </w:p>
    <w:p w14:paraId="70690F74" w14:textId="3EDF36D5" w:rsidR="00962F93" w:rsidRPr="006B422C" w:rsidRDefault="0072190E" w:rsidP="002538E1">
      <w:pPr>
        <w:spacing w:after="0" w:line="360" w:lineRule="auto"/>
        <w:contextualSpacing/>
        <w:jc w:val="both"/>
        <w:rPr>
          <w:rFonts w:ascii="Times New Roman" w:hAnsi="Times New Roman" w:cs="Times New Roman"/>
          <w:b/>
          <w:i/>
          <w:sz w:val="24"/>
          <w:szCs w:val="24"/>
        </w:rPr>
      </w:pPr>
      <w:r w:rsidRPr="006B422C">
        <w:rPr>
          <w:rFonts w:ascii="Times New Roman" w:hAnsi="Times New Roman" w:cs="Times New Roman"/>
          <w:sz w:val="24"/>
          <w:szCs w:val="24"/>
        </w:rPr>
        <w:t xml:space="preserve">While </w:t>
      </w:r>
      <w:r w:rsidR="002E3C4E" w:rsidRPr="006B422C">
        <w:rPr>
          <w:rFonts w:ascii="Times New Roman" w:hAnsi="Times New Roman" w:cs="Times New Roman"/>
          <w:sz w:val="24"/>
          <w:szCs w:val="24"/>
        </w:rPr>
        <w:t xml:space="preserve">the requirements for approval of research </w:t>
      </w:r>
      <w:r w:rsidR="00B26A53" w:rsidRPr="006B422C">
        <w:rPr>
          <w:rFonts w:ascii="Times New Roman" w:hAnsi="Times New Roman" w:cs="Times New Roman"/>
          <w:sz w:val="24"/>
          <w:szCs w:val="24"/>
        </w:rPr>
        <w:t>under sections 31 (5) (a) and (b)</w:t>
      </w:r>
      <w:r w:rsidR="006D45CC">
        <w:rPr>
          <w:rFonts w:ascii="Times New Roman" w:hAnsi="Times New Roman" w:cs="Times New Roman"/>
          <w:sz w:val="24"/>
          <w:szCs w:val="24"/>
        </w:rPr>
        <w:t xml:space="preserve"> of the MCA</w:t>
      </w:r>
      <w:r w:rsidR="00B26A53" w:rsidRPr="006B422C">
        <w:rPr>
          <w:rFonts w:ascii="Times New Roman" w:hAnsi="Times New Roman" w:cs="Times New Roman"/>
          <w:sz w:val="24"/>
          <w:szCs w:val="24"/>
        </w:rPr>
        <w:t xml:space="preserve"> </w:t>
      </w:r>
      <w:r w:rsidRPr="006B422C">
        <w:rPr>
          <w:rFonts w:ascii="Times New Roman" w:hAnsi="Times New Roman" w:cs="Times New Roman"/>
          <w:sz w:val="24"/>
          <w:szCs w:val="24"/>
        </w:rPr>
        <w:t xml:space="preserve">are </w:t>
      </w:r>
      <w:r w:rsidR="00173B5C" w:rsidRPr="006B422C">
        <w:rPr>
          <w:rFonts w:ascii="Times New Roman" w:hAnsi="Times New Roman" w:cs="Times New Roman"/>
          <w:sz w:val="24"/>
          <w:szCs w:val="24"/>
        </w:rPr>
        <w:t>phrased</w:t>
      </w:r>
      <w:r w:rsidR="006D45CC">
        <w:rPr>
          <w:rFonts w:ascii="Times New Roman" w:hAnsi="Times New Roman" w:cs="Times New Roman"/>
          <w:sz w:val="24"/>
          <w:szCs w:val="24"/>
        </w:rPr>
        <w:t xml:space="preserve"> differently, in reality </w:t>
      </w:r>
      <w:r w:rsidRPr="006B422C">
        <w:rPr>
          <w:rFonts w:ascii="Times New Roman" w:hAnsi="Times New Roman" w:cs="Times New Roman"/>
          <w:sz w:val="24"/>
          <w:szCs w:val="24"/>
        </w:rPr>
        <w:t>they operate in much the same way as the best interests standard.  T</w:t>
      </w:r>
      <w:r w:rsidR="00824D38" w:rsidRPr="006B422C">
        <w:rPr>
          <w:rFonts w:ascii="Times New Roman" w:hAnsi="Times New Roman" w:cs="Times New Roman"/>
          <w:sz w:val="24"/>
          <w:szCs w:val="24"/>
        </w:rPr>
        <w:t xml:space="preserve">here is a significant amount of replication between </w:t>
      </w:r>
      <w:r w:rsidR="003D6D93" w:rsidRPr="006B422C">
        <w:rPr>
          <w:rFonts w:ascii="Times New Roman" w:hAnsi="Times New Roman" w:cs="Times New Roman"/>
          <w:sz w:val="24"/>
          <w:szCs w:val="24"/>
        </w:rPr>
        <w:t xml:space="preserve">the nature of the factors that must be considered under </w:t>
      </w:r>
      <w:r w:rsidRPr="006B422C">
        <w:rPr>
          <w:rFonts w:ascii="Times New Roman" w:hAnsi="Times New Roman" w:cs="Times New Roman"/>
          <w:sz w:val="24"/>
          <w:szCs w:val="24"/>
        </w:rPr>
        <w:t>both approaches, so it is difficult to discern</w:t>
      </w:r>
      <w:r w:rsidR="001D4040">
        <w:rPr>
          <w:rFonts w:ascii="Times New Roman" w:hAnsi="Times New Roman" w:cs="Times New Roman"/>
          <w:sz w:val="24"/>
          <w:szCs w:val="24"/>
        </w:rPr>
        <w:t xml:space="preserve"> where the bespoke research principles add benefit</w:t>
      </w:r>
      <w:r w:rsidRPr="006B422C">
        <w:rPr>
          <w:rFonts w:ascii="Times New Roman" w:hAnsi="Times New Roman" w:cs="Times New Roman"/>
          <w:sz w:val="24"/>
          <w:szCs w:val="24"/>
        </w:rPr>
        <w:t xml:space="preserve">.  On the contrary, the research provisions are </w:t>
      </w:r>
      <w:r w:rsidR="00FD5DC3" w:rsidRPr="006B422C">
        <w:rPr>
          <w:rFonts w:ascii="Times New Roman" w:hAnsi="Times New Roman" w:cs="Times New Roman"/>
          <w:sz w:val="24"/>
          <w:szCs w:val="24"/>
        </w:rPr>
        <w:t xml:space="preserve">so </w:t>
      </w:r>
      <w:r w:rsidR="0004594A" w:rsidRPr="006B422C">
        <w:rPr>
          <w:rFonts w:ascii="Times New Roman" w:hAnsi="Times New Roman" w:cs="Times New Roman"/>
          <w:sz w:val="24"/>
          <w:szCs w:val="24"/>
        </w:rPr>
        <w:t>opaque</w:t>
      </w:r>
      <w:r w:rsidR="00FD5DC3" w:rsidRPr="006B422C">
        <w:rPr>
          <w:rFonts w:ascii="Times New Roman" w:hAnsi="Times New Roman" w:cs="Times New Roman"/>
          <w:sz w:val="24"/>
          <w:szCs w:val="24"/>
        </w:rPr>
        <w:t xml:space="preserve"> in places tha</w:t>
      </w:r>
      <w:r w:rsidR="00A22D9B" w:rsidRPr="006B422C">
        <w:rPr>
          <w:rFonts w:ascii="Times New Roman" w:hAnsi="Times New Roman" w:cs="Times New Roman"/>
          <w:sz w:val="24"/>
          <w:szCs w:val="24"/>
        </w:rPr>
        <w:t xml:space="preserve">t they become </w:t>
      </w:r>
      <w:r w:rsidR="00FD5DC3" w:rsidRPr="006B422C">
        <w:rPr>
          <w:rFonts w:ascii="Times New Roman" w:hAnsi="Times New Roman" w:cs="Times New Roman"/>
          <w:sz w:val="24"/>
          <w:szCs w:val="24"/>
        </w:rPr>
        <w:t>difficult to translate int</w:t>
      </w:r>
      <w:r w:rsidRPr="006B422C">
        <w:rPr>
          <w:rFonts w:ascii="Times New Roman" w:hAnsi="Times New Roman" w:cs="Times New Roman"/>
          <w:sz w:val="24"/>
          <w:szCs w:val="24"/>
        </w:rPr>
        <w:t xml:space="preserve">o a working model of assessment and therefore frustrate, rather than facilitate, research.  </w:t>
      </w:r>
      <w:r w:rsidR="003D6D93" w:rsidRPr="006B422C">
        <w:rPr>
          <w:rFonts w:ascii="Times New Roman" w:hAnsi="Times New Roman" w:cs="Times New Roman"/>
          <w:sz w:val="24"/>
          <w:szCs w:val="24"/>
        </w:rPr>
        <w:t>A</w:t>
      </w:r>
      <w:r w:rsidR="00B60044" w:rsidRPr="006B422C">
        <w:rPr>
          <w:rFonts w:ascii="Times New Roman" w:hAnsi="Times New Roman" w:cs="Times New Roman"/>
          <w:sz w:val="24"/>
          <w:szCs w:val="24"/>
        </w:rPr>
        <w:t xml:space="preserve">rguably the only thing they have </w:t>
      </w:r>
      <w:r w:rsidR="00C57127" w:rsidRPr="006B422C">
        <w:rPr>
          <w:rFonts w:ascii="Times New Roman" w:hAnsi="Times New Roman" w:cs="Times New Roman"/>
          <w:sz w:val="24"/>
          <w:szCs w:val="24"/>
        </w:rPr>
        <w:t xml:space="preserve">accomplished </w:t>
      </w:r>
      <w:r w:rsidR="00824D38" w:rsidRPr="006B422C">
        <w:rPr>
          <w:rFonts w:ascii="Times New Roman" w:hAnsi="Times New Roman" w:cs="Times New Roman"/>
          <w:sz w:val="24"/>
          <w:szCs w:val="24"/>
        </w:rPr>
        <w:t xml:space="preserve">is to </w:t>
      </w:r>
      <w:r w:rsidR="00D63E3E">
        <w:rPr>
          <w:rFonts w:ascii="Times New Roman" w:hAnsi="Times New Roman" w:cs="Times New Roman"/>
          <w:sz w:val="24"/>
          <w:szCs w:val="24"/>
        </w:rPr>
        <w:t xml:space="preserve">create </w:t>
      </w:r>
      <w:r w:rsidR="00824D38" w:rsidRPr="006B422C">
        <w:rPr>
          <w:rFonts w:ascii="Times New Roman" w:hAnsi="Times New Roman" w:cs="Times New Roman"/>
          <w:sz w:val="24"/>
          <w:szCs w:val="24"/>
        </w:rPr>
        <w:t>a sense of confusion amongst those who have to apply them</w:t>
      </w:r>
      <w:r w:rsidR="001925C6">
        <w:rPr>
          <w:rFonts w:ascii="Times New Roman" w:hAnsi="Times New Roman" w:cs="Times New Roman"/>
          <w:sz w:val="24"/>
          <w:szCs w:val="24"/>
        </w:rPr>
        <w:t xml:space="preserve">, and a lack of consistency between </w:t>
      </w:r>
      <w:r w:rsidRPr="006B422C">
        <w:rPr>
          <w:rFonts w:ascii="Times New Roman" w:hAnsi="Times New Roman" w:cs="Times New Roman"/>
          <w:sz w:val="24"/>
          <w:szCs w:val="24"/>
        </w:rPr>
        <w:t>different aspects of the MCA</w:t>
      </w:r>
      <w:r w:rsidR="00D63E3E">
        <w:rPr>
          <w:rFonts w:ascii="Times New Roman" w:hAnsi="Times New Roman" w:cs="Times New Roman"/>
          <w:sz w:val="24"/>
          <w:szCs w:val="24"/>
        </w:rPr>
        <w:t xml:space="preserve">, where it may have been more effective </w:t>
      </w:r>
      <w:r w:rsidR="003154C3" w:rsidRPr="006B422C">
        <w:rPr>
          <w:rFonts w:ascii="Times New Roman" w:hAnsi="Times New Roman" w:cs="Times New Roman"/>
          <w:sz w:val="24"/>
          <w:szCs w:val="24"/>
        </w:rPr>
        <w:t xml:space="preserve">for the legislation to remain more streamlined across </w:t>
      </w:r>
      <w:r w:rsidR="001925C6">
        <w:rPr>
          <w:rFonts w:ascii="Times New Roman" w:hAnsi="Times New Roman" w:cs="Times New Roman"/>
          <w:sz w:val="24"/>
          <w:szCs w:val="24"/>
        </w:rPr>
        <w:t xml:space="preserve">all </w:t>
      </w:r>
      <w:r w:rsidR="003154C3" w:rsidRPr="006B422C">
        <w:rPr>
          <w:rFonts w:ascii="Times New Roman" w:hAnsi="Times New Roman" w:cs="Times New Roman"/>
          <w:sz w:val="24"/>
          <w:szCs w:val="24"/>
        </w:rPr>
        <w:t>areas of treatment, finances and research.</w:t>
      </w:r>
    </w:p>
    <w:p w14:paraId="2B562ADB" w14:textId="7A00A492" w:rsidR="001925C6" w:rsidRDefault="00962F93" w:rsidP="00FA7CDC">
      <w:pPr>
        <w:spacing w:before="240" w:after="0" w:line="360" w:lineRule="auto"/>
        <w:contextualSpacing/>
        <w:jc w:val="both"/>
        <w:rPr>
          <w:rFonts w:ascii="Times New Roman" w:hAnsi="Times New Roman" w:cs="Times New Roman"/>
          <w:sz w:val="24"/>
          <w:szCs w:val="24"/>
        </w:rPr>
      </w:pPr>
      <w:r w:rsidRPr="006B422C">
        <w:rPr>
          <w:rFonts w:ascii="Times New Roman" w:hAnsi="Times New Roman" w:cs="Times New Roman"/>
          <w:sz w:val="24"/>
          <w:szCs w:val="24"/>
        </w:rPr>
        <w:tab/>
      </w:r>
      <w:r w:rsidR="00B60044" w:rsidRPr="006B422C">
        <w:rPr>
          <w:rFonts w:ascii="Times New Roman" w:hAnsi="Times New Roman" w:cs="Times New Roman"/>
          <w:sz w:val="24"/>
          <w:szCs w:val="24"/>
        </w:rPr>
        <w:t xml:space="preserve">Instead of incorporating a separate set of substantive thresholds, </w:t>
      </w:r>
      <w:r w:rsidR="00824D38" w:rsidRPr="006B422C">
        <w:rPr>
          <w:rFonts w:ascii="Times New Roman" w:hAnsi="Times New Roman" w:cs="Times New Roman"/>
          <w:sz w:val="24"/>
          <w:szCs w:val="24"/>
        </w:rPr>
        <w:t>it may</w:t>
      </w:r>
      <w:r w:rsidR="00B60044" w:rsidRPr="006B422C">
        <w:rPr>
          <w:rFonts w:ascii="Times New Roman" w:hAnsi="Times New Roman" w:cs="Times New Roman"/>
          <w:sz w:val="24"/>
          <w:szCs w:val="24"/>
        </w:rPr>
        <w:t xml:space="preserve"> </w:t>
      </w:r>
      <w:r w:rsidR="00824D38" w:rsidRPr="006B422C">
        <w:rPr>
          <w:rFonts w:ascii="Times New Roman" w:hAnsi="Times New Roman" w:cs="Times New Roman"/>
          <w:sz w:val="24"/>
          <w:szCs w:val="24"/>
        </w:rPr>
        <w:t xml:space="preserve">have </w:t>
      </w:r>
      <w:r w:rsidR="00B60044" w:rsidRPr="006B422C">
        <w:rPr>
          <w:rFonts w:ascii="Times New Roman" w:hAnsi="Times New Roman" w:cs="Times New Roman"/>
          <w:sz w:val="24"/>
          <w:szCs w:val="24"/>
        </w:rPr>
        <w:t xml:space="preserve">been simpler and </w:t>
      </w:r>
      <w:r w:rsidR="00C57127" w:rsidRPr="006B422C">
        <w:rPr>
          <w:rFonts w:ascii="Times New Roman" w:hAnsi="Times New Roman" w:cs="Times New Roman"/>
          <w:sz w:val="24"/>
          <w:szCs w:val="24"/>
        </w:rPr>
        <w:t xml:space="preserve">more </w:t>
      </w:r>
      <w:r w:rsidR="00B60044" w:rsidRPr="006B422C">
        <w:rPr>
          <w:rFonts w:ascii="Times New Roman" w:hAnsi="Times New Roman" w:cs="Times New Roman"/>
          <w:sz w:val="24"/>
          <w:szCs w:val="24"/>
        </w:rPr>
        <w:t xml:space="preserve">effective </w:t>
      </w:r>
      <w:r w:rsidR="00824D38" w:rsidRPr="006B422C">
        <w:rPr>
          <w:rFonts w:ascii="Times New Roman" w:hAnsi="Times New Roman" w:cs="Times New Roman"/>
          <w:sz w:val="24"/>
          <w:szCs w:val="24"/>
        </w:rPr>
        <w:t>to require b</w:t>
      </w:r>
      <w:r w:rsidR="00B60044" w:rsidRPr="006B422C">
        <w:rPr>
          <w:rFonts w:ascii="Times New Roman" w:hAnsi="Times New Roman" w:cs="Times New Roman"/>
          <w:sz w:val="24"/>
          <w:szCs w:val="24"/>
        </w:rPr>
        <w:t xml:space="preserve">oth researchers and MCA RECs to </w:t>
      </w:r>
      <w:r w:rsidR="00C57127" w:rsidRPr="006B422C">
        <w:rPr>
          <w:rFonts w:ascii="Times New Roman" w:hAnsi="Times New Roman" w:cs="Times New Roman"/>
          <w:sz w:val="24"/>
          <w:szCs w:val="24"/>
        </w:rPr>
        <w:t xml:space="preserve">undertake </w:t>
      </w:r>
      <w:r w:rsidR="00B60044" w:rsidRPr="006B422C">
        <w:rPr>
          <w:rFonts w:ascii="Times New Roman" w:hAnsi="Times New Roman" w:cs="Times New Roman"/>
          <w:sz w:val="24"/>
          <w:szCs w:val="24"/>
        </w:rPr>
        <w:t xml:space="preserve">a best </w:t>
      </w:r>
      <w:proofErr w:type="gramStart"/>
      <w:r w:rsidR="00B60044" w:rsidRPr="006B422C">
        <w:rPr>
          <w:rFonts w:ascii="Times New Roman" w:hAnsi="Times New Roman" w:cs="Times New Roman"/>
          <w:sz w:val="24"/>
          <w:szCs w:val="24"/>
        </w:rPr>
        <w:t>interests</w:t>
      </w:r>
      <w:proofErr w:type="gramEnd"/>
      <w:r w:rsidR="00B60044" w:rsidRPr="006B422C">
        <w:rPr>
          <w:rFonts w:ascii="Times New Roman" w:hAnsi="Times New Roman" w:cs="Times New Roman"/>
          <w:sz w:val="24"/>
          <w:szCs w:val="24"/>
        </w:rPr>
        <w:t xml:space="preserve"> assessment </w:t>
      </w:r>
      <w:r w:rsidR="00590F39" w:rsidRPr="006B422C">
        <w:rPr>
          <w:rFonts w:ascii="Times New Roman" w:hAnsi="Times New Roman" w:cs="Times New Roman"/>
          <w:sz w:val="24"/>
          <w:szCs w:val="24"/>
        </w:rPr>
        <w:t xml:space="preserve">when assessing the validity of participation in </w:t>
      </w:r>
      <w:r w:rsidR="007317C4" w:rsidRPr="006B422C">
        <w:rPr>
          <w:rFonts w:ascii="Times New Roman" w:hAnsi="Times New Roman" w:cs="Times New Roman"/>
          <w:sz w:val="24"/>
          <w:szCs w:val="24"/>
        </w:rPr>
        <w:t>research</w:t>
      </w:r>
      <w:r w:rsidR="00824D38" w:rsidRPr="006B422C">
        <w:rPr>
          <w:rFonts w:ascii="Times New Roman" w:hAnsi="Times New Roman" w:cs="Times New Roman"/>
          <w:sz w:val="24"/>
          <w:szCs w:val="24"/>
        </w:rPr>
        <w:t>.</w:t>
      </w:r>
      <w:r w:rsidR="00590F39" w:rsidRPr="006B422C">
        <w:rPr>
          <w:rFonts w:ascii="Times New Roman" w:hAnsi="Times New Roman" w:cs="Times New Roman"/>
          <w:sz w:val="24"/>
          <w:szCs w:val="24"/>
        </w:rPr>
        <w:t xml:space="preserve">  </w:t>
      </w:r>
      <w:r w:rsidR="00230CD8" w:rsidRPr="006B422C">
        <w:rPr>
          <w:rFonts w:ascii="Times New Roman" w:hAnsi="Times New Roman" w:cs="Times New Roman"/>
          <w:sz w:val="24"/>
          <w:szCs w:val="24"/>
        </w:rPr>
        <w:t xml:space="preserve">First, those involved in working with individuals who lack capacity – whatever type of decision is at stake – may be more accustomed to the best interests test.  Applied to research, it may </w:t>
      </w:r>
      <w:r w:rsidR="003154C3" w:rsidRPr="006B422C">
        <w:rPr>
          <w:rFonts w:ascii="Times New Roman" w:hAnsi="Times New Roman" w:cs="Times New Roman"/>
          <w:sz w:val="24"/>
          <w:szCs w:val="24"/>
        </w:rPr>
        <w:t>therefore be more easily understood, because t</w:t>
      </w:r>
      <w:r w:rsidR="00230CD8" w:rsidRPr="006B422C">
        <w:rPr>
          <w:rFonts w:ascii="Times New Roman" w:hAnsi="Times New Roman" w:cs="Times New Roman"/>
          <w:sz w:val="24"/>
          <w:szCs w:val="24"/>
        </w:rPr>
        <w:t xml:space="preserve">he minds of </w:t>
      </w:r>
      <w:r w:rsidR="001925C6">
        <w:rPr>
          <w:rFonts w:ascii="Times New Roman" w:hAnsi="Times New Roman" w:cs="Times New Roman"/>
          <w:sz w:val="24"/>
          <w:szCs w:val="24"/>
        </w:rPr>
        <w:t xml:space="preserve">consultees and </w:t>
      </w:r>
      <w:r w:rsidR="00190639" w:rsidRPr="006B422C">
        <w:rPr>
          <w:rFonts w:ascii="Times New Roman" w:hAnsi="Times New Roman" w:cs="Times New Roman"/>
          <w:sz w:val="24"/>
          <w:szCs w:val="24"/>
        </w:rPr>
        <w:t xml:space="preserve">MCA REC member </w:t>
      </w:r>
      <w:r w:rsidR="00230CD8" w:rsidRPr="006B422C">
        <w:rPr>
          <w:rFonts w:ascii="Times New Roman" w:hAnsi="Times New Roman" w:cs="Times New Roman"/>
          <w:sz w:val="24"/>
          <w:szCs w:val="24"/>
        </w:rPr>
        <w:t xml:space="preserve">assessors </w:t>
      </w:r>
      <w:r w:rsidR="00903715" w:rsidRPr="006B422C">
        <w:rPr>
          <w:rFonts w:ascii="Times New Roman" w:hAnsi="Times New Roman" w:cs="Times New Roman"/>
          <w:sz w:val="24"/>
          <w:szCs w:val="24"/>
        </w:rPr>
        <w:t>may be</w:t>
      </w:r>
      <w:r w:rsidR="00230CD8" w:rsidRPr="006B422C">
        <w:rPr>
          <w:rFonts w:ascii="Times New Roman" w:hAnsi="Times New Roman" w:cs="Times New Roman"/>
          <w:sz w:val="24"/>
          <w:szCs w:val="24"/>
        </w:rPr>
        <w:t xml:space="preserve"> more attuned to considering the </w:t>
      </w:r>
      <w:r w:rsidR="00341904" w:rsidRPr="006B422C">
        <w:rPr>
          <w:rFonts w:ascii="Times New Roman" w:hAnsi="Times New Roman" w:cs="Times New Roman"/>
          <w:sz w:val="24"/>
          <w:szCs w:val="24"/>
        </w:rPr>
        <w:t xml:space="preserve">wider </w:t>
      </w:r>
      <w:r w:rsidR="00230CD8" w:rsidRPr="006B422C">
        <w:rPr>
          <w:rFonts w:ascii="Times New Roman" w:hAnsi="Times New Roman" w:cs="Times New Roman"/>
          <w:sz w:val="24"/>
          <w:szCs w:val="24"/>
        </w:rPr>
        <w:t>range</w:t>
      </w:r>
      <w:r w:rsidR="00341904" w:rsidRPr="006B422C">
        <w:rPr>
          <w:rFonts w:ascii="Times New Roman" w:hAnsi="Times New Roman" w:cs="Times New Roman"/>
          <w:sz w:val="24"/>
          <w:szCs w:val="24"/>
        </w:rPr>
        <w:t xml:space="preserve"> of factors that are now commonly accepted as </w:t>
      </w:r>
      <w:r w:rsidR="00903715" w:rsidRPr="006B422C">
        <w:rPr>
          <w:rFonts w:ascii="Times New Roman" w:hAnsi="Times New Roman" w:cs="Times New Roman"/>
          <w:sz w:val="24"/>
          <w:szCs w:val="24"/>
        </w:rPr>
        <w:t>having to form</w:t>
      </w:r>
      <w:r w:rsidR="00341904" w:rsidRPr="006B422C">
        <w:rPr>
          <w:rFonts w:ascii="Times New Roman" w:hAnsi="Times New Roman" w:cs="Times New Roman"/>
          <w:sz w:val="24"/>
          <w:szCs w:val="24"/>
        </w:rPr>
        <w:t xml:space="preserve"> part of </w:t>
      </w:r>
      <w:r w:rsidR="00230CD8" w:rsidRPr="006B422C">
        <w:rPr>
          <w:rFonts w:ascii="Times New Roman" w:hAnsi="Times New Roman" w:cs="Times New Roman"/>
          <w:sz w:val="24"/>
          <w:szCs w:val="24"/>
        </w:rPr>
        <w:t>a</w:t>
      </w:r>
      <w:r w:rsidR="00341904" w:rsidRPr="006B422C">
        <w:rPr>
          <w:rFonts w:ascii="Times New Roman" w:hAnsi="Times New Roman" w:cs="Times New Roman"/>
          <w:sz w:val="24"/>
          <w:szCs w:val="24"/>
        </w:rPr>
        <w:t xml:space="preserve"> holistic balancing process</w:t>
      </w:r>
      <w:r w:rsidR="00952D54" w:rsidRPr="006B422C">
        <w:rPr>
          <w:rFonts w:ascii="Times New Roman" w:hAnsi="Times New Roman" w:cs="Times New Roman"/>
          <w:sz w:val="24"/>
          <w:szCs w:val="24"/>
        </w:rPr>
        <w:t xml:space="preserve">, which may make </w:t>
      </w:r>
      <w:r w:rsidR="00903715" w:rsidRPr="006B422C">
        <w:rPr>
          <w:rFonts w:ascii="Times New Roman" w:hAnsi="Times New Roman" w:cs="Times New Roman"/>
          <w:sz w:val="24"/>
          <w:szCs w:val="24"/>
        </w:rPr>
        <w:t xml:space="preserve">evaluations </w:t>
      </w:r>
      <w:r w:rsidR="00952D54" w:rsidRPr="006B422C">
        <w:rPr>
          <w:rFonts w:ascii="Times New Roman" w:hAnsi="Times New Roman" w:cs="Times New Roman"/>
          <w:sz w:val="24"/>
          <w:szCs w:val="24"/>
        </w:rPr>
        <w:t>more rounded.</w:t>
      </w:r>
      <w:r w:rsidR="009854B5" w:rsidRPr="006B422C">
        <w:rPr>
          <w:rStyle w:val="FootnoteReference"/>
          <w:rFonts w:ascii="Times New Roman" w:hAnsi="Times New Roman" w:cs="Times New Roman"/>
          <w:sz w:val="24"/>
          <w:szCs w:val="24"/>
        </w:rPr>
        <w:footnoteReference w:id="82"/>
      </w:r>
      <w:r w:rsidR="00952D54" w:rsidRPr="006B422C">
        <w:rPr>
          <w:rFonts w:ascii="Times New Roman" w:hAnsi="Times New Roman" w:cs="Times New Roman"/>
          <w:sz w:val="24"/>
          <w:szCs w:val="24"/>
        </w:rPr>
        <w:t xml:space="preserve">  Secondly, </w:t>
      </w:r>
      <w:r w:rsidR="00F93FFB" w:rsidRPr="006B422C">
        <w:rPr>
          <w:rFonts w:ascii="Times New Roman" w:hAnsi="Times New Roman" w:cs="Times New Roman"/>
          <w:sz w:val="24"/>
          <w:szCs w:val="24"/>
        </w:rPr>
        <w:t>in</w:t>
      </w:r>
      <w:r w:rsidR="00952D54" w:rsidRPr="006B422C">
        <w:rPr>
          <w:rFonts w:ascii="Times New Roman" w:hAnsi="Times New Roman" w:cs="Times New Roman"/>
          <w:sz w:val="24"/>
          <w:szCs w:val="24"/>
        </w:rPr>
        <w:t>terpreted</w:t>
      </w:r>
      <w:r w:rsidR="00F93FFB" w:rsidRPr="006B422C">
        <w:rPr>
          <w:rFonts w:ascii="Times New Roman" w:hAnsi="Times New Roman" w:cs="Times New Roman"/>
          <w:sz w:val="24"/>
          <w:szCs w:val="24"/>
        </w:rPr>
        <w:t xml:space="preserve"> </w:t>
      </w:r>
      <w:r w:rsidR="00952D54" w:rsidRPr="006B422C">
        <w:rPr>
          <w:rFonts w:ascii="Times New Roman" w:hAnsi="Times New Roman" w:cs="Times New Roman"/>
          <w:sz w:val="24"/>
          <w:szCs w:val="24"/>
        </w:rPr>
        <w:t xml:space="preserve">in an expansive </w:t>
      </w:r>
      <w:r w:rsidR="00F93FFB" w:rsidRPr="006B422C">
        <w:rPr>
          <w:rFonts w:ascii="Times New Roman" w:hAnsi="Times New Roman" w:cs="Times New Roman"/>
          <w:sz w:val="24"/>
          <w:szCs w:val="24"/>
        </w:rPr>
        <w:t xml:space="preserve">manner, </w:t>
      </w:r>
      <w:r w:rsidR="005525ED" w:rsidRPr="006B422C">
        <w:rPr>
          <w:rFonts w:ascii="Times New Roman" w:hAnsi="Times New Roman" w:cs="Times New Roman"/>
          <w:sz w:val="24"/>
          <w:szCs w:val="24"/>
        </w:rPr>
        <w:t xml:space="preserve">the concept of best interests is </w:t>
      </w:r>
      <w:r w:rsidR="009854B5" w:rsidRPr="006B422C">
        <w:rPr>
          <w:rFonts w:ascii="Times New Roman" w:hAnsi="Times New Roman" w:cs="Times New Roman"/>
          <w:sz w:val="24"/>
          <w:szCs w:val="24"/>
        </w:rPr>
        <w:t xml:space="preserve">sufficiently malleable so as to </w:t>
      </w:r>
      <w:r w:rsidR="005525ED" w:rsidRPr="006B422C">
        <w:rPr>
          <w:rFonts w:ascii="Times New Roman" w:hAnsi="Times New Roman" w:cs="Times New Roman"/>
          <w:sz w:val="24"/>
          <w:szCs w:val="24"/>
        </w:rPr>
        <w:t xml:space="preserve">be capable of </w:t>
      </w:r>
      <w:r w:rsidR="00F93FFB" w:rsidRPr="006B422C">
        <w:rPr>
          <w:rFonts w:ascii="Times New Roman" w:hAnsi="Times New Roman" w:cs="Times New Roman"/>
          <w:sz w:val="24"/>
          <w:szCs w:val="24"/>
        </w:rPr>
        <w:t>achieving a fair</w:t>
      </w:r>
      <w:r w:rsidR="00952D54" w:rsidRPr="006B422C">
        <w:rPr>
          <w:rFonts w:ascii="Times New Roman" w:hAnsi="Times New Roman" w:cs="Times New Roman"/>
          <w:sz w:val="24"/>
          <w:szCs w:val="24"/>
        </w:rPr>
        <w:t>er</w:t>
      </w:r>
      <w:r w:rsidR="00F93FFB" w:rsidRPr="006B422C">
        <w:rPr>
          <w:rFonts w:ascii="Times New Roman" w:hAnsi="Times New Roman" w:cs="Times New Roman"/>
          <w:sz w:val="24"/>
          <w:szCs w:val="24"/>
        </w:rPr>
        <w:t xml:space="preserve"> balance between protection and empowerment</w:t>
      </w:r>
      <w:r w:rsidR="007317C4" w:rsidRPr="006B422C">
        <w:rPr>
          <w:rFonts w:ascii="Times New Roman" w:hAnsi="Times New Roman" w:cs="Times New Roman"/>
          <w:sz w:val="24"/>
          <w:szCs w:val="24"/>
        </w:rPr>
        <w:t xml:space="preserve"> in research</w:t>
      </w:r>
      <w:r w:rsidR="00F93FFB" w:rsidRPr="006B422C">
        <w:rPr>
          <w:rFonts w:ascii="Times New Roman" w:hAnsi="Times New Roman" w:cs="Times New Roman"/>
          <w:sz w:val="24"/>
          <w:szCs w:val="24"/>
        </w:rPr>
        <w:t xml:space="preserve">.  </w:t>
      </w:r>
      <w:r w:rsidR="007317C4" w:rsidRPr="006B422C">
        <w:rPr>
          <w:rFonts w:ascii="Times New Roman" w:hAnsi="Times New Roman" w:cs="Times New Roman"/>
          <w:sz w:val="24"/>
          <w:szCs w:val="24"/>
        </w:rPr>
        <w:t xml:space="preserve">It </w:t>
      </w:r>
      <w:r w:rsidR="00952D54" w:rsidRPr="006B422C">
        <w:rPr>
          <w:rFonts w:ascii="Times New Roman" w:hAnsi="Times New Roman" w:cs="Times New Roman"/>
          <w:sz w:val="24"/>
          <w:szCs w:val="24"/>
        </w:rPr>
        <w:t xml:space="preserve">would still allow </w:t>
      </w:r>
      <w:r w:rsidR="007317C4" w:rsidRPr="006B422C">
        <w:rPr>
          <w:rFonts w:ascii="Times New Roman" w:hAnsi="Times New Roman" w:cs="Times New Roman"/>
          <w:sz w:val="24"/>
          <w:szCs w:val="24"/>
        </w:rPr>
        <w:t xml:space="preserve">the </w:t>
      </w:r>
      <w:r w:rsidR="00952D54" w:rsidRPr="006B422C">
        <w:rPr>
          <w:rFonts w:ascii="Times New Roman" w:hAnsi="Times New Roman" w:cs="Times New Roman"/>
          <w:sz w:val="24"/>
          <w:szCs w:val="24"/>
        </w:rPr>
        <w:t xml:space="preserve">specific interests of </w:t>
      </w:r>
      <w:r w:rsidR="00BB08E4" w:rsidRPr="006B422C">
        <w:rPr>
          <w:rFonts w:ascii="Times New Roman" w:hAnsi="Times New Roman" w:cs="Times New Roman"/>
          <w:sz w:val="24"/>
          <w:szCs w:val="24"/>
        </w:rPr>
        <w:t xml:space="preserve">a </w:t>
      </w:r>
      <w:r w:rsidR="00952D54" w:rsidRPr="006B422C">
        <w:rPr>
          <w:rFonts w:ascii="Times New Roman" w:hAnsi="Times New Roman" w:cs="Times New Roman"/>
          <w:sz w:val="24"/>
          <w:szCs w:val="24"/>
        </w:rPr>
        <w:t xml:space="preserve">participant to be prioritised, </w:t>
      </w:r>
      <w:r w:rsidR="005525ED" w:rsidRPr="006B422C">
        <w:rPr>
          <w:rFonts w:ascii="Times New Roman" w:hAnsi="Times New Roman" w:cs="Times New Roman"/>
          <w:sz w:val="24"/>
          <w:szCs w:val="24"/>
        </w:rPr>
        <w:t>while at the s</w:t>
      </w:r>
      <w:r w:rsidR="00190639" w:rsidRPr="006B422C">
        <w:rPr>
          <w:rFonts w:ascii="Times New Roman" w:hAnsi="Times New Roman" w:cs="Times New Roman"/>
          <w:sz w:val="24"/>
          <w:szCs w:val="24"/>
        </w:rPr>
        <w:t xml:space="preserve">ame time </w:t>
      </w:r>
      <w:r w:rsidR="00952D54" w:rsidRPr="006B422C">
        <w:rPr>
          <w:rFonts w:ascii="Times New Roman" w:hAnsi="Times New Roman" w:cs="Times New Roman"/>
          <w:sz w:val="24"/>
          <w:szCs w:val="24"/>
        </w:rPr>
        <w:t>remaining able to consider</w:t>
      </w:r>
      <w:r w:rsidR="00BB08E4" w:rsidRPr="006B422C">
        <w:rPr>
          <w:rFonts w:ascii="Times New Roman" w:hAnsi="Times New Roman" w:cs="Times New Roman"/>
          <w:sz w:val="24"/>
          <w:szCs w:val="24"/>
        </w:rPr>
        <w:t>,</w:t>
      </w:r>
      <w:r w:rsidR="00952D54" w:rsidRPr="006B422C">
        <w:rPr>
          <w:rFonts w:ascii="Times New Roman" w:hAnsi="Times New Roman" w:cs="Times New Roman"/>
          <w:sz w:val="24"/>
          <w:szCs w:val="24"/>
        </w:rPr>
        <w:t xml:space="preserve"> and accommodate</w:t>
      </w:r>
      <w:r w:rsidR="00BB08E4" w:rsidRPr="006B422C">
        <w:rPr>
          <w:rFonts w:ascii="Times New Roman" w:hAnsi="Times New Roman" w:cs="Times New Roman"/>
          <w:sz w:val="24"/>
          <w:szCs w:val="24"/>
        </w:rPr>
        <w:t>,</w:t>
      </w:r>
      <w:r w:rsidR="00952D54" w:rsidRPr="006B422C">
        <w:rPr>
          <w:rFonts w:ascii="Times New Roman" w:hAnsi="Times New Roman" w:cs="Times New Roman"/>
          <w:sz w:val="24"/>
          <w:szCs w:val="24"/>
        </w:rPr>
        <w:t xml:space="preserve"> </w:t>
      </w:r>
      <w:r w:rsidR="005525ED" w:rsidRPr="006B422C">
        <w:rPr>
          <w:rFonts w:ascii="Times New Roman" w:hAnsi="Times New Roman" w:cs="Times New Roman"/>
          <w:sz w:val="24"/>
          <w:szCs w:val="24"/>
        </w:rPr>
        <w:t xml:space="preserve">the wider </w:t>
      </w:r>
      <w:r w:rsidR="004A0AB7" w:rsidRPr="006B422C">
        <w:rPr>
          <w:rFonts w:ascii="Times New Roman" w:hAnsi="Times New Roman" w:cs="Times New Roman"/>
          <w:sz w:val="24"/>
          <w:szCs w:val="24"/>
        </w:rPr>
        <w:t>interests of society.</w:t>
      </w:r>
      <w:r w:rsidR="007317C4" w:rsidRPr="006B422C">
        <w:rPr>
          <w:rFonts w:ascii="Times New Roman" w:hAnsi="Times New Roman" w:cs="Times New Roman"/>
          <w:sz w:val="24"/>
          <w:szCs w:val="24"/>
        </w:rPr>
        <w:t xml:space="preserve">  Insofar as the latter is concerned, some will no dou</w:t>
      </w:r>
      <w:r w:rsidR="003D6D93" w:rsidRPr="006B422C">
        <w:rPr>
          <w:rFonts w:ascii="Times New Roman" w:hAnsi="Times New Roman" w:cs="Times New Roman"/>
          <w:sz w:val="24"/>
          <w:szCs w:val="24"/>
        </w:rPr>
        <w:t xml:space="preserve">bt point out a </w:t>
      </w:r>
      <w:r w:rsidR="009B00F0" w:rsidRPr="006B422C">
        <w:rPr>
          <w:rFonts w:ascii="Times New Roman" w:hAnsi="Times New Roman" w:cs="Times New Roman"/>
          <w:sz w:val="24"/>
          <w:szCs w:val="24"/>
        </w:rPr>
        <w:t xml:space="preserve">problem we alluded to earlier; what is in </w:t>
      </w:r>
      <w:r w:rsidR="007317C4" w:rsidRPr="006B422C">
        <w:rPr>
          <w:rFonts w:ascii="Times New Roman" w:hAnsi="Times New Roman" w:cs="Times New Roman"/>
          <w:sz w:val="24"/>
          <w:szCs w:val="24"/>
        </w:rPr>
        <w:t>the best interest of an individual</w:t>
      </w:r>
      <w:r w:rsidR="009B00F0" w:rsidRPr="006B422C">
        <w:rPr>
          <w:rFonts w:ascii="Times New Roman" w:hAnsi="Times New Roman" w:cs="Times New Roman"/>
          <w:sz w:val="24"/>
          <w:szCs w:val="24"/>
        </w:rPr>
        <w:t xml:space="preserve"> </w:t>
      </w:r>
      <w:r w:rsidR="007317C4" w:rsidRPr="006B422C">
        <w:rPr>
          <w:rFonts w:ascii="Times New Roman" w:hAnsi="Times New Roman" w:cs="Times New Roman"/>
          <w:sz w:val="24"/>
          <w:szCs w:val="24"/>
        </w:rPr>
        <w:t xml:space="preserve">can never be answered by considerations pertaining to what is </w:t>
      </w:r>
      <w:r w:rsidR="00B052E2" w:rsidRPr="006B422C">
        <w:rPr>
          <w:rFonts w:ascii="Times New Roman" w:hAnsi="Times New Roman" w:cs="Times New Roman"/>
          <w:sz w:val="24"/>
          <w:szCs w:val="24"/>
        </w:rPr>
        <w:t xml:space="preserve">in the </w:t>
      </w:r>
      <w:r w:rsidR="007317C4" w:rsidRPr="006B422C">
        <w:rPr>
          <w:rFonts w:ascii="Times New Roman" w:hAnsi="Times New Roman" w:cs="Times New Roman"/>
          <w:sz w:val="24"/>
          <w:szCs w:val="24"/>
        </w:rPr>
        <w:t>best</w:t>
      </w:r>
      <w:r w:rsidR="00B052E2" w:rsidRPr="006B422C">
        <w:rPr>
          <w:rFonts w:ascii="Times New Roman" w:hAnsi="Times New Roman" w:cs="Times New Roman"/>
          <w:sz w:val="24"/>
          <w:szCs w:val="24"/>
        </w:rPr>
        <w:t xml:space="preserve"> interests of </w:t>
      </w:r>
      <w:r w:rsidR="00D63E3E">
        <w:rPr>
          <w:rFonts w:ascii="Times New Roman" w:hAnsi="Times New Roman" w:cs="Times New Roman"/>
          <w:sz w:val="24"/>
          <w:szCs w:val="24"/>
        </w:rPr>
        <w:t>others.  A</w:t>
      </w:r>
      <w:r w:rsidR="00A22CB2">
        <w:rPr>
          <w:rFonts w:ascii="Times New Roman" w:hAnsi="Times New Roman" w:cs="Times New Roman"/>
          <w:sz w:val="24"/>
          <w:szCs w:val="24"/>
        </w:rPr>
        <w:t xml:space="preserve"> significant </w:t>
      </w:r>
      <w:r w:rsidR="007317C4" w:rsidRPr="006B422C">
        <w:rPr>
          <w:rFonts w:ascii="Times New Roman" w:hAnsi="Times New Roman" w:cs="Times New Roman"/>
          <w:sz w:val="24"/>
          <w:szCs w:val="24"/>
        </w:rPr>
        <w:t>departure</w:t>
      </w:r>
      <w:r w:rsidR="00D63E3E">
        <w:rPr>
          <w:rFonts w:ascii="Times New Roman" w:hAnsi="Times New Roman" w:cs="Times New Roman"/>
          <w:sz w:val="24"/>
          <w:szCs w:val="24"/>
        </w:rPr>
        <w:t xml:space="preserve"> would accordingly be required </w:t>
      </w:r>
      <w:r w:rsidR="00B052E2" w:rsidRPr="006B422C">
        <w:rPr>
          <w:rFonts w:ascii="Times New Roman" w:hAnsi="Times New Roman" w:cs="Times New Roman"/>
          <w:sz w:val="24"/>
          <w:szCs w:val="24"/>
        </w:rPr>
        <w:t xml:space="preserve">to allow research to proceed </w:t>
      </w:r>
      <w:r w:rsidR="007317C4" w:rsidRPr="006B422C">
        <w:rPr>
          <w:rFonts w:ascii="Times New Roman" w:hAnsi="Times New Roman" w:cs="Times New Roman"/>
          <w:sz w:val="24"/>
          <w:szCs w:val="24"/>
        </w:rPr>
        <w:t>where it would only benefi</w:t>
      </w:r>
      <w:r w:rsidR="00903715" w:rsidRPr="006B422C">
        <w:rPr>
          <w:rFonts w:ascii="Times New Roman" w:hAnsi="Times New Roman" w:cs="Times New Roman"/>
          <w:sz w:val="24"/>
          <w:szCs w:val="24"/>
        </w:rPr>
        <w:t xml:space="preserve">t society.  </w:t>
      </w:r>
      <w:r w:rsidR="00903715" w:rsidRPr="006B422C">
        <w:rPr>
          <w:rFonts w:ascii="Times New Roman" w:hAnsi="Times New Roman" w:cs="Times New Roman"/>
          <w:sz w:val="24"/>
          <w:szCs w:val="24"/>
        </w:rPr>
        <w:lastRenderedPageBreak/>
        <w:t xml:space="preserve">Where a </w:t>
      </w:r>
      <w:r w:rsidR="007317C4" w:rsidRPr="006B422C">
        <w:rPr>
          <w:rFonts w:ascii="Times New Roman" w:hAnsi="Times New Roman" w:cs="Times New Roman"/>
          <w:sz w:val="24"/>
          <w:szCs w:val="24"/>
        </w:rPr>
        <w:t xml:space="preserve">broader </w:t>
      </w:r>
      <w:r w:rsidR="003D6D93" w:rsidRPr="006B422C">
        <w:rPr>
          <w:rFonts w:ascii="Times New Roman" w:hAnsi="Times New Roman" w:cs="Times New Roman"/>
          <w:sz w:val="24"/>
          <w:szCs w:val="24"/>
        </w:rPr>
        <w:t xml:space="preserve">view </w:t>
      </w:r>
      <w:r w:rsidR="00903715" w:rsidRPr="006B422C">
        <w:rPr>
          <w:rFonts w:ascii="Times New Roman" w:hAnsi="Times New Roman" w:cs="Times New Roman"/>
          <w:sz w:val="24"/>
          <w:szCs w:val="24"/>
        </w:rPr>
        <w:t xml:space="preserve">is adopted, this is not necessarily the case, particularly if the question is asked: </w:t>
      </w:r>
      <w:r w:rsidR="005C2BA0" w:rsidRPr="006B422C">
        <w:rPr>
          <w:rFonts w:ascii="Times New Roman" w:hAnsi="Times New Roman" w:cs="Times New Roman"/>
          <w:sz w:val="24"/>
          <w:szCs w:val="24"/>
        </w:rPr>
        <w:t xml:space="preserve">how would an incapacitated feel about her involvement in research that may not </w:t>
      </w:r>
      <w:r w:rsidR="003D6D93" w:rsidRPr="006B422C">
        <w:rPr>
          <w:rFonts w:ascii="Times New Roman" w:hAnsi="Times New Roman" w:cs="Times New Roman"/>
          <w:sz w:val="24"/>
          <w:szCs w:val="24"/>
        </w:rPr>
        <w:t xml:space="preserve">necessarily help her, but which </w:t>
      </w:r>
      <w:r w:rsidR="00D63E3E">
        <w:rPr>
          <w:rFonts w:ascii="Times New Roman" w:hAnsi="Times New Roman" w:cs="Times New Roman"/>
          <w:sz w:val="24"/>
          <w:szCs w:val="24"/>
        </w:rPr>
        <w:t xml:space="preserve">could </w:t>
      </w:r>
      <w:r w:rsidR="005C2BA0" w:rsidRPr="006B422C">
        <w:rPr>
          <w:rFonts w:ascii="Times New Roman" w:hAnsi="Times New Roman" w:cs="Times New Roman"/>
          <w:sz w:val="24"/>
          <w:szCs w:val="24"/>
        </w:rPr>
        <w:t>help others?</w:t>
      </w:r>
      <w:r w:rsidR="00BF28B4" w:rsidRPr="006B422C">
        <w:rPr>
          <w:rFonts w:ascii="Times New Roman" w:hAnsi="Times New Roman" w:cs="Times New Roman"/>
          <w:sz w:val="24"/>
          <w:szCs w:val="24"/>
        </w:rPr>
        <w:t xml:space="preserve"> </w:t>
      </w:r>
    </w:p>
    <w:p w14:paraId="4E582ED9" w14:textId="371D1BFA" w:rsidR="00FA7CDC" w:rsidRPr="006B422C" w:rsidRDefault="001925C6" w:rsidP="00FA7CDC">
      <w:pPr>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F28B4" w:rsidRPr="006B422C">
        <w:rPr>
          <w:rFonts w:ascii="Times New Roman" w:hAnsi="Times New Roman" w:cs="Times New Roman"/>
          <w:sz w:val="24"/>
          <w:szCs w:val="24"/>
        </w:rPr>
        <w:t>This is where best interests’ explicit endorsement of the need to consider things from the subjective perspective of an incapacitated individual under section 4 of the MCA sends a much stronger and important message than is currently conveyed b</w:t>
      </w:r>
      <w:r w:rsidR="00D63E3E">
        <w:rPr>
          <w:rFonts w:ascii="Times New Roman" w:hAnsi="Times New Roman" w:cs="Times New Roman"/>
          <w:sz w:val="24"/>
          <w:szCs w:val="24"/>
        </w:rPr>
        <w:t>y sections 31 (5) (a) and (b)</w:t>
      </w:r>
      <w:r w:rsidR="00FA7CDC" w:rsidRPr="006B422C">
        <w:rPr>
          <w:rFonts w:ascii="Times New Roman" w:hAnsi="Times New Roman" w:cs="Times New Roman"/>
          <w:sz w:val="24"/>
          <w:szCs w:val="24"/>
        </w:rPr>
        <w:t>. When determining the question of best interests, section 4 (6)</w:t>
      </w:r>
      <w:r w:rsidR="00D63E3E">
        <w:rPr>
          <w:rFonts w:ascii="Times New Roman" w:hAnsi="Times New Roman" w:cs="Times New Roman"/>
          <w:sz w:val="24"/>
          <w:szCs w:val="24"/>
        </w:rPr>
        <w:t xml:space="preserve"> of the MCA </w:t>
      </w:r>
      <w:r w:rsidR="00FA7CDC" w:rsidRPr="006B422C">
        <w:rPr>
          <w:rFonts w:ascii="Times New Roman" w:hAnsi="Times New Roman" w:cs="Times New Roman"/>
          <w:sz w:val="24"/>
          <w:szCs w:val="24"/>
        </w:rPr>
        <w:t>instructs a decision maker to consider, so far as is reasonably ascertainable, the person's past and present wishes and feelings (and, in particular, any relevant written statement made by him when he had capacity),</w:t>
      </w:r>
      <w:r w:rsidR="00FA7CDC" w:rsidRPr="006B422C">
        <w:rPr>
          <w:rStyle w:val="FootnoteReference"/>
          <w:rFonts w:ascii="Times New Roman" w:hAnsi="Times New Roman" w:cs="Times New Roman"/>
          <w:sz w:val="24"/>
          <w:szCs w:val="24"/>
        </w:rPr>
        <w:footnoteReference w:id="83"/>
      </w:r>
      <w:r w:rsidR="00FA7CDC" w:rsidRPr="006B422C">
        <w:rPr>
          <w:rFonts w:ascii="Times New Roman" w:hAnsi="Times New Roman" w:cs="Times New Roman"/>
          <w:sz w:val="24"/>
          <w:szCs w:val="24"/>
        </w:rPr>
        <w:t xml:space="preserve"> the beliefs and values that would be likely to influence his decision if he had capacity,</w:t>
      </w:r>
      <w:r w:rsidR="00FA7CDC" w:rsidRPr="006B422C">
        <w:rPr>
          <w:rStyle w:val="FootnoteReference"/>
          <w:rFonts w:ascii="Times New Roman" w:hAnsi="Times New Roman" w:cs="Times New Roman"/>
          <w:sz w:val="24"/>
          <w:szCs w:val="24"/>
        </w:rPr>
        <w:footnoteReference w:id="84"/>
      </w:r>
      <w:r w:rsidR="00FA7CDC" w:rsidRPr="006B422C">
        <w:rPr>
          <w:rFonts w:ascii="Times New Roman" w:hAnsi="Times New Roman" w:cs="Times New Roman"/>
          <w:sz w:val="24"/>
          <w:szCs w:val="24"/>
        </w:rPr>
        <w:t xml:space="preserve"> and the other factors that he would be likely to consider if he were able to do so.</w:t>
      </w:r>
      <w:r w:rsidR="00FA7CDC" w:rsidRPr="006B422C">
        <w:rPr>
          <w:rStyle w:val="FootnoteReference"/>
          <w:rFonts w:ascii="Times New Roman" w:hAnsi="Times New Roman" w:cs="Times New Roman"/>
          <w:sz w:val="24"/>
          <w:szCs w:val="24"/>
        </w:rPr>
        <w:footnoteReference w:id="85"/>
      </w:r>
      <w:r w:rsidR="00FA7CDC" w:rsidRPr="006B422C">
        <w:rPr>
          <w:rFonts w:ascii="Times New Roman" w:hAnsi="Times New Roman" w:cs="Times New Roman"/>
          <w:sz w:val="24"/>
          <w:szCs w:val="24"/>
        </w:rPr>
        <w:t xml:space="preserve">  Under section 4 (7), provided it is practicable and appropriate to consult them, the views of anyone named by the person as someone to be consulted on the matter in question or</w:t>
      </w:r>
      <w:r>
        <w:rPr>
          <w:rFonts w:ascii="Times New Roman" w:hAnsi="Times New Roman" w:cs="Times New Roman"/>
          <w:sz w:val="24"/>
          <w:szCs w:val="24"/>
        </w:rPr>
        <w:t xml:space="preserve"> on matters of that kind should also </w:t>
      </w:r>
      <w:r w:rsidR="00FA7CDC" w:rsidRPr="006B422C">
        <w:rPr>
          <w:rFonts w:ascii="Times New Roman" w:hAnsi="Times New Roman" w:cs="Times New Roman"/>
          <w:sz w:val="24"/>
          <w:szCs w:val="24"/>
        </w:rPr>
        <w:t>be taken into account,</w:t>
      </w:r>
      <w:r w:rsidR="00FA7CDC" w:rsidRPr="006B422C">
        <w:rPr>
          <w:rStyle w:val="FootnoteReference"/>
          <w:rFonts w:ascii="Times New Roman" w:hAnsi="Times New Roman" w:cs="Times New Roman"/>
          <w:sz w:val="24"/>
          <w:szCs w:val="24"/>
        </w:rPr>
        <w:footnoteReference w:id="86"/>
      </w:r>
      <w:r w:rsidR="00FA7CDC" w:rsidRPr="006B422C">
        <w:rPr>
          <w:rFonts w:ascii="Times New Roman" w:hAnsi="Times New Roman" w:cs="Times New Roman"/>
          <w:sz w:val="24"/>
          <w:szCs w:val="24"/>
        </w:rPr>
        <w:t xml:space="preserve"> as should the views of anyone engaged in caring for the person or interested in his welfare.</w:t>
      </w:r>
      <w:r w:rsidR="00FA7CDC" w:rsidRPr="006B422C">
        <w:rPr>
          <w:rStyle w:val="FootnoteReference"/>
          <w:rFonts w:ascii="Times New Roman" w:hAnsi="Times New Roman" w:cs="Times New Roman"/>
          <w:sz w:val="24"/>
          <w:szCs w:val="24"/>
        </w:rPr>
        <w:footnoteReference w:id="87"/>
      </w:r>
      <w:r w:rsidR="00FA7CDC" w:rsidRPr="006B422C">
        <w:rPr>
          <w:rFonts w:ascii="Times New Roman" w:hAnsi="Times New Roman" w:cs="Times New Roman"/>
          <w:sz w:val="24"/>
          <w:szCs w:val="24"/>
        </w:rPr>
        <w:t xml:space="preserve">  </w:t>
      </w:r>
      <w:r w:rsidR="006473F4" w:rsidRPr="006B422C">
        <w:rPr>
          <w:rFonts w:ascii="Times New Roman" w:hAnsi="Times New Roman" w:cs="Times New Roman"/>
          <w:sz w:val="24"/>
          <w:szCs w:val="24"/>
        </w:rPr>
        <w:t xml:space="preserve">While best interests does not in a general sense provide a complete panacea to English law’s current incompatibly with the notion of supported-decision making, these </w:t>
      </w:r>
      <w:r w:rsidR="00D63E3E">
        <w:rPr>
          <w:rFonts w:ascii="Times New Roman" w:hAnsi="Times New Roman" w:cs="Times New Roman"/>
          <w:sz w:val="24"/>
          <w:szCs w:val="24"/>
        </w:rPr>
        <w:t xml:space="preserve">sections </w:t>
      </w:r>
      <w:r w:rsidR="006473F4" w:rsidRPr="006B422C">
        <w:rPr>
          <w:rFonts w:ascii="Times New Roman" w:hAnsi="Times New Roman" w:cs="Times New Roman"/>
          <w:sz w:val="24"/>
          <w:szCs w:val="24"/>
        </w:rPr>
        <w:t>do help to give an i</w:t>
      </w:r>
      <w:r>
        <w:rPr>
          <w:rFonts w:ascii="Times New Roman" w:hAnsi="Times New Roman" w:cs="Times New Roman"/>
          <w:sz w:val="24"/>
          <w:szCs w:val="24"/>
        </w:rPr>
        <w:t>ncapacitated person a voice</w:t>
      </w:r>
      <w:r w:rsidR="00A22CB2">
        <w:rPr>
          <w:rFonts w:ascii="Times New Roman" w:hAnsi="Times New Roman" w:cs="Times New Roman"/>
          <w:sz w:val="24"/>
          <w:szCs w:val="24"/>
        </w:rPr>
        <w:t xml:space="preserve">, which could be beneficial </w:t>
      </w:r>
      <w:r w:rsidR="00824B85" w:rsidRPr="006B422C">
        <w:rPr>
          <w:rFonts w:ascii="Times New Roman" w:hAnsi="Times New Roman" w:cs="Times New Roman"/>
          <w:sz w:val="24"/>
          <w:szCs w:val="24"/>
        </w:rPr>
        <w:t>if applied to research.</w:t>
      </w:r>
    </w:p>
    <w:p w14:paraId="053C54F5" w14:textId="77777777" w:rsidR="00A22CB2" w:rsidRDefault="00646F6E" w:rsidP="00EE0D00">
      <w:pPr>
        <w:spacing w:before="240" w:after="0" w:line="360" w:lineRule="auto"/>
        <w:contextualSpacing/>
        <w:jc w:val="both"/>
        <w:rPr>
          <w:rFonts w:ascii="Times New Roman" w:hAnsi="Times New Roman" w:cs="Times New Roman"/>
          <w:sz w:val="24"/>
          <w:szCs w:val="24"/>
        </w:rPr>
      </w:pPr>
      <w:r w:rsidRPr="006B422C">
        <w:rPr>
          <w:rFonts w:ascii="Times New Roman" w:hAnsi="Times New Roman" w:cs="Times New Roman"/>
          <w:sz w:val="24"/>
          <w:szCs w:val="24"/>
        </w:rPr>
        <w:tab/>
      </w:r>
      <w:r w:rsidR="003D6D93" w:rsidRPr="006B422C">
        <w:rPr>
          <w:rFonts w:ascii="Times New Roman" w:hAnsi="Times New Roman" w:cs="Times New Roman"/>
          <w:sz w:val="24"/>
          <w:szCs w:val="24"/>
        </w:rPr>
        <w:t xml:space="preserve">It is </w:t>
      </w:r>
      <w:r w:rsidR="00013F1A" w:rsidRPr="006B422C">
        <w:rPr>
          <w:rFonts w:ascii="Times New Roman" w:hAnsi="Times New Roman" w:cs="Times New Roman"/>
          <w:sz w:val="24"/>
          <w:szCs w:val="24"/>
        </w:rPr>
        <w:t>often assumed that an incapacitated participan</w:t>
      </w:r>
      <w:r w:rsidR="00A032EC">
        <w:rPr>
          <w:rFonts w:ascii="Times New Roman" w:hAnsi="Times New Roman" w:cs="Times New Roman"/>
          <w:sz w:val="24"/>
          <w:szCs w:val="24"/>
        </w:rPr>
        <w:t xml:space="preserve">t will be unable to communicate her </w:t>
      </w:r>
      <w:r w:rsidR="00013F1A" w:rsidRPr="006B422C">
        <w:rPr>
          <w:rFonts w:ascii="Times New Roman" w:hAnsi="Times New Roman" w:cs="Times New Roman"/>
          <w:sz w:val="24"/>
          <w:szCs w:val="24"/>
        </w:rPr>
        <w:t>preferences for any involvement in research, but that is often not so.</w:t>
      </w:r>
      <w:r w:rsidRPr="006B422C">
        <w:rPr>
          <w:rStyle w:val="FootnoteReference"/>
          <w:rFonts w:ascii="Times New Roman" w:hAnsi="Times New Roman" w:cs="Times New Roman"/>
          <w:sz w:val="24"/>
          <w:szCs w:val="24"/>
        </w:rPr>
        <w:footnoteReference w:id="88"/>
      </w:r>
      <w:r w:rsidR="00013F1A" w:rsidRPr="006B422C">
        <w:rPr>
          <w:rFonts w:ascii="Times New Roman" w:hAnsi="Times New Roman" w:cs="Times New Roman"/>
          <w:sz w:val="24"/>
          <w:szCs w:val="24"/>
        </w:rPr>
        <w:t xml:space="preserve">  </w:t>
      </w:r>
      <w:r w:rsidR="00931ECE" w:rsidRPr="006B422C">
        <w:rPr>
          <w:rFonts w:ascii="Times New Roman" w:hAnsi="Times New Roman" w:cs="Times New Roman"/>
          <w:sz w:val="24"/>
          <w:szCs w:val="24"/>
        </w:rPr>
        <w:t>Th</w:t>
      </w:r>
      <w:r w:rsidR="001925C6">
        <w:rPr>
          <w:rFonts w:ascii="Times New Roman" w:hAnsi="Times New Roman" w:cs="Times New Roman"/>
          <w:sz w:val="24"/>
          <w:szCs w:val="24"/>
        </w:rPr>
        <w:t xml:space="preserve">ere will be circumstances where she </w:t>
      </w:r>
      <w:r w:rsidR="00931ECE" w:rsidRPr="006B422C">
        <w:rPr>
          <w:rFonts w:ascii="Times New Roman" w:hAnsi="Times New Roman" w:cs="Times New Roman"/>
          <w:sz w:val="24"/>
          <w:szCs w:val="24"/>
        </w:rPr>
        <w:t xml:space="preserve">remains </w:t>
      </w:r>
      <w:r w:rsidR="00B052E2" w:rsidRPr="006B422C">
        <w:rPr>
          <w:rFonts w:ascii="Times New Roman" w:hAnsi="Times New Roman" w:cs="Times New Roman"/>
          <w:sz w:val="24"/>
          <w:szCs w:val="24"/>
        </w:rPr>
        <w:t xml:space="preserve">capable of </w:t>
      </w:r>
      <w:r w:rsidR="00931ECE" w:rsidRPr="006B422C">
        <w:rPr>
          <w:rFonts w:ascii="Times New Roman" w:hAnsi="Times New Roman" w:cs="Times New Roman"/>
          <w:sz w:val="24"/>
          <w:szCs w:val="24"/>
        </w:rPr>
        <w:t xml:space="preserve">expressing </w:t>
      </w:r>
      <w:r w:rsidR="00D63E3E">
        <w:rPr>
          <w:rFonts w:ascii="Times New Roman" w:hAnsi="Times New Roman" w:cs="Times New Roman"/>
          <w:sz w:val="24"/>
          <w:szCs w:val="24"/>
        </w:rPr>
        <w:t xml:space="preserve">a desire to become involved </w:t>
      </w:r>
      <w:r w:rsidR="00931ECE" w:rsidRPr="006B422C">
        <w:rPr>
          <w:rFonts w:ascii="Times New Roman" w:hAnsi="Times New Roman" w:cs="Times New Roman"/>
          <w:sz w:val="24"/>
          <w:szCs w:val="24"/>
        </w:rPr>
        <w:t xml:space="preserve">and so it will be possible to identify </w:t>
      </w:r>
      <w:r w:rsidR="00471B6E" w:rsidRPr="006B422C">
        <w:rPr>
          <w:rFonts w:ascii="Times New Roman" w:hAnsi="Times New Roman" w:cs="Times New Roman"/>
          <w:sz w:val="24"/>
          <w:szCs w:val="24"/>
        </w:rPr>
        <w:t xml:space="preserve">a </w:t>
      </w:r>
      <w:r w:rsidR="004A0AB7" w:rsidRPr="006B422C">
        <w:rPr>
          <w:rFonts w:ascii="Times New Roman" w:hAnsi="Times New Roman" w:cs="Times New Roman"/>
          <w:sz w:val="24"/>
          <w:szCs w:val="24"/>
        </w:rPr>
        <w:t xml:space="preserve">benefit to her own personal </w:t>
      </w:r>
      <w:r w:rsidR="00356DF6" w:rsidRPr="006B422C">
        <w:rPr>
          <w:rFonts w:ascii="Times New Roman" w:hAnsi="Times New Roman" w:cs="Times New Roman"/>
          <w:sz w:val="24"/>
          <w:szCs w:val="24"/>
        </w:rPr>
        <w:t xml:space="preserve">development and </w:t>
      </w:r>
      <w:r w:rsidR="004A0AB7" w:rsidRPr="006B422C">
        <w:rPr>
          <w:rFonts w:ascii="Times New Roman" w:hAnsi="Times New Roman" w:cs="Times New Roman"/>
          <w:sz w:val="24"/>
          <w:szCs w:val="24"/>
        </w:rPr>
        <w:t>sense of worth</w:t>
      </w:r>
      <w:r w:rsidR="00356DF6" w:rsidRPr="006B422C">
        <w:rPr>
          <w:rFonts w:ascii="Times New Roman" w:hAnsi="Times New Roman" w:cs="Times New Roman"/>
          <w:sz w:val="24"/>
          <w:szCs w:val="24"/>
        </w:rPr>
        <w:t xml:space="preserve">, from </w:t>
      </w:r>
      <w:r w:rsidR="004A0AB7" w:rsidRPr="006B422C">
        <w:rPr>
          <w:rFonts w:ascii="Times New Roman" w:hAnsi="Times New Roman" w:cs="Times New Roman"/>
          <w:sz w:val="24"/>
          <w:szCs w:val="24"/>
        </w:rPr>
        <w:t>contributing to something that may be of value to others.</w:t>
      </w:r>
      <w:r w:rsidRPr="006B422C">
        <w:rPr>
          <w:rStyle w:val="FootnoteReference"/>
          <w:rFonts w:ascii="Times New Roman" w:hAnsi="Times New Roman" w:cs="Times New Roman"/>
          <w:sz w:val="24"/>
          <w:szCs w:val="24"/>
        </w:rPr>
        <w:footnoteReference w:id="89"/>
      </w:r>
      <w:r w:rsidR="00471B6E" w:rsidRPr="006B422C">
        <w:rPr>
          <w:rFonts w:ascii="Times New Roman" w:hAnsi="Times New Roman" w:cs="Times New Roman"/>
          <w:sz w:val="24"/>
          <w:szCs w:val="24"/>
        </w:rPr>
        <w:t xml:space="preserve"> Even where she </w:t>
      </w:r>
      <w:r w:rsidR="00931ECE" w:rsidRPr="006B422C">
        <w:rPr>
          <w:rFonts w:ascii="Times New Roman" w:hAnsi="Times New Roman" w:cs="Times New Roman"/>
          <w:sz w:val="24"/>
          <w:szCs w:val="24"/>
        </w:rPr>
        <w:t xml:space="preserve">cannot </w:t>
      </w:r>
      <w:r w:rsidR="00931ECE" w:rsidRPr="006B422C">
        <w:rPr>
          <w:rFonts w:ascii="Times New Roman" w:hAnsi="Times New Roman" w:cs="Times New Roman"/>
          <w:sz w:val="24"/>
          <w:szCs w:val="24"/>
        </w:rPr>
        <w:lastRenderedPageBreak/>
        <w:t>communicate a preference</w:t>
      </w:r>
      <w:r w:rsidR="00471B6E" w:rsidRPr="006B422C">
        <w:rPr>
          <w:rFonts w:ascii="Times New Roman" w:hAnsi="Times New Roman" w:cs="Times New Roman"/>
          <w:sz w:val="24"/>
          <w:szCs w:val="24"/>
        </w:rPr>
        <w:t xml:space="preserve">, she ought not to be automatically </w:t>
      </w:r>
      <w:r w:rsidR="00931ECE" w:rsidRPr="006B422C">
        <w:rPr>
          <w:rFonts w:ascii="Times New Roman" w:hAnsi="Times New Roman" w:cs="Times New Roman"/>
          <w:sz w:val="24"/>
          <w:szCs w:val="24"/>
        </w:rPr>
        <w:t>precluded from participating</w:t>
      </w:r>
      <w:r w:rsidR="00471B6E" w:rsidRPr="006B422C">
        <w:rPr>
          <w:rFonts w:ascii="Times New Roman" w:hAnsi="Times New Roman" w:cs="Times New Roman"/>
          <w:sz w:val="24"/>
          <w:szCs w:val="24"/>
        </w:rPr>
        <w:t xml:space="preserve"> in a project </w:t>
      </w:r>
      <w:r w:rsidR="009B00F0" w:rsidRPr="006B422C">
        <w:rPr>
          <w:rFonts w:ascii="Times New Roman" w:hAnsi="Times New Roman" w:cs="Times New Roman"/>
          <w:sz w:val="24"/>
          <w:szCs w:val="24"/>
        </w:rPr>
        <w:t xml:space="preserve">for the </w:t>
      </w:r>
      <w:r w:rsidR="009854B5" w:rsidRPr="006B422C">
        <w:rPr>
          <w:rFonts w:ascii="Times New Roman" w:hAnsi="Times New Roman" w:cs="Times New Roman"/>
          <w:sz w:val="24"/>
          <w:szCs w:val="24"/>
        </w:rPr>
        <w:t xml:space="preserve">wider </w:t>
      </w:r>
      <w:r w:rsidR="009B00F0" w:rsidRPr="006B422C">
        <w:rPr>
          <w:rFonts w:ascii="Times New Roman" w:hAnsi="Times New Roman" w:cs="Times New Roman"/>
          <w:sz w:val="24"/>
          <w:szCs w:val="24"/>
        </w:rPr>
        <w:t>benefit of society</w:t>
      </w:r>
      <w:r w:rsidR="00C65418" w:rsidRPr="006B422C">
        <w:rPr>
          <w:rFonts w:ascii="Times New Roman" w:hAnsi="Times New Roman" w:cs="Times New Roman"/>
          <w:sz w:val="24"/>
          <w:szCs w:val="24"/>
        </w:rPr>
        <w:t xml:space="preserve">, and the advantage of a </w:t>
      </w:r>
      <w:r w:rsidR="00471B6E" w:rsidRPr="006B422C">
        <w:rPr>
          <w:rFonts w:ascii="Times New Roman" w:hAnsi="Times New Roman" w:cs="Times New Roman"/>
          <w:sz w:val="24"/>
          <w:szCs w:val="24"/>
        </w:rPr>
        <w:t xml:space="preserve">best interests </w:t>
      </w:r>
      <w:r w:rsidR="00C65418" w:rsidRPr="006B422C">
        <w:rPr>
          <w:rFonts w:ascii="Times New Roman" w:hAnsi="Times New Roman" w:cs="Times New Roman"/>
          <w:sz w:val="24"/>
          <w:szCs w:val="24"/>
        </w:rPr>
        <w:t>approach in the context of research would be explicit recognition from the legislation itself, and not just the COP,</w:t>
      </w:r>
      <w:r w:rsidR="007C35B5" w:rsidRPr="006B422C">
        <w:rPr>
          <w:rStyle w:val="FootnoteReference"/>
          <w:rFonts w:ascii="Times New Roman" w:hAnsi="Times New Roman" w:cs="Times New Roman"/>
          <w:sz w:val="24"/>
          <w:szCs w:val="24"/>
        </w:rPr>
        <w:t xml:space="preserve"> </w:t>
      </w:r>
      <w:r w:rsidR="007C35B5" w:rsidRPr="006B422C">
        <w:rPr>
          <w:rStyle w:val="FootnoteReference"/>
          <w:rFonts w:ascii="Times New Roman" w:hAnsi="Times New Roman" w:cs="Times New Roman"/>
          <w:sz w:val="24"/>
          <w:szCs w:val="24"/>
        </w:rPr>
        <w:footnoteReference w:id="90"/>
      </w:r>
      <w:r w:rsidR="007C35B5" w:rsidRPr="006B422C">
        <w:rPr>
          <w:rFonts w:ascii="Times New Roman" w:hAnsi="Times New Roman" w:cs="Times New Roman"/>
          <w:sz w:val="24"/>
          <w:szCs w:val="24"/>
        </w:rPr>
        <w:t xml:space="preserve"> </w:t>
      </w:r>
      <w:r w:rsidR="00C65418" w:rsidRPr="006B422C">
        <w:rPr>
          <w:rFonts w:ascii="Times New Roman" w:hAnsi="Times New Roman" w:cs="Times New Roman"/>
          <w:sz w:val="24"/>
          <w:szCs w:val="24"/>
        </w:rPr>
        <w:t xml:space="preserve">of the need </w:t>
      </w:r>
      <w:r w:rsidR="00931ECE" w:rsidRPr="006B422C">
        <w:rPr>
          <w:rFonts w:ascii="Times New Roman" w:hAnsi="Times New Roman" w:cs="Times New Roman"/>
          <w:sz w:val="24"/>
          <w:szCs w:val="24"/>
        </w:rPr>
        <w:t>to view that question</w:t>
      </w:r>
      <w:r w:rsidR="00013F1A" w:rsidRPr="006B422C">
        <w:rPr>
          <w:rFonts w:ascii="Times New Roman" w:hAnsi="Times New Roman" w:cs="Times New Roman"/>
          <w:sz w:val="24"/>
          <w:szCs w:val="24"/>
        </w:rPr>
        <w:t xml:space="preserve"> through the l</w:t>
      </w:r>
      <w:r w:rsidR="009854B5" w:rsidRPr="006B422C">
        <w:rPr>
          <w:rFonts w:ascii="Times New Roman" w:hAnsi="Times New Roman" w:cs="Times New Roman"/>
          <w:sz w:val="24"/>
          <w:szCs w:val="24"/>
        </w:rPr>
        <w:t>ens of the participant.</w:t>
      </w:r>
      <w:r w:rsidR="00824B85" w:rsidRPr="006B422C">
        <w:rPr>
          <w:rFonts w:ascii="Times New Roman" w:hAnsi="Times New Roman" w:cs="Times New Roman"/>
          <w:sz w:val="24"/>
          <w:szCs w:val="24"/>
        </w:rPr>
        <w:t xml:space="preserve">  </w:t>
      </w:r>
      <w:r w:rsidR="009854B5" w:rsidRPr="006B422C">
        <w:rPr>
          <w:rFonts w:ascii="Times New Roman" w:hAnsi="Times New Roman" w:cs="Times New Roman"/>
          <w:sz w:val="24"/>
          <w:szCs w:val="24"/>
        </w:rPr>
        <w:t xml:space="preserve">It may </w:t>
      </w:r>
      <w:r w:rsidR="00902B32" w:rsidRPr="006B422C">
        <w:rPr>
          <w:rFonts w:ascii="Times New Roman" w:hAnsi="Times New Roman" w:cs="Times New Roman"/>
          <w:sz w:val="24"/>
          <w:szCs w:val="24"/>
        </w:rPr>
        <w:t xml:space="preserve">be possible to conclude that she </w:t>
      </w:r>
      <w:r w:rsidR="009B00F0" w:rsidRPr="006B422C">
        <w:rPr>
          <w:rFonts w:ascii="Times New Roman" w:hAnsi="Times New Roman" w:cs="Times New Roman"/>
          <w:sz w:val="24"/>
          <w:szCs w:val="24"/>
        </w:rPr>
        <w:t xml:space="preserve">would be stimulated and enthused </w:t>
      </w:r>
      <w:r w:rsidR="00931ECE" w:rsidRPr="006B422C">
        <w:rPr>
          <w:rFonts w:ascii="Times New Roman" w:hAnsi="Times New Roman" w:cs="Times New Roman"/>
          <w:sz w:val="24"/>
          <w:szCs w:val="24"/>
        </w:rPr>
        <w:t xml:space="preserve">by a desire to contribute </w:t>
      </w:r>
      <w:r w:rsidR="005C2BA0" w:rsidRPr="006B422C">
        <w:rPr>
          <w:rFonts w:ascii="Times New Roman" w:hAnsi="Times New Roman" w:cs="Times New Roman"/>
          <w:sz w:val="24"/>
          <w:szCs w:val="24"/>
        </w:rPr>
        <w:t xml:space="preserve">to society </w:t>
      </w:r>
      <w:r w:rsidR="009B00F0" w:rsidRPr="006B422C">
        <w:rPr>
          <w:rFonts w:ascii="Times New Roman" w:hAnsi="Times New Roman" w:cs="Times New Roman"/>
          <w:sz w:val="24"/>
          <w:szCs w:val="24"/>
        </w:rPr>
        <w:t xml:space="preserve">by </w:t>
      </w:r>
      <w:r w:rsidR="005C2BA0" w:rsidRPr="006B422C">
        <w:rPr>
          <w:rFonts w:ascii="Times New Roman" w:hAnsi="Times New Roman" w:cs="Times New Roman"/>
          <w:sz w:val="24"/>
          <w:szCs w:val="24"/>
        </w:rPr>
        <w:t>helping others</w:t>
      </w:r>
      <w:r w:rsidR="00013F1A" w:rsidRPr="006B422C">
        <w:rPr>
          <w:rFonts w:ascii="Times New Roman" w:hAnsi="Times New Roman" w:cs="Times New Roman"/>
          <w:sz w:val="24"/>
          <w:szCs w:val="24"/>
        </w:rPr>
        <w:t xml:space="preserve">, which </w:t>
      </w:r>
      <w:r w:rsidR="00902B32" w:rsidRPr="006B422C">
        <w:rPr>
          <w:rFonts w:ascii="Times New Roman" w:hAnsi="Times New Roman" w:cs="Times New Roman"/>
          <w:sz w:val="24"/>
          <w:szCs w:val="24"/>
        </w:rPr>
        <w:t>would induce a sense of happiness in her</w:t>
      </w:r>
      <w:r w:rsidR="00013F1A" w:rsidRPr="006B422C">
        <w:rPr>
          <w:rFonts w:ascii="Times New Roman" w:hAnsi="Times New Roman" w:cs="Times New Roman"/>
          <w:sz w:val="24"/>
          <w:szCs w:val="24"/>
        </w:rPr>
        <w:t>.</w:t>
      </w:r>
      <w:r w:rsidR="00A032EC">
        <w:rPr>
          <w:rFonts w:ascii="Times New Roman" w:hAnsi="Times New Roman" w:cs="Times New Roman"/>
          <w:sz w:val="24"/>
          <w:szCs w:val="24"/>
        </w:rPr>
        <w:t xml:space="preserve"> R</w:t>
      </w:r>
      <w:r w:rsidR="00F95F5C" w:rsidRPr="00F95F5C">
        <w:rPr>
          <w:rFonts w:ascii="Times New Roman" w:hAnsi="Times New Roman" w:cs="Times New Roman"/>
          <w:sz w:val="24"/>
          <w:szCs w:val="24"/>
        </w:rPr>
        <w:t>esearcher</w:t>
      </w:r>
      <w:r w:rsidR="00A032EC">
        <w:rPr>
          <w:rFonts w:ascii="Times New Roman" w:hAnsi="Times New Roman" w:cs="Times New Roman"/>
          <w:sz w:val="24"/>
          <w:szCs w:val="24"/>
        </w:rPr>
        <w:t xml:space="preserve">s must be clearly encouraged </w:t>
      </w:r>
      <w:r w:rsidR="00F95F5C" w:rsidRPr="00F95F5C">
        <w:rPr>
          <w:rFonts w:ascii="Times New Roman" w:hAnsi="Times New Roman" w:cs="Times New Roman"/>
          <w:sz w:val="24"/>
          <w:szCs w:val="24"/>
        </w:rPr>
        <w:t xml:space="preserve">to explore with any incapacitated participant, to the greatest extent possible, how she may feel about her involvement in any research that may not necessarily help her, but which could help others. Naturally this requires complex concepts to be addressed that </w:t>
      </w:r>
      <w:r w:rsidR="00D63E3E">
        <w:rPr>
          <w:rFonts w:ascii="Times New Roman" w:hAnsi="Times New Roman" w:cs="Times New Roman"/>
          <w:sz w:val="24"/>
          <w:szCs w:val="24"/>
        </w:rPr>
        <w:t xml:space="preserve">sometimes </w:t>
      </w:r>
      <w:r w:rsidR="00F95F5C" w:rsidRPr="00F95F5C">
        <w:rPr>
          <w:rFonts w:ascii="Times New Roman" w:hAnsi="Times New Roman" w:cs="Times New Roman"/>
          <w:sz w:val="24"/>
          <w:szCs w:val="24"/>
        </w:rPr>
        <w:t>may be outside a participant’s comprehension. Therefore, how meaning is constructed with potential participant</w:t>
      </w:r>
      <w:r w:rsidR="00A032EC">
        <w:rPr>
          <w:rFonts w:ascii="Times New Roman" w:hAnsi="Times New Roman" w:cs="Times New Roman"/>
          <w:sz w:val="24"/>
          <w:szCs w:val="24"/>
        </w:rPr>
        <w:t>s is absolutely crucial and the research sections of the MCA fall short of addressing this</w:t>
      </w:r>
      <w:r w:rsidR="00F95F5C" w:rsidRPr="00F95F5C">
        <w:rPr>
          <w:rFonts w:ascii="Times New Roman" w:hAnsi="Times New Roman" w:cs="Times New Roman"/>
          <w:sz w:val="24"/>
          <w:szCs w:val="24"/>
        </w:rPr>
        <w:t>,</w:t>
      </w:r>
      <w:r w:rsidR="00A22CB2">
        <w:rPr>
          <w:rFonts w:ascii="Times New Roman" w:hAnsi="Times New Roman" w:cs="Times New Roman"/>
          <w:sz w:val="24"/>
          <w:szCs w:val="24"/>
        </w:rPr>
        <w:t xml:space="preserve"> and arguably the COP does not fare much better.  </w:t>
      </w:r>
    </w:p>
    <w:p w14:paraId="1C27AE86" w14:textId="34DF3406" w:rsidR="00A912AB" w:rsidRDefault="00A22CB2" w:rsidP="00EE0D00">
      <w:pPr>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Making efforts </w:t>
      </w:r>
      <w:r w:rsidR="00A032EC">
        <w:rPr>
          <w:rFonts w:ascii="Times New Roman" w:hAnsi="Times New Roman" w:cs="Times New Roman"/>
          <w:sz w:val="24"/>
          <w:szCs w:val="24"/>
        </w:rPr>
        <w:t xml:space="preserve">to elicit the views of any potential incapacitated participant may reveal that she </w:t>
      </w:r>
      <w:r w:rsidR="00F95F5C" w:rsidRPr="00F95F5C">
        <w:rPr>
          <w:rFonts w:ascii="Times New Roman" w:hAnsi="Times New Roman" w:cs="Times New Roman"/>
          <w:sz w:val="24"/>
          <w:szCs w:val="24"/>
        </w:rPr>
        <w:t xml:space="preserve">has a strong desire to act altruistically and </w:t>
      </w:r>
      <w:r w:rsidR="00D63E3E">
        <w:rPr>
          <w:rFonts w:ascii="Times New Roman" w:hAnsi="Times New Roman" w:cs="Times New Roman"/>
          <w:sz w:val="24"/>
          <w:szCs w:val="24"/>
        </w:rPr>
        <w:t xml:space="preserve">to become involved in a project, a </w:t>
      </w:r>
      <w:r w:rsidR="00A032EC">
        <w:rPr>
          <w:rFonts w:ascii="Times New Roman" w:hAnsi="Times New Roman" w:cs="Times New Roman"/>
          <w:sz w:val="24"/>
          <w:szCs w:val="24"/>
        </w:rPr>
        <w:t xml:space="preserve">view </w:t>
      </w:r>
      <w:r w:rsidR="00D63E3E">
        <w:rPr>
          <w:rFonts w:ascii="Times New Roman" w:hAnsi="Times New Roman" w:cs="Times New Roman"/>
          <w:sz w:val="24"/>
          <w:szCs w:val="24"/>
        </w:rPr>
        <w:t xml:space="preserve">which </w:t>
      </w:r>
      <w:r w:rsidR="00A032EC">
        <w:rPr>
          <w:rFonts w:ascii="Times New Roman" w:hAnsi="Times New Roman" w:cs="Times New Roman"/>
          <w:sz w:val="24"/>
          <w:szCs w:val="24"/>
        </w:rPr>
        <w:t xml:space="preserve">has gained traction under best interests reasoning.  For instance, </w:t>
      </w:r>
      <w:r w:rsidR="00824B85" w:rsidRPr="006B422C">
        <w:rPr>
          <w:rFonts w:ascii="Times New Roman" w:hAnsi="Times New Roman" w:cs="Times New Roman"/>
          <w:sz w:val="24"/>
          <w:szCs w:val="24"/>
        </w:rPr>
        <w:t>it has</w:t>
      </w:r>
      <w:r w:rsidR="00651495" w:rsidRPr="006B422C">
        <w:rPr>
          <w:rFonts w:ascii="Times New Roman" w:hAnsi="Times New Roman" w:cs="Times New Roman"/>
          <w:sz w:val="24"/>
          <w:szCs w:val="24"/>
        </w:rPr>
        <w:t xml:space="preserve"> </w:t>
      </w:r>
      <w:r w:rsidR="00824B85" w:rsidRPr="006B422C">
        <w:rPr>
          <w:rFonts w:ascii="Times New Roman" w:hAnsi="Times New Roman" w:cs="Times New Roman"/>
          <w:sz w:val="24"/>
          <w:szCs w:val="24"/>
        </w:rPr>
        <w:t>previously been acknowledged that a</w:t>
      </w:r>
      <w:r w:rsidR="00A032EC">
        <w:rPr>
          <w:rFonts w:ascii="Times New Roman" w:hAnsi="Times New Roman" w:cs="Times New Roman"/>
          <w:sz w:val="24"/>
          <w:szCs w:val="24"/>
        </w:rPr>
        <w:t xml:space="preserve">n incapacitated </w:t>
      </w:r>
      <w:r w:rsidR="00824B85" w:rsidRPr="006B422C">
        <w:rPr>
          <w:rFonts w:ascii="Times New Roman" w:hAnsi="Times New Roman" w:cs="Times New Roman"/>
          <w:sz w:val="24"/>
          <w:szCs w:val="24"/>
        </w:rPr>
        <w:t xml:space="preserve">person’s best interests may be served by </w:t>
      </w:r>
      <w:r w:rsidR="00651495" w:rsidRPr="006B422C">
        <w:rPr>
          <w:rFonts w:ascii="Times New Roman" w:hAnsi="Times New Roman" w:cs="Times New Roman"/>
          <w:sz w:val="24"/>
          <w:szCs w:val="24"/>
        </w:rPr>
        <w:t xml:space="preserve">authorising a bone marrow donation </w:t>
      </w:r>
      <w:r w:rsidR="00824B85" w:rsidRPr="006B422C">
        <w:rPr>
          <w:rFonts w:ascii="Times New Roman" w:hAnsi="Times New Roman" w:cs="Times New Roman"/>
          <w:sz w:val="24"/>
          <w:szCs w:val="24"/>
        </w:rPr>
        <w:t xml:space="preserve">that conferred no direct medical benefit on her, but which would </w:t>
      </w:r>
      <w:r w:rsidR="00651495" w:rsidRPr="006B422C">
        <w:rPr>
          <w:rFonts w:ascii="Times New Roman" w:hAnsi="Times New Roman" w:cs="Times New Roman"/>
          <w:sz w:val="24"/>
          <w:szCs w:val="24"/>
        </w:rPr>
        <w:t xml:space="preserve">only </w:t>
      </w:r>
      <w:r w:rsidR="00824B85" w:rsidRPr="006B422C">
        <w:rPr>
          <w:rFonts w:ascii="Times New Roman" w:hAnsi="Times New Roman" w:cs="Times New Roman"/>
          <w:sz w:val="24"/>
          <w:szCs w:val="24"/>
        </w:rPr>
        <w:t>benefit</w:t>
      </w:r>
      <w:r w:rsidR="00651495" w:rsidRPr="006B422C">
        <w:rPr>
          <w:rFonts w:ascii="Times New Roman" w:hAnsi="Times New Roman" w:cs="Times New Roman"/>
          <w:sz w:val="24"/>
          <w:szCs w:val="24"/>
        </w:rPr>
        <w:t xml:space="preserve"> her sibling.</w:t>
      </w:r>
      <w:r>
        <w:rPr>
          <w:rFonts w:ascii="Times New Roman" w:hAnsi="Times New Roman" w:cs="Times New Roman"/>
          <w:sz w:val="24"/>
          <w:szCs w:val="24"/>
        </w:rPr>
        <w:t xml:space="preserve">  This was because that, in the long run, it was agreed </w:t>
      </w:r>
      <w:r w:rsidR="00A032EC">
        <w:rPr>
          <w:rFonts w:ascii="Times New Roman" w:hAnsi="Times New Roman" w:cs="Times New Roman"/>
          <w:sz w:val="24"/>
          <w:szCs w:val="24"/>
        </w:rPr>
        <w:t xml:space="preserve">she </w:t>
      </w:r>
      <w:r w:rsidR="00651495" w:rsidRPr="006B422C">
        <w:rPr>
          <w:rFonts w:ascii="Times New Roman" w:hAnsi="Times New Roman" w:cs="Times New Roman"/>
          <w:sz w:val="24"/>
          <w:szCs w:val="24"/>
        </w:rPr>
        <w:t>would gain some emotional, psychological and social benefit from this procedure as it would allow her sister, and indeed her mother, to spend more time with her in the future.</w:t>
      </w:r>
      <w:r w:rsidR="00825630" w:rsidRPr="006B422C">
        <w:rPr>
          <w:rStyle w:val="FootnoteReference"/>
          <w:rFonts w:ascii="Times New Roman" w:hAnsi="Times New Roman" w:cs="Times New Roman"/>
          <w:sz w:val="24"/>
          <w:szCs w:val="24"/>
        </w:rPr>
        <w:footnoteReference w:id="91"/>
      </w:r>
      <w:r w:rsidR="00651495" w:rsidRPr="006B422C">
        <w:rPr>
          <w:rFonts w:ascii="Times New Roman" w:hAnsi="Times New Roman" w:cs="Times New Roman"/>
          <w:sz w:val="24"/>
          <w:szCs w:val="24"/>
        </w:rPr>
        <w:t xml:space="preserve"> In other words, a clear benefit could be identified from helping some</w:t>
      </w:r>
      <w:r w:rsidR="00D63E3E">
        <w:rPr>
          <w:rFonts w:ascii="Times New Roman" w:hAnsi="Times New Roman" w:cs="Times New Roman"/>
          <w:sz w:val="24"/>
          <w:szCs w:val="24"/>
        </w:rPr>
        <w:t xml:space="preserve">one else.  This attitude </w:t>
      </w:r>
      <w:r w:rsidR="00A032EC">
        <w:rPr>
          <w:rFonts w:ascii="Times New Roman" w:hAnsi="Times New Roman" w:cs="Times New Roman"/>
          <w:sz w:val="24"/>
          <w:szCs w:val="24"/>
        </w:rPr>
        <w:t xml:space="preserve">has recently been reiterated </w:t>
      </w:r>
      <w:r w:rsidR="00651495" w:rsidRPr="006B422C">
        <w:rPr>
          <w:rFonts w:ascii="Times New Roman" w:hAnsi="Times New Roman" w:cs="Times New Roman"/>
          <w:sz w:val="24"/>
          <w:szCs w:val="24"/>
        </w:rPr>
        <w:t>by Morg</w:t>
      </w:r>
      <w:r w:rsidR="00D63E3E">
        <w:rPr>
          <w:rFonts w:ascii="Times New Roman" w:hAnsi="Times New Roman" w:cs="Times New Roman"/>
          <w:sz w:val="24"/>
          <w:szCs w:val="24"/>
        </w:rPr>
        <w:t>an J in the Court of Protection, where h</w:t>
      </w:r>
      <w:r w:rsidR="00651495" w:rsidRPr="006B422C">
        <w:rPr>
          <w:rFonts w:ascii="Times New Roman" w:hAnsi="Times New Roman" w:cs="Times New Roman"/>
          <w:sz w:val="24"/>
          <w:szCs w:val="24"/>
        </w:rPr>
        <w:t>e confirmed that the best interests test does not confine a court to considering self-interest, but could be extended to consider how the potential altruistic wishes of a person could indicate that a course of action ostensibly designed to help others could in fact be in that person’s best interests</w:t>
      </w:r>
      <w:r w:rsidR="00825630" w:rsidRPr="006B422C">
        <w:rPr>
          <w:rFonts w:ascii="Times New Roman" w:hAnsi="Times New Roman" w:cs="Times New Roman"/>
          <w:sz w:val="24"/>
          <w:szCs w:val="24"/>
        </w:rPr>
        <w:t>.</w:t>
      </w:r>
      <w:r w:rsidR="00825630" w:rsidRPr="006B422C">
        <w:rPr>
          <w:rStyle w:val="FootnoteReference"/>
          <w:rFonts w:ascii="Times New Roman" w:hAnsi="Times New Roman" w:cs="Times New Roman"/>
          <w:sz w:val="24"/>
          <w:szCs w:val="24"/>
        </w:rPr>
        <w:footnoteReference w:id="92"/>
      </w:r>
      <w:r w:rsidR="00825630" w:rsidRPr="006B422C">
        <w:rPr>
          <w:rFonts w:ascii="Times New Roman" w:hAnsi="Times New Roman" w:cs="Times New Roman"/>
          <w:sz w:val="24"/>
          <w:szCs w:val="24"/>
        </w:rPr>
        <w:t xml:space="preserve">  </w:t>
      </w:r>
    </w:p>
    <w:p w14:paraId="7A596D0F" w14:textId="79B46D93" w:rsidR="009B00F0" w:rsidRPr="006B422C" w:rsidRDefault="00A912AB" w:rsidP="00EE0D00">
      <w:pPr>
        <w:spacing w:before="240"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C2BA0" w:rsidRPr="006B422C">
        <w:rPr>
          <w:rFonts w:ascii="Times New Roman" w:hAnsi="Times New Roman" w:cs="Times New Roman"/>
          <w:sz w:val="24"/>
          <w:szCs w:val="24"/>
        </w:rPr>
        <w:t xml:space="preserve">Admittedly, in some </w:t>
      </w:r>
      <w:proofErr w:type="gramStart"/>
      <w:r w:rsidR="005C2BA0" w:rsidRPr="006B422C">
        <w:rPr>
          <w:rFonts w:ascii="Times New Roman" w:hAnsi="Times New Roman" w:cs="Times New Roman"/>
          <w:sz w:val="24"/>
          <w:szCs w:val="24"/>
        </w:rPr>
        <w:t>instances</w:t>
      </w:r>
      <w:proofErr w:type="gramEnd"/>
      <w:r w:rsidR="005C2BA0" w:rsidRPr="006B422C">
        <w:rPr>
          <w:rFonts w:ascii="Times New Roman" w:hAnsi="Times New Roman" w:cs="Times New Roman"/>
          <w:sz w:val="24"/>
          <w:szCs w:val="24"/>
        </w:rPr>
        <w:t xml:space="preserve"> factors pulling in the opposite direction may be sufficiently compelling </w:t>
      </w:r>
      <w:r w:rsidR="00471B6E" w:rsidRPr="006B422C">
        <w:rPr>
          <w:rFonts w:ascii="Times New Roman" w:hAnsi="Times New Roman" w:cs="Times New Roman"/>
          <w:sz w:val="24"/>
          <w:szCs w:val="24"/>
        </w:rPr>
        <w:t>to override the above</w:t>
      </w:r>
      <w:r w:rsidR="003D6D93" w:rsidRPr="006B422C">
        <w:rPr>
          <w:rFonts w:ascii="Times New Roman" w:hAnsi="Times New Roman" w:cs="Times New Roman"/>
          <w:sz w:val="24"/>
          <w:szCs w:val="24"/>
        </w:rPr>
        <w:t xml:space="preserve"> points</w:t>
      </w:r>
      <w:r w:rsidR="00A22CB2">
        <w:rPr>
          <w:rFonts w:ascii="Times New Roman" w:hAnsi="Times New Roman" w:cs="Times New Roman"/>
          <w:sz w:val="24"/>
          <w:szCs w:val="24"/>
        </w:rPr>
        <w:t xml:space="preserve">, but they could </w:t>
      </w:r>
      <w:r w:rsidR="009B00F0" w:rsidRPr="006B422C">
        <w:rPr>
          <w:rFonts w:ascii="Times New Roman" w:hAnsi="Times New Roman" w:cs="Times New Roman"/>
          <w:sz w:val="24"/>
          <w:szCs w:val="24"/>
        </w:rPr>
        <w:t xml:space="preserve">also </w:t>
      </w:r>
      <w:r w:rsidR="005C2BA0" w:rsidRPr="006B422C">
        <w:rPr>
          <w:rFonts w:ascii="Times New Roman" w:hAnsi="Times New Roman" w:cs="Times New Roman"/>
          <w:sz w:val="24"/>
          <w:szCs w:val="24"/>
        </w:rPr>
        <w:t>be considered as part of a rounded balancing exercise that is typically performed under best interests. All things being equal,</w:t>
      </w:r>
      <w:r w:rsidR="00471B6E" w:rsidRPr="006B422C">
        <w:rPr>
          <w:rFonts w:ascii="Times New Roman" w:hAnsi="Times New Roman" w:cs="Times New Roman"/>
          <w:sz w:val="24"/>
          <w:szCs w:val="24"/>
        </w:rPr>
        <w:t xml:space="preserve"> however, </w:t>
      </w:r>
      <w:r w:rsidR="005C2BA0" w:rsidRPr="006B422C">
        <w:rPr>
          <w:rFonts w:ascii="Times New Roman" w:hAnsi="Times New Roman" w:cs="Times New Roman"/>
          <w:sz w:val="24"/>
          <w:szCs w:val="24"/>
        </w:rPr>
        <w:t xml:space="preserve">where an incapacitated </w:t>
      </w:r>
      <w:r w:rsidR="00906D85" w:rsidRPr="006B422C">
        <w:rPr>
          <w:rFonts w:ascii="Times New Roman" w:hAnsi="Times New Roman" w:cs="Times New Roman"/>
          <w:sz w:val="24"/>
          <w:szCs w:val="24"/>
        </w:rPr>
        <w:t>participant</w:t>
      </w:r>
      <w:r w:rsidR="005C2BA0" w:rsidRPr="006B422C">
        <w:rPr>
          <w:rFonts w:ascii="Times New Roman" w:hAnsi="Times New Roman" w:cs="Times New Roman"/>
          <w:sz w:val="24"/>
          <w:szCs w:val="24"/>
        </w:rPr>
        <w:t xml:space="preserve"> is capable of </w:t>
      </w:r>
      <w:r w:rsidR="00471B6E" w:rsidRPr="006B422C">
        <w:rPr>
          <w:rFonts w:ascii="Times New Roman" w:hAnsi="Times New Roman" w:cs="Times New Roman"/>
          <w:sz w:val="24"/>
          <w:szCs w:val="24"/>
        </w:rPr>
        <w:t xml:space="preserve">communicating a wish </w:t>
      </w:r>
      <w:r w:rsidR="005C2BA0" w:rsidRPr="006B422C">
        <w:rPr>
          <w:rFonts w:ascii="Times New Roman" w:hAnsi="Times New Roman" w:cs="Times New Roman"/>
          <w:sz w:val="24"/>
          <w:szCs w:val="24"/>
        </w:rPr>
        <w:t xml:space="preserve">to </w:t>
      </w:r>
      <w:r w:rsidR="00906D85" w:rsidRPr="006B422C">
        <w:rPr>
          <w:rFonts w:ascii="Times New Roman" w:hAnsi="Times New Roman" w:cs="Times New Roman"/>
          <w:sz w:val="24"/>
          <w:szCs w:val="24"/>
        </w:rPr>
        <w:t>participate</w:t>
      </w:r>
      <w:r w:rsidR="005C2BA0" w:rsidRPr="006B422C">
        <w:rPr>
          <w:rFonts w:ascii="Times New Roman" w:hAnsi="Times New Roman" w:cs="Times New Roman"/>
          <w:sz w:val="24"/>
          <w:szCs w:val="24"/>
        </w:rPr>
        <w:t xml:space="preserve"> in </w:t>
      </w:r>
      <w:r w:rsidR="00906D85" w:rsidRPr="006B422C">
        <w:rPr>
          <w:rFonts w:ascii="Times New Roman" w:hAnsi="Times New Roman" w:cs="Times New Roman"/>
          <w:sz w:val="24"/>
          <w:szCs w:val="24"/>
        </w:rPr>
        <w:t>research</w:t>
      </w:r>
      <w:r w:rsidR="005C2BA0" w:rsidRPr="006B422C">
        <w:rPr>
          <w:rFonts w:ascii="Times New Roman" w:hAnsi="Times New Roman" w:cs="Times New Roman"/>
          <w:sz w:val="24"/>
          <w:szCs w:val="24"/>
        </w:rPr>
        <w:t xml:space="preserve"> in </w:t>
      </w:r>
      <w:r w:rsidR="00906D85" w:rsidRPr="006B422C">
        <w:rPr>
          <w:rFonts w:ascii="Times New Roman" w:hAnsi="Times New Roman" w:cs="Times New Roman"/>
          <w:sz w:val="24"/>
          <w:szCs w:val="24"/>
        </w:rPr>
        <w:t>order</w:t>
      </w:r>
      <w:r w:rsidR="005C2BA0" w:rsidRPr="006B422C">
        <w:rPr>
          <w:rFonts w:ascii="Times New Roman" w:hAnsi="Times New Roman" w:cs="Times New Roman"/>
          <w:sz w:val="24"/>
          <w:szCs w:val="24"/>
        </w:rPr>
        <w:t xml:space="preserve"> to help others, </w:t>
      </w:r>
      <w:r w:rsidR="003D6D93" w:rsidRPr="006B422C">
        <w:rPr>
          <w:rFonts w:ascii="Times New Roman" w:hAnsi="Times New Roman" w:cs="Times New Roman"/>
          <w:sz w:val="24"/>
          <w:szCs w:val="24"/>
        </w:rPr>
        <w:t xml:space="preserve">it </w:t>
      </w:r>
      <w:r w:rsidR="005C2BA0" w:rsidRPr="006B422C">
        <w:rPr>
          <w:rFonts w:ascii="Times New Roman" w:hAnsi="Times New Roman" w:cs="Times New Roman"/>
          <w:sz w:val="24"/>
          <w:szCs w:val="24"/>
        </w:rPr>
        <w:t xml:space="preserve">should be highly </w:t>
      </w:r>
      <w:r w:rsidR="00906D85" w:rsidRPr="006B422C">
        <w:rPr>
          <w:rFonts w:ascii="Times New Roman" w:hAnsi="Times New Roman" w:cs="Times New Roman"/>
          <w:sz w:val="24"/>
          <w:szCs w:val="24"/>
        </w:rPr>
        <w:t>persuasive</w:t>
      </w:r>
      <w:r w:rsidR="005C2BA0" w:rsidRPr="006B422C">
        <w:rPr>
          <w:rFonts w:ascii="Times New Roman" w:hAnsi="Times New Roman" w:cs="Times New Roman"/>
          <w:sz w:val="24"/>
          <w:szCs w:val="24"/>
        </w:rPr>
        <w:t xml:space="preserve"> </w:t>
      </w:r>
      <w:r w:rsidR="00906D85" w:rsidRPr="006B422C">
        <w:rPr>
          <w:rFonts w:ascii="Times New Roman" w:hAnsi="Times New Roman" w:cs="Times New Roman"/>
          <w:sz w:val="24"/>
          <w:szCs w:val="24"/>
        </w:rPr>
        <w:t xml:space="preserve">in </w:t>
      </w:r>
      <w:r w:rsidR="00471B6E" w:rsidRPr="006B422C">
        <w:rPr>
          <w:rFonts w:ascii="Times New Roman" w:hAnsi="Times New Roman" w:cs="Times New Roman"/>
          <w:sz w:val="24"/>
          <w:szCs w:val="24"/>
        </w:rPr>
        <w:t xml:space="preserve">terms of </w:t>
      </w:r>
      <w:r w:rsidR="00906D85" w:rsidRPr="006B422C">
        <w:rPr>
          <w:rFonts w:ascii="Times New Roman" w:hAnsi="Times New Roman" w:cs="Times New Roman"/>
          <w:sz w:val="24"/>
          <w:szCs w:val="24"/>
        </w:rPr>
        <w:lastRenderedPageBreak/>
        <w:t>sanctioning her involvement.  In order to promote this attitude</w:t>
      </w:r>
      <w:r w:rsidR="004A0AB7" w:rsidRPr="006B422C">
        <w:rPr>
          <w:rFonts w:ascii="Times New Roman" w:hAnsi="Times New Roman" w:cs="Times New Roman"/>
          <w:sz w:val="24"/>
          <w:szCs w:val="24"/>
        </w:rPr>
        <w:t>, greater emphasis needs to be placed on ways in</w:t>
      </w:r>
      <w:r w:rsidR="00AD5FA9" w:rsidRPr="006B422C">
        <w:rPr>
          <w:rFonts w:ascii="Times New Roman" w:hAnsi="Times New Roman" w:cs="Times New Roman"/>
          <w:sz w:val="24"/>
          <w:szCs w:val="24"/>
        </w:rPr>
        <w:t xml:space="preserve"> researchers themselves can be encouraged to engage participants with the research concepts and communication process in whatever way each individual is able.  </w:t>
      </w:r>
      <w:r w:rsidR="003D6D93" w:rsidRPr="006B422C">
        <w:rPr>
          <w:rFonts w:ascii="Times New Roman" w:hAnsi="Times New Roman" w:cs="Times New Roman"/>
          <w:sz w:val="24"/>
          <w:szCs w:val="24"/>
        </w:rPr>
        <w:t>At present, the legislation gives the impression that this role should be mainly delegated to a consultee, whic</w:t>
      </w:r>
      <w:r w:rsidR="00AD5FA9" w:rsidRPr="006B422C">
        <w:rPr>
          <w:rFonts w:ascii="Times New Roman" w:hAnsi="Times New Roman" w:cs="Times New Roman"/>
          <w:sz w:val="24"/>
          <w:szCs w:val="24"/>
        </w:rPr>
        <w:t>h carries with it some pitfalls that we explore in more detail below.</w:t>
      </w:r>
    </w:p>
    <w:p w14:paraId="04CFE7F8" w14:textId="5FE7E2A0" w:rsidR="00A912AB" w:rsidRDefault="009B00F0" w:rsidP="000E35F4">
      <w:pPr>
        <w:spacing w:after="0" w:line="360" w:lineRule="auto"/>
        <w:jc w:val="both"/>
        <w:rPr>
          <w:rFonts w:ascii="Times New Roman" w:hAnsi="Times New Roman" w:cs="Times New Roman"/>
          <w:sz w:val="24"/>
          <w:szCs w:val="24"/>
        </w:rPr>
      </w:pPr>
      <w:r w:rsidRPr="006B422C">
        <w:rPr>
          <w:rFonts w:ascii="Times New Roman" w:hAnsi="Times New Roman" w:cs="Times New Roman"/>
          <w:sz w:val="24"/>
          <w:szCs w:val="24"/>
        </w:rPr>
        <w:tab/>
      </w:r>
      <w:r w:rsidR="0067478B" w:rsidRPr="006B422C">
        <w:rPr>
          <w:rFonts w:ascii="Times New Roman" w:hAnsi="Times New Roman" w:cs="Times New Roman"/>
          <w:sz w:val="24"/>
          <w:szCs w:val="24"/>
        </w:rPr>
        <w:t xml:space="preserve">We </w:t>
      </w:r>
      <w:r w:rsidR="00F365ED" w:rsidRPr="006B422C">
        <w:rPr>
          <w:rFonts w:ascii="Times New Roman" w:hAnsi="Times New Roman" w:cs="Times New Roman"/>
          <w:sz w:val="24"/>
          <w:szCs w:val="24"/>
        </w:rPr>
        <w:t xml:space="preserve">now turn </w:t>
      </w:r>
      <w:r w:rsidR="00902B32" w:rsidRPr="006B422C">
        <w:rPr>
          <w:rFonts w:ascii="Times New Roman" w:hAnsi="Times New Roman" w:cs="Times New Roman"/>
          <w:sz w:val="24"/>
          <w:szCs w:val="24"/>
        </w:rPr>
        <w:t xml:space="preserve">to consider whether other aspects </w:t>
      </w:r>
      <w:r w:rsidR="00DC52CF" w:rsidRPr="006B422C">
        <w:rPr>
          <w:rFonts w:ascii="Times New Roman" w:hAnsi="Times New Roman" w:cs="Times New Roman"/>
          <w:sz w:val="24"/>
          <w:szCs w:val="24"/>
        </w:rPr>
        <w:t>of</w:t>
      </w:r>
      <w:r w:rsidR="00471B6E" w:rsidRPr="006B422C">
        <w:rPr>
          <w:rFonts w:ascii="Times New Roman" w:hAnsi="Times New Roman" w:cs="Times New Roman"/>
          <w:sz w:val="24"/>
          <w:szCs w:val="24"/>
        </w:rPr>
        <w:t xml:space="preserve"> the </w:t>
      </w:r>
      <w:r w:rsidR="003D6D93" w:rsidRPr="006B422C">
        <w:rPr>
          <w:rFonts w:ascii="Times New Roman" w:hAnsi="Times New Roman" w:cs="Times New Roman"/>
          <w:sz w:val="24"/>
          <w:szCs w:val="24"/>
        </w:rPr>
        <w:t xml:space="preserve">MCA </w:t>
      </w:r>
      <w:r w:rsidR="00902B32" w:rsidRPr="006B422C">
        <w:rPr>
          <w:rFonts w:ascii="Times New Roman" w:hAnsi="Times New Roman" w:cs="Times New Roman"/>
          <w:sz w:val="24"/>
          <w:szCs w:val="24"/>
        </w:rPr>
        <w:t xml:space="preserve">could </w:t>
      </w:r>
      <w:r w:rsidR="0067478B" w:rsidRPr="006B422C">
        <w:rPr>
          <w:rFonts w:ascii="Times New Roman" w:hAnsi="Times New Roman" w:cs="Times New Roman"/>
          <w:sz w:val="24"/>
          <w:szCs w:val="24"/>
        </w:rPr>
        <w:t>potentially</w:t>
      </w:r>
      <w:r w:rsidR="00902B32" w:rsidRPr="006B422C">
        <w:rPr>
          <w:rFonts w:ascii="Times New Roman" w:hAnsi="Times New Roman" w:cs="Times New Roman"/>
          <w:sz w:val="24"/>
          <w:szCs w:val="24"/>
        </w:rPr>
        <w:t xml:space="preserve"> depict </w:t>
      </w:r>
      <w:r w:rsidR="00F365ED" w:rsidRPr="006B422C">
        <w:rPr>
          <w:rFonts w:ascii="Times New Roman" w:hAnsi="Times New Roman" w:cs="Times New Roman"/>
          <w:sz w:val="24"/>
          <w:szCs w:val="24"/>
        </w:rPr>
        <w:t xml:space="preserve">the </w:t>
      </w:r>
      <w:r w:rsidR="00902B32" w:rsidRPr="006B422C">
        <w:rPr>
          <w:rFonts w:ascii="Times New Roman" w:hAnsi="Times New Roman" w:cs="Times New Roman"/>
          <w:sz w:val="24"/>
          <w:szCs w:val="24"/>
        </w:rPr>
        <w:t xml:space="preserve">bespoke </w:t>
      </w:r>
      <w:r w:rsidR="00F365ED" w:rsidRPr="006B422C">
        <w:rPr>
          <w:rFonts w:ascii="Times New Roman" w:hAnsi="Times New Roman" w:cs="Times New Roman"/>
          <w:sz w:val="24"/>
          <w:szCs w:val="24"/>
        </w:rPr>
        <w:t>research provisi</w:t>
      </w:r>
      <w:r w:rsidR="003D6D93" w:rsidRPr="006B422C">
        <w:rPr>
          <w:rFonts w:ascii="Times New Roman" w:hAnsi="Times New Roman" w:cs="Times New Roman"/>
          <w:sz w:val="24"/>
          <w:szCs w:val="24"/>
        </w:rPr>
        <w:t>ons in a more favourable light. W</w:t>
      </w:r>
      <w:r w:rsidR="00F365ED" w:rsidRPr="006B422C">
        <w:rPr>
          <w:rFonts w:ascii="Times New Roman" w:hAnsi="Times New Roman" w:cs="Times New Roman"/>
          <w:sz w:val="24"/>
          <w:szCs w:val="24"/>
        </w:rPr>
        <w:t xml:space="preserve">hile a number of other requirements must </w:t>
      </w:r>
      <w:r w:rsidRPr="006B422C">
        <w:rPr>
          <w:rFonts w:ascii="Times New Roman" w:hAnsi="Times New Roman" w:cs="Times New Roman"/>
          <w:sz w:val="24"/>
          <w:szCs w:val="24"/>
        </w:rPr>
        <w:t xml:space="preserve">also </w:t>
      </w:r>
      <w:r w:rsidR="00F365ED" w:rsidRPr="006B422C">
        <w:rPr>
          <w:rFonts w:ascii="Times New Roman" w:hAnsi="Times New Roman" w:cs="Times New Roman"/>
          <w:sz w:val="24"/>
          <w:szCs w:val="24"/>
        </w:rPr>
        <w:t xml:space="preserve">be complied with before research can be approved, </w:t>
      </w:r>
      <w:r w:rsidR="003D6D93" w:rsidRPr="006B422C">
        <w:rPr>
          <w:rFonts w:ascii="Times New Roman" w:hAnsi="Times New Roman" w:cs="Times New Roman"/>
          <w:sz w:val="24"/>
          <w:szCs w:val="24"/>
        </w:rPr>
        <w:t xml:space="preserve">we argue that these additional measures </w:t>
      </w:r>
      <w:r w:rsidR="00F365ED" w:rsidRPr="006B422C">
        <w:rPr>
          <w:rFonts w:ascii="Times New Roman" w:hAnsi="Times New Roman" w:cs="Times New Roman"/>
          <w:sz w:val="24"/>
          <w:szCs w:val="24"/>
        </w:rPr>
        <w:t>impose different obligations on different parties.  Thus, far from adding clarity, they actually send out mixed messages</w:t>
      </w:r>
      <w:r w:rsidR="007317C4" w:rsidRPr="006B422C">
        <w:rPr>
          <w:rFonts w:ascii="Times New Roman" w:hAnsi="Times New Roman" w:cs="Times New Roman"/>
          <w:sz w:val="24"/>
          <w:szCs w:val="24"/>
        </w:rPr>
        <w:t>.</w:t>
      </w:r>
    </w:p>
    <w:p w14:paraId="5DEE0557" w14:textId="77777777" w:rsidR="000E35F4" w:rsidRDefault="000E35F4" w:rsidP="000E35F4">
      <w:pPr>
        <w:spacing w:after="0" w:line="240" w:lineRule="auto"/>
        <w:jc w:val="both"/>
        <w:rPr>
          <w:rFonts w:ascii="Times New Roman" w:hAnsi="Times New Roman" w:cs="Times New Roman"/>
          <w:sz w:val="24"/>
          <w:szCs w:val="24"/>
        </w:rPr>
      </w:pPr>
    </w:p>
    <w:p w14:paraId="1009A5F8" w14:textId="77777777" w:rsidR="004A0BE7" w:rsidRDefault="00DD3F5B" w:rsidP="004A0BE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 </w:t>
      </w:r>
      <w:r w:rsidR="00F93FFB">
        <w:rPr>
          <w:rFonts w:ascii="Times New Roman" w:hAnsi="Times New Roman" w:cs="Times New Roman"/>
          <w:b/>
          <w:sz w:val="24"/>
          <w:szCs w:val="24"/>
        </w:rPr>
        <w:t>Researcher</w:t>
      </w:r>
      <w:r w:rsidR="00C57127">
        <w:rPr>
          <w:rFonts w:ascii="Times New Roman" w:hAnsi="Times New Roman" w:cs="Times New Roman"/>
          <w:b/>
          <w:sz w:val="24"/>
          <w:szCs w:val="24"/>
        </w:rPr>
        <w:t xml:space="preserve">s; </w:t>
      </w:r>
      <w:r w:rsidR="00F93FFB">
        <w:rPr>
          <w:rFonts w:ascii="Times New Roman" w:hAnsi="Times New Roman" w:cs="Times New Roman"/>
          <w:b/>
          <w:sz w:val="24"/>
          <w:szCs w:val="24"/>
        </w:rPr>
        <w:t>Consultee</w:t>
      </w:r>
      <w:r w:rsidR="00C57127">
        <w:rPr>
          <w:rFonts w:ascii="Times New Roman" w:hAnsi="Times New Roman" w:cs="Times New Roman"/>
          <w:b/>
          <w:sz w:val="24"/>
          <w:szCs w:val="24"/>
        </w:rPr>
        <w:t xml:space="preserve">s; </w:t>
      </w:r>
      <w:r w:rsidR="00F93FFB">
        <w:rPr>
          <w:rFonts w:ascii="Times New Roman" w:hAnsi="Times New Roman" w:cs="Times New Roman"/>
          <w:b/>
          <w:sz w:val="24"/>
          <w:szCs w:val="24"/>
        </w:rPr>
        <w:t xml:space="preserve">MCA RECs: </w:t>
      </w:r>
      <w:r w:rsidR="006F3312">
        <w:rPr>
          <w:rFonts w:ascii="Times New Roman" w:hAnsi="Times New Roman" w:cs="Times New Roman"/>
          <w:b/>
          <w:sz w:val="24"/>
          <w:szCs w:val="24"/>
        </w:rPr>
        <w:t xml:space="preserve">Mixed </w:t>
      </w:r>
      <w:r w:rsidR="009C1453">
        <w:rPr>
          <w:rFonts w:ascii="Times New Roman" w:hAnsi="Times New Roman" w:cs="Times New Roman"/>
          <w:b/>
          <w:sz w:val="24"/>
          <w:szCs w:val="24"/>
        </w:rPr>
        <w:t xml:space="preserve">Responsibilities  </w:t>
      </w:r>
    </w:p>
    <w:p w14:paraId="5D30DA1B" w14:textId="77777777" w:rsidR="004A0BE7" w:rsidRDefault="004A0BE7" w:rsidP="004A0BE7">
      <w:pPr>
        <w:spacing w:after="0" w:line="240" w:lineRule="auto"/>
        <w:jc w:val="both"/>
        <w:rPr>
          <w:rFonts w:ascii="Times New Roman" w:hAnsi="Times New Roman" w:cs="Times New Roman"/>
          <w:b/>
          <w:sz w:val="24"/>
          <w:szCs w:val="24"/>
        </w:rPr>
      </w:pPr>
    </w:p>
    <w:p w14:paraId="362C34CC" w14:textId="1BB6E145" w:rsidR="003C7269" w:rsidRPr="00A3630B" w:rsidRDefault="000E35F4" w:rsidP="00A3630B">
      <w:pPr>
        <w:spacing w:after="0" w:line="360" w:lineRule="auto"/>
        <w:jc w:val="both"/>
        <w:rPr>
          <w:rFonts w:ascii="Times New Roman" w:hAnsi="Times New Roman" w:cs="Times New Roman"/>
          <w:b/>
          <w:i/>
          <w:sz w:val="24"/>
          <w:szCs w:val="24"/>
        </w:rPr>
      </w:pPr>
      <w:proofErr w:type="spellStart"/>
      <w:r>
        <w:rPr>
          <w:rFonts w:ascii="Times New Roman" w:hAnsi="Times New Roman" w:cs="Times New Roman"/>
          <w:b/>
          <w:i/>
          <w:sz w:val="24"/>
          <w:szCs w:val="24"/>
        </w:rPr>
        <w:t>i</w:t>
      </w:r>
      <w:proofErr w:type="spellEnd"/>
      <w:r>
        <w:rPr>
          <w:rFonts w:ascii="Times New Roman" w:hAnsi="Times New Roman" w:cs="Times New Roman"/>
          <w:b/>
          <w:i/>
          <w:sz w:val="24"/>
          <w:szCs w:val="24"/>
        </w:rPr>
        <w:t xml:space="preserve">) </w:t>
      </w:r>
      <w:r w:rsidR="00A3630B" w:rsidRPr="00A3630B">
        <w:rPr>
          <w:rFonts w:ascii="Times New Roman" w:hAnsi="Times New Roman" w:cs="Times New Roman"/>
          <w:b/>
          <w:i/>
          <w:sz w:val="24"/>
          <w:szCs w:val="24"/>
        </w:rPr>
        <w:t>Researcher</w:t>
      </w:r>
      <w:r>
        <w:rPr>
          <w:rFonts w:ascii="Times New Roman" w:hAnsi="Times New Roman" w:cs="Times New Roman"/>
          <w:b/>
          <w:i/>
          <w:sz w:val="24"/>
          <w:szCs w:val="24"/>
        </w:rPr>
        <w:t>s</w:t>
      </w:r>
    </w:p>
    <w:p w14:paraId="58F23AAB" w14:textId="65914127" w:rsidR="009E61E2" w:rsidRDefault="00DC52CF" w:rsidP="002B74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question of capacity is the first issue that must be addressed by a researcher, and she must approach this by reference to the general principles contained in the MCA.</w:t>
      </w:r>
      <w:r w:rsidR="007B7EAF">
        <w:rPr>
          <w:rStyle w:val="FootnoteReference"/>
          <w:rFonts w:ascii="Times New Roman" w:hAnsi="Times New Roman" w:cs="Times New Roman"/>
          <w:sz w:val="24"/>
          <w:szCs w:val="24"/>
        </w:rPr>
        <w:footnoteReference w:id="93"/>
      </w:r>
      <w:r w:rsidR="00264204">
        <w:rPr>
          <w:rFonts w:ascii="Times New Roman" w:hAnsi="Times New Roman" w:cs="Times New Roman"/>
          <w:sz w:val="24"/>
          <w:szCs w:val="24"/>
        </w:rPr>
        <w:t xml:space="preserve"> The starting point </w:t>
      </w:r>
      <w:r w:rsidR="00CF3B3C">
        <w:rPr>
          <w:rFonts w:ascii="Times New Roman" w:hAnsi="Times New Roman" w:cs="Times New Roman"/>
          <w:sz w:val="24"/>
          <w:szCs w:val="24"/>
        </w:rPr>
        <w:t xml:space="preserve">is </w:t>
      </w:r>
      <w:r>
        <w:rPr>
          <w:rFonts w:ascii="Times New Roman" w:hAnsi="Times New Roman" w:cs="Times New Roman"/>
          <w:sz w:val="24"/>
          <w:szCs w:val="24"/>
        </w:rPr>
        <w:t xml:space="preserve">that capacity should </w:t>
      </w:r>
      <w:r w:rsidRPr="00DC52CF">
        <w:rPr>
          <w:rFonts w:ascii="Times New Roman" w:hAnsi="Times New Roman" w:cs="Times New Roman"/>
          <w:sz w:val="24"/>
          <w:szCs w:val="24"/>
        </w:rPr>
        <w:t xml:space="preserve">always </w:t>
      </w:r>
      <w:r w:rsidR="00B929CD">
        <w:rPr>
          <w:rFonts w:ascii="Times New Roman" w:hAnsi="Times New Roman" w:cs="Times New Roman"/>
          <w:sz w:val="24"/>
          <w:szCs w:val="24"/>
        </w:rPr>
        <w:t xml:space="preserve">be </w:t>
      </w:r>
      <w:r w:rsidR="00CF3B3C">
        <w:rPr>
          <w:rFonts w:ascii="Times New Roman" w:hAnsi="Times New Roman" w:cs="Times New Roman"/>
          <w:sz w:val="24"/>
          <w:szCs w:val="24"/>
        </w:rPr>
        <w:t xml:space="preserve">presumed, which acts as a </w:t>
      </w:r>
      <w:r w:rsidRPr="00DC52CF">
        <w:rPr>
          <w:rFonts w:ascii="Times New Roman" w:hAnsi="Times New Roman" w:cs="Times New Roman"/>
          <w:sz w:val="24"/>
          <w:szCs w:val="24"/>
        </w:rPr>
        <w:t>safeguard</w:t>
      </w:r>
      <w:r w:rsidR="00CF3B3C">
        <w:rPr>
          <w:rFonts w:ascii="Times New Roman" w:hAnsi="Times New Roman" w:cs="Times New Roman"/>
          <w:sz w:val="24"/>
          <w:szCs w:val="24"/>
        </w:rPr>
        <w:t xml:space="preserve"> by ensuring that </w:t>
      </w:r>
      <w:r w:rsidRPr="00DC52CF">
        <w:rPr>
          <w:rFonts w:ascii="Times New Roman" w:hAnsi="Times New Roman" w:cs="Times New Roman"/>
          <w:sz w:val="24"/>
          <w:szCs w:val="24"/>
        </w:rPr>
        <w:t>the burden of disproving capacity rests on the person contesting it.</w:t>
      </w:r>
      <w:r w:rsidR="00CF3B3C">
        <w:rPr>
          <w:rStyle w:val="FootnoteReference"/>
          <w:rFonts w:ascii="Times New Roman" w:hAnsi="Times New Roman" w:cs="Times New Roman"/>
          <w:sz w:val="24"/>
          <w:szCs w:val="24"/>
        </w:rPr>
        <w:t xml:space="preserve"> </w:t>
      </w:r>
      <w:r w:rsidR="00CF3B3C">
        <w:rPr>
          <w:rStyle w:val="FootnoteReference"/>
          <w:rFonts w:ascii="Times New Roman" w:hAnsi="Times New Roman" w:cs="Times New Roman"/>
          <w:sz w:val="24"/>
          <w:szCs w:val="24"/>
        </w:rPr>
        <w:footnoteReference w:id="94"/>
      </w:r>
      <w:r w:rsidR="00CF3B3C">
        <w:rPr>
          <w:rFonts w:ascii="Times New Roman" w:hAnsi="Times New Roman" w:cs="Times New Roman"/>
          <w:sz w:val="24"/>
          <w:szCs w:val="24"/>
        </w:rPr>
        <w:t xml:space="preserve">  To rebut that </w:t>
      </w:r>
      <w:r w:rsidRPr="00DC52CF">
        <w:rPr>
          <w:rFonts w:ascii="Times New Roman" w:hAnsi="Times New Roman" w:cs="Times New Roman"/>
          <w:sz w:val="24"/>
          <w:szCs w:val="24"/>
        </w:rPr>
        <w:t>presumption, it must be proven, on the balance of probabilities, that at the material time, a person is unable to make a decision.</w:t>
      </w:r>
      <w:r w:rsidR="007B7EAF">
        <w:rPr>
          <w:rStyle w:val="FootnoteReference"/>
          <w:rFonts w:ascii="Times New Roman" w:hAnsi="Times New Roman" w:cs="Times New Roman"/>
          <w:sz w:val="24"/>
          <w:szCs w:val="24"/>
        </w:rPr>
        <w:footnoteReference w:id="95"/>
      </w:r>
      <w:r w:rsidRPr="00DC52CF">
        <w:rPr>
          <w:rFonts w:ascii="Times New Roman" w:hAnsi="Times New Roman" w:cs="Times New Roman"/>
          <w:sz w:val="24"/>
          <w:szCs w:val="24"/>
        </w:rPr>
        <w:t xml:space="preserve">  Under section 3 (1), a person is unable to make a decision if she is unable to understand the information relevant to the decision, to retain that information, to use or weigh that information as part of the process of making the decision, or to communicate her decision (whether by talking, using sign language or any other means).</w:t>
      </w:r>
      <w:r w:rsidR="007B7EAF">
        <w:rPr>
          <w:rStyle w:val="FootnoteReference"/>
          <w:rFonts w:ascii="Times New Roman" w:hAnsi="Times New Roman" w:cs="Times New Roman"/>
          <w:sz w:val="24"/>
          <w:szCs w:val="24"/>
        </w:rPr>
        <w:footnoteReference w:id="96"/>
      </w:r>
      <w:r w:rsidRPr="00DC52CF">
        <w:rPr>
          <w:rFonts w:ascii="Times New Roman" w:hAnsi="Times New Roman" w:cs="Times New Roman"/>
          <w:sz w:val="24"/>
          <w:szCs w:val="24"/>
        </w:rPr>
        <w:t xml:space="preserve">  This is a decision-specific, functional approach that focuses on the ability of a participant to actually make a decision through understanding, </w:t>
      </w:r>
      <w:r w:rsidR="00CD6D43">
        <w:rPr>
          <w:rFonts w:ascii="Times New Roman" w:hAnsi="Times New Roman" w:cs="Times New Roman"/>
          <w:sz w:val="24"/>
          <w:szCs w:val="24"/>
        </w:rPr>
        <w:t xml:space="preserve">remembering, </w:t>
      </w:r>
      <w:r w:rsidRPr="00DC52CF">
        <w:rPr>
          <w:rFonts w:ascii="Times New Roman" w:hAnsi="Times New Roman" w:cs="Times New Roman"/>
          <w:sz w:val="24"/>
          <w:szCs w:val="24"/>
        </w:rPr>
        <w:t>processing and</w:t>
      </w:r>
      <w:r w:rsidR="00AD5A42">
        <w:rPr>
          <w:rFonts w:ascii="Times New Roman" w:hAnsi="Times New Roman" w:cs="Times New Roman"/>
          <w:sz w:val="24"/>
          <w:szCs w:val="24"/>
        </w:rPr>
        <w:t xml:space="preserve"> communicating</w:t>
      </w:r>
      <w:r w:rsidRPr="00DC52CF">
        <w:rPr>
          <w:rFonts w:ascii="Times New Roman" w:hAnsi="Times New Roman" w:cs="Times New Roman"/>
          <w:sz w:val="24"/>
          <w:szCs w:val="24"/>
        </w:rPr>
        <w:t>.</w:t>
      </w:r>
      <w:r w:rsidR="007B7EAF">
        <w:rPr>
          <w:rStyle w:val="FootnoteReference"/>
          <w:rFonts w:ascii="Times New Roman" w:hAnsi="Times New Roman" w:cs="Times New Roman"/>
          <w:sz w:val="24"/>
          <w:szCs w:val="24"/>
        </w:rPr>
        <w:footnoteReference w:id="97"/>
      </w:r>
      <w:r w:rsidR="00CF3B3C">
        <w:rPr>
          <w:rFonts w:ascii="Times New Roman" w:hAnsi="Times New Roman" w:cs="Times New Roman"/>
          <w:sz w:val="24"/>
          <w:szCs w:val="24"/>
        </w:rPr>
        <w:t xml:space="preserve">  </w:t>
      </w:r>
      <w:r w:rsidR="00DF6BAE">
        <w:rPr>
          <w:rFonts w:ascii="Times New Roman" w:hAnsi="Times New Roman" w:cs="Times New Roman"/>
          <w:sz w:val="24"/>
          <w:szCs w:val="24"/>
        </w:rPr>
        <w:t xml:space="preserve">Where a </w:t>
      </w:r>
      <w:r w:rsidR="00CF3B3C">
        <w:rPr>
          <w:rFonts w:ascii="Times New Roman" w:hAnsi="Times New Roman" w:cs="Times New Roman"/>
          <w:sz w:val="24"/>
          <w:szCs w:val="24"/>
        </w:rPr>
        <w:t xml:space="preserve">research </w:t>
      </w:r>
      <w:r w:rsidR="00DF6BAE">
        <w:rPr>
          <w:rFonts w:ascii="Times New Roman" w:hAnsi="Times New Roman" w:cs="Times New Roman"/>
          <w:sz w:val="24"/>
          <w:szCs w:val="24"/>
        </w:rPr>
        <w:t>participant is deemed to ha</w:t>
      </w:r>
      <w:r w:rsidR="007B7EAF">
        <w:rPr>
          <w:rFonts w:ascii="Times New Roman" w:hAnsi="Times New Roman" w:cs="Times New Roman"/>
          <w:sz w:val="24"/>
          <w:szCs w:val="24"/>
        </w:rPr>
        <w:t>ve capacity, her decision about</w:t>
      </w:r>
      <w:r w:rsidR="00CF3B3C">
        <w:rPr>
          <w:rFonts w:ascii="Times New Roman" w:hAnsi="Times New Roman" w:cs="Times New Roman"/>
          <w:sz w:val="24"/>
          <w:szCs w:val="24"/>
        </w:rPr>
        <w:t xml:space="preserve"> participation </w:t>
      </w:r>
      <w:r w:rsidR="00DF6BAE">
        <w:rPr>
          <w:rFonts w:ascii="Times New Roman" w:hAnsi="Times New Roman" w:cs="Times New Roman"/>
          <w:sz w:val="24"/>
          <w:szCs w:val="24"/>
        </w:rPr>
        <w:t xml:space="preserve">remains </w:t>
      </w:r>
      <w:r w:rsidR="00DF6BAE">
        <w:rPr>
          <w:rFonts w:ascii="Times New Roman" w:hAnsi="Times New Roman" w:cs="Times New Roman"/>
          <w:sz w:val="24"/>
          <w:szCs w:val="24"/>
        </w:rPr>
        <w:lastRenderedPageBreak/>
        <w:t>sacrosanct.</w:t>
      </w:r>
      <w:r w:rsidR="00CF3B3C">
        <w:rPr>
          <w:rStyle w:val="FootnoteReference"/>
          <w:rFonts w:ascii="Times New Roman" w:hAnsi="Times New Roman" w:cs="Times New Roman"/>
          <w:sz w:val="24"/>
          <w:szCs w:val="24"/>
        </w:rPr>
        <w:footnoteReference w:id="98"/>
      </w:r>
      <w:r w:rsidR="00DF6BAE">
        <w:rPr>
          <w:rFonts w:ascii="Times New Roman" w:hAnsi="Times New Roman" w:cs="Times New Roman"/>
          <w:sz w:val="24"/>
          <w:szCs w:val="24"/>
        </w:rPr>
        <w:t xml:space="preserve">  If, however, the opposite conclusion is reached, the </w:t>
      </w:r>
      <w:r w:rsidR="0033390A">
        <w:rPr>
          <w:rFonts w:ascii="Times New Roman" w:hAnsi="Times New Roman" w:cs="Times New Roman"/>
          <w:sz w:val="24"/>
          <w:szCs w:val="24"/>
        </w:rPr>
        <w:t xml:space="preserve">additional </w:t>
      </w:r>
      <w:r w:rsidR="00DF6BAE">
        <w:rPr>
          <w:rFonts w:ascii="Times New Roman" w:hAnsi="Times New Roman" w:cs="Times New Roman"/>
          <w:sz w:val="24"/>
          <w:szCs w:val="24"/>
        </w:rPr>
        <w:t xml:space="preserve">measures of the MCA </w:t>
      </w:r>
      <w:r w:rsidR="0033390A">
        <w:rPr>
          <w:rFonts w:ascii="Times New Roman" w:hAnsi="Times New Roman" w:cs="Times New Roman"/>
          <w:sz w:val="24"/>
          <w:szCs w:val="24"/>
        </w:rPr>
        <w:t xml:space="preserve">will be </w:t>
      </w:r>
      <w:r w:rsidR="00DF6BAE">
        <w:rPr>
          <w:rFonts w:ascii="Times New Roman" w:hAnsi="Times New Roman" w:cs="Times New Roman"/>
          <w:sz w:val="24"/>
          <w:szCs w:val="24"/>
        </w:rPr>
        <w:t>triggered.</w:t>
      </w:r>
      <w:r w:rsidR="009E61E2">
        <w:rPr>
          <w:rFonts w:ascii="Times New Roman" w:hAnsi="Times New Roman" w:cs="Times New Roman"/>
          <w:sz w:val="24"/>
          <w:szCs w:val="24"/>
        </w:rPr>
        <w:t xml:space="preserve">  </w:t>
      </w:r>
      <w:r w:rsidR="00DF6BAE">
        <w:rPr>
          <w:rFonts w:ascii="Times New Roman" w:hAnsi="Times New Roman" w:cs="Times New Roman"/>
          <w:sz w:val="24"/>
          <w:szCs w:val="24"/>
        </w:rPr>
        <w:t>Where research is concern</w:t>
      </w:r>
      <w:r w:rsidR="007B7EAF">
        <w:rPr>
          <w:rFonts w:ascii="Times New Roman" w:hAnsi="Times New Roman" w:cs="Times New Roman"/>
          <w:sz w:val="24"/>
          <w:szCs w:val="24"/>
        </w:rPr>
        <w:t xml:space="preserve">ed, specific difficulties arise </w:t>
      </w:r>
      <w:r w:rsidR="00E16575">
        <w:rPr>
          <w:rFonts w:ascii="Times New Roman" w:hAnsi="Times New Roman" w:cs="Times New Roman"/>
          <w:sz w:val="24"/>
          <w:szCs w:val="24"/>
        </w:rPr>
        <w:t xml:space="preserve">not only in relation </w:t>
      </w:r>
      <w:r w:rsidR="00AD5A42">
        <w:rPr>
          <w:rFonts w:ascii="Times New Roman" w:hAnsi="Times New Roman" w:cs="Times New Roman"/>
          <w:sz w:val="24"/>
          <w:szCs w:val="24"/>
        </w:rPr>
        <w:t xml:space="preserve">to </w:t>
      </w:r>
      <w:r w:rsidR="005C1317">
        <w:rPr>
          <w:rFonts w:ascii="Times New Roman" w:hAnsi="Times New Roman" w:cs="Times New Roman"/>
          <w:sz w:val="24"/>
          <w:szCs w:val="24"/>
        </w:rPr>
        <w:t xml:space="preserve">who is responsible for performing capacity assessments, but also in respect of the nature of the test </w:t>
      </w:r>
      <w:r w:rsidR="009E61E2">
        <w:rPr>
          <w:rFonts w:ascii="Times New Roman" w:hAnsi="Times New Roman" w:cs="Times New Roman"/>
          <w:sz w:val="24"/>
          <w:szCs w:val="24"/>
        </w:rPr>
        <w:t xml:space="preserve">itself.  </w:t>
      </w:r>
    </w:p>
    <w:p w14:paraId="5FC193AD" w14:textId="69D4A8B3" w:rsidR="003119DD" w:rsidRDefault="009E61E2" w:rsidP="002B74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16575">
        <w:rPr>
          <w:rFonts w:ascii="Times New Roman" w:hAnsi="Times New Roman" w:cs="Times New Roman"/>
          <w:sz w:val="24"/>
          <w:szCs w:val="24"/>
        </w:rPr>
        <w:t>T</w:t>
      </w:r>
      <w:r w:rsidR="00C04FF4">
        <w:rPr>
          <w:rFonts w:ascii="Times New Roman" w:hAnsi="Times New Roman" w:cs="Times New Roman"/>
          <w:sz w:val="24"/>
          <w:szCs w:val="24"/>
        </w:rPr>
        <w:t xml:space="preserve">he test for capacity is notoriously difficult </w:t>
      </w:r>
      <w:r w:rsidR="002B74FD">
        <w:rPr>
          <w:rFonts w:ascii="Times New Roman" w:hAnsi="Times New Roman" w:cs="Times New Roman"/>
          <w:sz w:val="24"/>
          <w:szCs w:val="24"/>
        </w:rPr>
        <w:t>to apply in</w:t>
      </w:r>
      <w:r w:rsidR="00DC5DF0">
        <w:rPr>
          <w:rFonts w:ascii="Times New Roman" w:hAnsi="Times New Roman" w:cs="Times New Roman"/>
          <w:sz w:val="24"/>
          <w:szCs w:val="24"/>
        </w:rPr>
        <w:t xml:space="preserve"> practice, which often leads to </w:t>
      </w:r>
      <w:r w:rsidR="002B74FD">
        <w:rPr>
          <w:rFonts w:ascii="Times New Roman" w:hAnsi="Times New Roman" w:cs="Times New Roman"/>
          <w:sz w:val="24"/>
          <w:szCs w:val="24"/>
        </w:rPr>
        <w:t>inconsi</w:t>
      </w:r>
      <w:r w:rsidR="006F7439">
        <w:rPr>
          <w:rFonts w:ascii="Times New Roman" w:hAnsi="Times New Roman" w:cs="Times New Roman"/>
          <w:sz w:val="24"/>
          <w:szCs w:val="24"/>
        </w:rPr>
        <w:t>s</w:t>
      </w:r>
      <w:r w:rsidR="00DC5DF0">
        <w:rPr>
          <w:rFonts w:ascii="Times New Roman" w:hAnsi="Times New Roman" w:cs="Times New Roman"/>
          <w:sz w:val="24"/>
          <w:szCs w:val="24"/>
        </w:rPr>
        <w:t xml:space="preserve">tencies </w:t>
      </w:r>
      <w:r>
        <w:rPr>
          <w:rFonts w:ascii="Times New Roman" w:hAnsi="Times New Roman" w:cs="Times New Roman"/>
          <w:sz w:val="24"/>
          <w:szCs w:val="24"/>
        </w:rPr>
        <w:t>in its performance</w:t>
      </w:r>
      <w:r w:rsidR="00587696">
        <w:rPr>
          <w:rFonts w:ascii="Times New Roman" w:hAnsi="Times New Roman" w:cs="Times New Roman"/>
          <w:sz w:val="24"/>
          <w:szCs w:val="24"/>
        </w:rPr>
        <w:t>.</w:t>
      </w:r>
      <w:r w:rsidR="00E145BC">
        <w:rPr>
          <w:rStyle w:val="FootnoteReference"/>
          <w:rFonts w:ascii="Times New Roman" w:hAnsi="Times New Roman" w:cs="Times New Roman"/>
          <w:sz w:val="24"/>
          <w:szCs w:val="24"/>
        </w:rPr>
        <w:footnoteReference w:id="99"/>
      </w:r>
      <w:r w:rsidR="00587696">
        <w:rPr>
          <w:rFonts w:ascii="Times New Roman" w:hAnsi="Times New Roman" w:cs="Times New Roman"/>
          <w:sz w:val="24"/>
          <w:szCs w:val="24"/>
        </w:rPr>
        <w:t xml:space="preserve">  </w:t>
      </w:r>
      <w:r w:rsidR="00B30EBF">
        <w:rPr>
          <w:rFonts w:ascii="Times New Roman" w:hAnsi="Times New Roman" w:cs="Times New Roman"/>
          <w:sz w:val="24"/>
          <w:szCs w:val="24"/>
        </w:rPr>
        <w:t xml:space="preserve">Where </w:t>
      </w:r>
      <w:r w:rsidR="00DC5DF0">
        <w:rPr>
          <w:rFonts w:ascii="Times New Roman" w:hAnsi="Times New Roman" w:cs="Times New Roman"/>
          <w:sz w:val="24"/>
          <w:szCs w:val="24"/>
        </w:rPr>
        <w:t xml:space="preserve">a </w:t>
      </w:r>
      <w:r w:rsidR="00B30EBF">
        <w:rPr>
          <w:rFonts w:ascii="Times New Roman" w:hAnsi="Times New Roman" w:cs="Times New Roman"/>
          <w:sz w:val="24"/>
          <w:szCs w:val="24"/>
        </w:rPr>
        <w:t xml:space="preserve">decision </w:t>
      </w:r>
      <w:r w:rsidR="003119DD">
        <w:rPr>
          <w:rFonts w:ascii="Times New Roman" w:hAnsi="Times New Roman" w:cs="Times New Roman"/>
          <w:sz w:val="24"/>
          <w:szCs w:val="24"/>
        </w:rPr>
        <w:t xml:space="preserve">relates to treatment, </w:t>
      </w:r>
      <w:r w:rsidR="00DC5DF0">
        <w:rPr>
          <w:rFonts w:ascii="Times New Roman" w:hAnsi="Times New Roman" w:cs="Times New Roman"/>
          <w:sz w:val="24"/>
          <w:szCs w:val="24"/>
        </w:rPr>
        <w:t xml:space="preserve">a perceived advantage is that </w:t>
      </w:r>
      <w:r w:rsidR="003119DD">
        <w:rPr>
          <w:rFonts w:ascii="Times New Roman" w:hAnsi="Times New Roman" w:cs="Times New Roman"/>
          <w:sz w:val="24"/>
          <w:szCs w:val="24"/>
        </w:rPr>
        <w:t xml:space="preserve">medical professionals will usually </w:t>
      </w:r>
      <w:r w:rsidR="00B30EBF">
        <w:rPr>
          <w:rFonts w:ascii="Times New Roman" w:hAnsi="Times New Roman" w:cs="Times New Roman"/>
          <w:sz w:val="24"/>
          <w:szCs w:val="24"/>
        </w:rPr>
        <w:t xml:space="preserve">be involved in at least </w:t>
      </w:r>
      <w:r w:rsidR="001C67E5">
        <w:rPr>
          <w:rFonts w:ascii="Times New Roman" w:hAnsi="Times New Roman" w:cs="Times New Roman"/>
          <w:sz w:val="24"/>
          <w:szCs w:val="24"/>
        </w:rPr>
        <w:t>some stage</w:t>
      </w:r>
      <w:r w:rsidR="00FE1D17">
        <w:rPr>
          <w:rFonts w:ascii="Times New Roman" w:hAnsi="Times New Roman" w:cs="Times New Roman"/>
          <w:sz w:val="24"/>
          <w:szCs w:val="24"/>
        </w:rPr>
        <w:t xml:space="preserve"> of any capacity </w:t>
      </w:r>
      <w:r w:rsidR="00B30EBF">
        <w:rPr>
          <w:rFonts w:ascii="Times New Roman" w:hAnsi="Times New Roman" w:cs="Times New Roman"/>
          <w:sz w:val="24"/>
          <w:szCs w:val="24"/>
        </w:rPr>
        <w:t>assessment</w:t>
      </w:r>
      <w:r w:rsidR="00DC5DF0">
        <w:rPr>
          <w:rFonts w:ascii="Times New Roman" w:hAnsi="Times New Roman" w:cs="Times New Roman"/>
          <w:sz w:val="24"/>
          <w:szCs w:val="24"/>
        </w:rPr>
        <w:t>, yet i</w:t>
      </w:r>
      <w:r w:rsidR="001C67E5">
        <w:rPr>
          <w:rFonts w:ascii="Times New Roman" w:hAnsi="Times New Roman" w:cs="Times New Roman"/>
          <w:sz w:val="24"/>
          <w:szCs w:val="24"/>
        </w:rPr>
        <w:t>t is a common misconcepti</w:t>
      </w:r>
      <w:r w:rsidR="00DC5DF0">
        <w:rPr>
          <w:rFonts w:ascii="Times New Roman" w:hAnsi="Times New Roman" w:cs="Times New Roman"/>
          <w:sz w:val="24"/>
          <w:szCs w:val="24"/>
        </w:rPr>
        <w:t xml:space="preserve">on that they are all </w:t>
      </w:r>
      <w:r w:rsidR="001C67E5">
        <w:rPr>
          <w:rFonts w:ascii="Times New Roman" w:hAnsi="Times New Roman" w:cs="Times New Roman"/>
          <w:sz w:val="24"/>
          <w:szCs w:val="24"/>
        </w:rPr>
        <w:t>trained in assessing</w:t>
      </w:r>
      <w:r w:rsidR="00DC5DF0">
        <w:rPr>
          <w:rFonts w:ascii="Times New Roman" w:hAnsi="Times New Roman" w:cs="Times New Roman"/>
          <w:sz w:val="24"/>
          <w:szCs w:val="24"/>
        </w:rPr>
        <w:t xml:space="preserve"> capacity, when often </w:t>
      </w:r>
      <w:r w:rsidR="00C04FF4">
        <w:rPr>
          <w:rFonts w:ascii="Times New Roman" w:hAnsi="Times New Roman" w:cs="Times New Roman"/>
          <w:sz w:val="24"/>
          <w:szCs w:val="24"/>
        </w:rPr>
        <w:t>they are not</w:t>
      </w:r>
      <w:r w:rsidR="00DC5DF0">
        <w:rPr>
          <w:rFonts w:ascii="Times New Roman" w:hAnsi="Times New Roman" w:cs="Times New Roman"/>
          <w:sz w:val="24"/>
          <w:szCs w:val="24"/>
        </w:rPr>
        <w:t>.</w:t>
      </w:r>
      <w:r w:rsidR="00E145BC">
        <w:rPr>
          <w:rStyle w:val="FootnoteReference"/>
          <w:rFonts w:ascii="Times New Roman" w:hAnsi="Times New Roman" w:cs="Times New Roman"/>
          <w:sz w:val="24"/>
          <w:szCs w:val="24"/>
        </w:rPr>
        <w:footnoteReference w:id="100"/>
      </w:r>
      <w:r w:rsidR="00384FE2">
        <w:rPr>
          <w:rFonts w:ascii="Times New Roman" w:hAnsi="Times New Roman" w:cs="Times New Roman"/>
          <w:sz w:val="24"/>
          <w:szCs w:val="24"/>
        </w:rPr>
        <w:t xml:space="preserve"> R</w:t>
      </w:r>
      <w:r w:rsidR="00DC5DF0">
        <w:rPr>
          <w:rFonts w:ascii="Times New Roman" w:hAnsi="Times New Roman" w:cs="Times New Roman"/>
          <w:sz w:val="24"/>
          <w:szCs w:val="24"/>
        </w:rPr>
        <w:t xml:space="preserve">esearch has established that in some instances they do </w:t>
      </w:r>
      <w:r w:rsidR="001C67E5">
        <w:rPr>
          <w:rFonts w:ascii="Times New Roman" w:hAnsi="Times New Roman" w:cs="Times New Roman"/>
          <w:sz w:val="24"/>
          <w:szCs w:val="24"/>
        </w:rPr>
        <w:t>not fully understand what th</w:t>
      </w:r>
      <w:r w:rsidR="006D11CA">
        <w:rPr>
          <w:rFonts w:ascii="Times New Roman" w:hAnsi="Times New Roman" w:cs="Times New Roman"/>
          <w:sz w:val="24"/>
          <w:szCs w:val="24"/>
        </w:rPr>
        <w:t>e legal test requires of them.</w:t>
      </w:r>
      <w:r w:rsidR="00E145BC">
        <w:rPr>
          <w:rStyle w:val="FootnoteReference"/>
          <w:rFonts w:ascii="Times New Roman" w:hAnsi="Times New Roman" w:cs="Times New Roman"/>
          <w:sz w:val="24"/>
          <w:szCs w:val="24"/>
        </w:rPr>
        <w:footnoteReference w:id="101"/>
      </w:r>
      <w:r w:rsidR="006D11CA">
        <w:rPr>
          <w:rFonts w:ascii="Times New Roman" w:hAnsi="Times New Roman" w:cs="Times New Roman"/>
          <w:sz w:val="24"/>
          <w:szCs w:val="24"/>
        </w:rPr>
        <w:t xml:space="preserve"> </w:t>
      </w:r>
      <w:r w:rsidR="00FE1D17">
        <w:rPr>
          <w:rFonts w:ascii="Times New Roman" w:hAnsi="Times New Roman" w:cs="Times New Roman"/>
          <w:sz w:val="24"/>
          <w:szCs w:val="24"/>
        </w:rPr>
        <w:t xml:space="preserve">This is mitigated to a degree by the fact that disputes about capacity in </w:t>
      </w:r>
      <w:r w:rsidR="003119DD">
        <w:rPr>
          <w:rFonts w:ascii="Times New Roman" w:hAnsi="Times New Roman" w:cs="Times New Roman"/>
          <w:sz w:val="24"/>
          <w:szCs w:val="24"/>
        </w:rPr>
        <w:t xml:space="preserve">certain </w:t>
      </w:r>
      <w:r w:rsidR="00FE1D17">
        <w:rPr>
          <w:rFonts w:ascii="Times New Roman" w:hAnsi="Times New Roman" w:cs="Times New Roman"/>
          <w:sz w:val="24"/>
          <w:szCs w:val="24"/>
        </w:rPr>
        <w:t>treatment decisions may</w:t>
      </w:r>
      <w:r w:rsidR="0033390A">
        <w:rPr>
          <w:rFonts w:ascii="Times New Roman" w:hAnsi="Times New Roman" w:cs="Times New Roman"/>
          <w:sz w:val="24"/>
          <w:szCs w:val="24"/>
        </w:rPr>
        <w:t xml:space="preserve"> be more likely to be </w:t>
      </w:r>
      <w:r w:rsidR="00FE1D17">
        <w:rPr>
          <w:rFonts w:ascii="Times New Roman" w:hAnsi="Times New Roman" w:cs="Times New Roman"/>
          <w:sz w:val="24"/>
          <w:szCs w:val="24"/>
        </w:rPr>
        <w:t>referred to court</w:t>
      </w:r>
      <w:r w:rsidR="0033390A">
        <w:rPr>
          <w:rFonts w:ascii="Times New Roman" w:hAnsi="Times New Roman" w:cs="Times New Roman"/>
          <w:sz w:val="24"/>
          <w:szCs w:val="24"/>
        </w:rPr>
        <w:t xml:space="preserve"> for scrutiny</w:t>
      </w:r>
      <w:r w:rsidR="006D11CA">
        <w:rPr>
          <w:rFonts w:ascii="Times New Roman" w:hAnsi="Times New Roman" w:cs="Times New Roman"/>
          <w:sz w:val="24"/>
          <w:szCs w:val="24"/>
        </w:rPr>
        <w:t xml:space="preserve">.  </w:t>
      </w:r>
      <w:r w:rsidR="00FE1D17">
        <w:rPr>
          <w:rFonts w:ascii="Times New Roman" w:hAnsi="Times New Roman" w:cs="Times New Roman"/>
          <w:sz w:val="24"/>
          <w:szCs w:val="24"/>
        </w:rPr>
        <w:t>Where this</w:t>
      </w:r>
      <w:r w:rsidR="006D11CA">
        <w:rPr>
          <w:rFonts w:ascii="Times New Roman" w:hAnsi="Times New Roman" w:cs="Times New Roman"/>
          <w:sz w:val="24"/>
          <w:szCs w:val="24"/>
        </w:rPr>
        <w:t xml:space="preserve"> happens, e</w:t>
      </w:r>
      <w:r w:rsidR="0030490B">
        <w:rPr>
          <w:rFonts w:ascii="Times New Roman" w:hAnsi="Times New Roman" w:cs="Times New Roman"/>
          <w:sz w:val="24"/>
          <w:szCs w:val="24"/>
        </w:rPr>
        <w:t xml:space="preserve">xpert testimony </w:t>
      </w:r>
      <w:r w:rsidR="00C04FF4">
        <w:rPr>
          <w:rFonts w:ascii="Times New Roman" w:hAnsi="Times New Roman" w:cs="Times New Roman"/>
          <w:sz w:val="24"/>
          <w:szCs w:val="24"/>
        </w:rPr>
        <w:t xml:space="preserve">will </w:t>
      </w:r>
      <w:r w:rsidR="006D11CA">
        <w:rPr>
          <w:rFonts w:ascii="Times New Roman" w:hAnsi="Times New Roman" w:cs="Times New Roman"/>
          <w:sz w:val="24"/>
          <w:szCs w:val="24"/>
        </w:rPr>
        <w:t xml:space="preserve">be </w:t>
      </w:r>
      <w:r w:rsidR="0030490B">
        <w:rPr>
          <w:rFonts w:ascii="Times New Roman" w:hAnsi="Times New Roman" w:cs="Times New Roman"/>
          <w:sz w:val="24"/>
          <w:szCs w:val="24"/>
        </w:rPr>
        <w:t>presented before a judge of the Court of Protection by professionals who have extensive experience in assessing</w:t>
      </w:r>
      <w:r w:rsidR="00C04FF4">
        <w:rPr>
          <w:rFonts w:ascii="Times New Roman" w:hAnsi="Times New Roman" w:cs="Times New Roman"/>
          <w:sz w:val="24"/>
          <w:szCs w:val="24"/>
        </w:rPr>
        <w:t xml:space="preserve"> </w:t>
      </w:r>
      <w:r>
        <w:rPr>
          <w:rFonts w:ascii="Times New Roman" w:hAnsi="Times New Roman" w:cs="Times New Roman"/>
          <w:sz w:val="24"/>
          <w:szCs w:val="24"/>
        </w:rPr>
        <w:t xml:space="preserve">capacity by reference to the appropriate </w:t>
      </w:r>
      <w:r w:rsidR="0033390A">
        <w:rPr>
          <w:rFonts w:ascii="Times New Roman" w:hAnsi="Times New Roman" w:cs="Times New Roman"/>
          <w:sz w:val="24"/>
          <w:szCs w:val="24"/>
        </w:rPr>
        <w:t xml:space="preserve">legal test. </w:t>
      </w:r>
      <w:r w:rsidR="00264204">
        <w:rPr>
          <w:rFonts w:ascii="Times New Roman" w:hAnsi="Times New Roman" w:cs="Times New Roman"/>
          <w:sz w:val="24"/>
          <w:szCs w:val="24"/>
        </w:rPr>
        <w:t>It is not a guaranteed safeguard though</w:t>
      </w:r>
      <w:r w:rsidR="0030490B">
        <w:rPr>
          <w:rFonts w:ascii="Times New Roman" w:hAnsi="Times New Roman" w:cs="Times New Roman"/>
          <w:sz w:val="24"/>
          <w:szCs w:val="24"/>
        </w:rPr>
        <w:t>, because recent evidence has suggested that the same select group of experts are ofte</w:t>
      </w:r>
      <w:r w:rsidR="00B30EBF">
        <w:rPr>
          <w:rFonts w:ascii="Times New Roman" w:hAnsi="Times New Roman" w:cs="Times New Roman"/>
          <w:sz w:val="24"/>
          <w:szCs w:val="24"/>
        </w:rPr>
        <w:t>n called upon to give evidence</w:t>
      </w:r>
      <w:r w:rsidR="00C04FF4">
        <w:rPr>
          <w:rFonts w:ascii="Times New Roman" w:hAnsi="Times New Roman" w:cs="Times New Roman"/>
          <w:sz w:val="24"/>
          <w:szCs w:val="24"/>
        </w:rPr>
        <w:t xml:space="preserve"> repeatedly</w:t>
      </w:r>
      <w:r w:rsidR="00B30EBF">
        <w:rPr>
          <w:rFonts w:ascii="Times New Roman" w:hAnsi="Times New Roman" w:cs="Times New Roman"/>
          <w:sz w:val="24"/>
          <w:szCs w:val="24"/>
        </w:rPr>
        <w:t xml:space="preserve">, thereby creating the danger of </w:t>
      </w:r>
      <w:r w:rsidR="0030490B">
        <w:rPr>
          <w:rFonts w:ascii="Times New Roman" w:hAnsi="Times New Roman" w:cs="Times New Roman"/>
          <w:sz w:val="24"/>
          <w:szCs w:val="24"/>
        </w:rPr>
        <w:t>assessment</w:t>
      </w:r>
      <w:r w:rsidR="00B30EBF">
        <w:rPr>
          <w:rFonts w:ascii="Times New Roman" w:hAnsi="Times New Roman" w:cs="Times New Roman"/>
          <w:sz w:val="24"/>
          <w:szCs w:val="24"/>
        </w:rPr>
        <w:t xml:space="preserve">s </w:t>
      </w:r>
      <w:r w:rsidR="0030490B">
        <w:rPr>
          <w:rFonts w:ascii="Times New Roman" w:hAnsi="Times New Roman" w:cs="Times New Roman"/>
          <w:sz w:val="24"/>
          <w:szCs w:val="24"/>
        </w:rPr>
        <w:t>b</w:t>
      </w:r>
      <w:r w:rsidR="00B30EBF">
        <w:rPr>
          <w:rFonts w:ascii="Times New Roman" w:hAnsi="Times New Roman" w:cs="Times New Roman"/>
          <w:sz w:val="24"/>
          <w:szCs w:val="24"/>
        </w:rPr>
        <w:t xml:space="preserve">ecoming too </w:t>
      </w:r>
      <w:r w:rsidR="0030490B">
        <w:rPr>
          <w:rFonts w:ascii="Times New Roman" w:hAnsi="Times New Roman" w:cs="Times New Roman"/>
          <w:sz w:val="24"/>
          <w:szCs w:val="24"/>
        </w:rPr>
        <w:t>formula</w:t>
      </w:r>
      <w:r w:rsidR="003119DD">
        <w:rPr>
          <w:rFonts w:ascii="Times New Roman" w:hAnsi="Times New Roman" w:cs="Times New Roman"/>
          <w:sz w:val="24"/>
          <w:szCs w:val="24"/>
        </w:rPr>
        <w:t>ic an exercise.</w:t>
      </w:r>
      <w:r w:rsidR="00E145BC">
        <w:rPr>
          <w:rStyle w:val="FootnoteReference"/>
          <w:rFonts w:ascii="Times New Roman" w:hAnsi="Times New Roman" w:cs="Times New Roman"/>
          <w:sz w:val="24"/>
          <w:szCs w:val="24"/>
        </w:rPr>
        <w:footnoteReference w:id="102"/>
      </w:r>
      <w:r w:rsidR="003119DD">
        <w:rPr>
          <w:rFonts w:ascii="Times New Roman" w:hAnsi="Times New Roman" w:cs="Times New Roman"/>
          <w:sz w:val="24"/>
          <w:szCs w:val="24"/>
        </w:rPr>
        <w:t xml:space="preserve">  </w:t>
      </w:r>
      <w:r>
        <w:rPr>
          <w:rFonts w:ascii="Times New Roman" w:hAnsi="Times New Roman" w:cs="Times New Roman"/>
          <w:sz w:val="24"/>
          <w:szCs w:val="24"/>
        </w:rPr>
        <w:t xml:space="preserve">Nonetheless, an </w:t>
      </w:r>
      <w:r w:rsidR="00FE1D17">
        <w:rPr>
          <w:rFonts w:ascii="Times New Roman" w:hAnsi="Times New Roman" w:cs="Times New Roman"/>
          <w:sz w:val="24"/>
          <w:szCs w:val="24"/>
        </w:rPr>
        <w:t xml:space="preserve">added layer </w:t>
      </w:r>
      <w:r w:rsidR="0030490B">
        <w:rPr>
          <w:rFonts w:ascii="Times New Roman" w:hAnsi="Times New Roman" w:cs="Times New Roman"/>
          <w:sz w:val="24"/>
          <w:szCs w:val="24"/>
        </w:rPr>
        <w:t>of accountability</w:t>
      </w:r>
      <w:r>
        <w:rPr>
          <w:rFonts w:ascii="Times New Roman" w:hAnsi="Times New Roman" w:cs="Times New Roman"/>
          <w:sz w:val="24"/>
          <w:szCs w:val="24"/>
        </w:rPr>
        <w:t xml:space="preserve"> still exists that </w:t>
      </w:r>
      <w:r w:rsidR="00D77E47">
        <w:rPr>
          <w:rFonts w:ascii="Times New Roman" w:hAnsi="Times New Roman" w:cs="Times New Roman"/>
          <w:sz w:val="24"/>
          <w:szCs w:val="24"/>
        </w:rPr>
        <w:t xml:space="preserve">has the effect of ensuring that any query surrounding </w:t>
      </w:r>
      <w:r w:rsidR="00B30EBF">
        <w:rPr>
          <w:rFonts w:ascii="Times New Roman" w:hAnsi="Times New Roman" w:cs="Times New Roman"/>
          <w:sz w:val="24"/>
          <w:szCs w:val="24"/>
        </w:rPr>
        <w:t>capacity</w:t>
      </w:r>
      <w:r w:rsidR="00D77E47" w:rsidRPr="00D77E47">
        <w:rPr>
          <w:rFonts w:ascii="Times New Roman" w:hAnsi="Times New Roman" w:cs="Times New Roman"/>
          <w:sz w:val="24"/>
          <w:szCs w:val="24"/>
        </w:rPr>
        <w:t xml:space="preserve"> </w:t>
      </w:r>
      <w:r w:rsidR="00D77E47">
        <w:rPr>
          <w:rFonts w:ascii="Times New Roman" w:hAnsi="Times New Roman" w:cs="Times New Roman"/>
          <w:sz w:val="24"/>
          <w:szCs w:val="24"/>
        </w:rPr>
        <w:t xml:space="preserve">in delicately poised treatment cases is </w:t>
      </w:r>
      <w:r w:rsidR="0030490B">
        <w:rPr>
          <w:rFonts w:ascii="Times New Roman" w:hAnsi="Times New Roman" w:cs="Times New Roman"/>
          <w:sz w:val="24"/>
          <w:szCs w:val="24"/>
        </w:rPr>
        <w:t xml:space="preserve">subject to </w:t>
      </w:r>
      <w:r w:rsidR="00B30EBF">
        <w:rPr>
          <w:rFonts w:ascii="Times New Roman" w:hAnsi="Times New Roman" w:cs="Times New Roman"/>
          <w:sz w:val="24"/>
          <w:szCs w:val="24"/>
        </w:rPr>
        <w:t xml:space="preserve">forensic judicial scrutiny and </w:t>
      </w:r>
      <w:r>
        <w:rPr>
          <w:rFonts w:ascii="Times New Roman" w:hAnsi="Times New Roman" w:cs="Times New Roman"/>
          <w:sz w:val="24"/>
          <w:szCs w:val="24"/>
        </w:rPr>
        <w:t xml:space="preserve">open to </w:t>
      </w:r>
      <w:r w:rsidR="00B30EBF">
        <w:rPr>
          <w:rFonts w:ascii="Times New Roman" w:hAnsi="Times New Roman" w:cs="Times New Roman"/>
          <w:sz w:val="24"/>
          <w:szCs w:val="24"/>
        </w:rPr>
        <w:t>challenge.</w:t>
      </w:r>
      <w:r w:rsidR="003119DD">
        <w:rPr>
          <w:rFonts w:ascii="Times New Roman" w:hAnsi="Times New Roman" w:cs="Times New Roman"/>
          <w:sz w:val="24"/>
          <w:szCs w:val="24"/>
        </w:rPr>
        <w:t xml:space="preserve">  </w:t>
      </w:r>
      <w:r w:rsidR="006D11CA">
        <w:rPr>
          <w:rFonts w:ascii="Times New Roman" w:hAnsi="Times New Roman" w:cs="Times New Roman"/>
          <w:sz w:val="24"/>
          <w:szCs w:val="24"/>
        </w:rPr>
        <w:t xml:space="preserve">No such safety measures are ever likely to </w:t>
      </w:r>
      <w:r w:rsidR="009B1038">
        <w:rPr>
          <w:rFonts w:ascii="Times New Roman" w:hAnsi="Times New Roman" w:cs="Times New Roman"/>
          <w:sz w:val="24"/>
          <w:szCs w:val="24"/>
        </w:rPr>
        <w:t>be activated in research.</w:t>
      </w:r>
      <w:r w:rsidR="00264204">
        <w:rPr>
          <w:rFonts w:ascii="Times New Roman" w:hAnsi="Times New Roman" w:cs="Times New Roman"/>
          <w:sz w:val="24"/>
          <w:szCs w:val="24"/>
        </w:rPr>
        <w:t xml:space="preserve"> While theoretically </w:t>
      </w:r>
      <w:r w:rsidR="00264204" w:rsidRPr="00264204">
        <w:rPr>
          <w:rFonts w:ascii="Times New Roman" w:hAnsi="Times New Roman" w:cs="Times New Roman"/>
          <w:sz w:val="24"/>
          <w:szCs w:val="24"/>
        </w:rPr>
        <w:t xml:space="preserve">it would be possible to ask the Court of Protection to make a declaration concerning the capacity of a </w:t>
      </w:r>
      <w:r w:rsidR="00264204">
        <w:rPr>
          <w:rFonts w:ascii="Times New Roman" w:hAnsi="Times New Roman" w:cs="Times New Roman"/>
          <w:sz w:val="24"/>
          <w:szCs w:val="24"/>
        </w:rPr>
        <w:t xml:space="preserve">potential research participant, it is highly </w:t>
      </w:r>
      <w:r w:rsidR="00264204">
        <w:rPr>
          <w:rFonts w:ascii="Times New Roman" w:hAnsi="Times New Roman" w:cs="Times New Roman"/>
          <w:sz w:val="24"/>
          <w:szCs w:val="24"/>
        </w:rPr>
        <w:lastRenderedPageBreak/>
        <w:t xml:space="preserve">unlikely to </w:t>
      </w:r>
      <w:r w:rsidR="00264204" w:rsidRPr="00264204">
        <w:rPr>
          <w:rFonts w:ascii="Times New Roman" w:hAnsi="Times New Roman" w:cs="Times New Roman"/>
          <w:sz w:val="24"/>
          <w:szCs w:val="24"/>
        </w:rPr>
        <w:t>happen in practice.</w:t>
      </w:r>
      <w:r w:rsidR="00F20779">
        <w:rPr>
          <w:rStyle w:val="FootnoteReference"/>
          <w:rFonts w:ascii="Times New Roman" w:hAnsi="Times New Roman" w:cs="Times New Roman"/>
          <w:sz w:val="24"/>
          <w:szCs w:val="24"/>
        </w:rPr>
        <w:footnoteReference w:id="103"/>
      </w:r>
      <w:r w:rsidR="00264204" w:rsidRPr="00264204">
        <w:rPr>
          <w:rFonts w:ascii="Times New Roman" w:hAnsi="Times New Roman" w:cs="Times New Roman"/>
          <w:sz w:val="24"/>
          <w:szCs w:val="24"/>
        </w:rPr>
        <w:t xml:space="preserve">   Individuals involved in the research approval proc</w:t>
      </w:r>
      <w:r w:rsidR="00264204">
        <w:rPr>
          <w:rFonts w:ascii="Times New Roman" w:hAnsi="Times New Roman" w:cs="Times New Roman"/>
          <w:sz w:val="24"/>
          <w:szCs w:val="24"/>
        </w:rPr>
        <w:t xml:space="preserve">ess will have little incentive </w:t>
      </w:r>
      <w:r w:rsidR="00264204" w:rsidRPr="00264204">
        <w:rPr>
          <w:rFonts w:ascii="Times New Roman" w:hAnsi="Times New Roman" w:cs="Times New Roman"/>
          <w:sz w:val="24"/>
          <w:szCs w:val="24"/>
        </w:rPr>
        <w:t>to seek such a declaration and, given the extra cost and additional time, the chances are that it will never be pursued.  It follows that an important layer of legal scrutiny that exists in regard to certain treatment cases, is effectively lost in the realms of research</w:t>
      </w:r>
      <w:r w:rsidR="00264204">
        <w:rPr>
          <w:rFonts w:ascii="Times New Roman" w:hAnsi="Times New Roman" w:cs="Times New Roman"/>
          <w:sz w:val="24"/>
          <w:szCs w:val="24"/>
        </w:rPr>
        <w:t xml:space="preserve">  </w:t>
      </w:r>
      <w:r w:rsidR="009B1038">
        <w:rPr>
          <w:rFonts w:ascii="Times New Roman" w:hAnsi="Times New Roman" w:cs="Times New Roman"/>
          <w:sz w:val="24"/>
          <w:szCs w:val="24"/>
        </w:rPr>
        <w:t xml:space="preserve"> The only real safeguard that exists </w:t>
      </w:r>
      <w:r w:rsidR="00BD32B1">
        <w:rPr>
          <w:rFonts w:ascii="Times New Roman" w:hAnsi="Times New Roman" w:cs="Times New Roman"/>
          <w:sz w:val="24"/>
          <w:szCs w:val="24"/>
        </w:rPr>
        <w:t xml:space="preserve">in respect of </w:t>
      </w:r>
      <w:r w:rsidR="00384FE2">
        <w:rPr>
          <w:rFonts w:ascii="Times New Roman" w:hAnsi="Times New Roman" w:cs="Times New Roman"/>
          <w:sz w:val="24"/>
          <w:szCs w:val="24"/>
        </w:rPr>
        <w:t xml:space="preserve">the capacity question </w:t>
      </w:r>
      <w:r w:rsidR="00264204">
        <w:rPr>
          <w:rFonts w:ascii="Times New Roman" w:hAnsi="Times New Roman" w:cs="Times New Roman"/>
          <w:sz w:val="24"/>
          <w:szCs w:val="24"/>
        </w:rPr>
        <w:t xml:space="preserve">is, therefore, </w:t>
      </w:r>
      <w:r w:rsidR="00BD32B1">
        <w:rPr>
          <w:rFonts w:ascii="Times New Roman" w:hAnsi="Times New Roman" w:cs="Times New Roman"/>
          <w:sz w:val="24"/>
          <w:szCs w:val="24"/>
        </w:rPr>
        <w:t xml:space="preserve">grounded in the overall </w:t>
      </w:r>
      <w:r w:rsidR="009B1038">
        <w:rPr>
          <w:rFonts w:ascii="Times New Roman" w:hAnsi="Times New Roman" w:cs="Times New Roman"/>
          <w:sz w:val="24"/>
          <w:szCs w:val="24"/>
        </w:rPr>
        <w:t>scrutiny that a MCA REC</w:t>
      </w:r>
      <w:r w:rsidR="00BD32B1">
        <w:rPr>
          <w:rFonts w:ascii="Times New Roman" w:hAnsi="Times New Roman" w:cs="Times New Roman"/>
          <w:sz w:val="24"/>
          <w:szCs w:val="24"/>
        </w:rPr>
        <w:t xml:space="preserve"> maintains over a project</w:t>
      </w:r>
      <w:r w:rsidR="00C60189">
        <w:rPr>
          <w:rFonts w:ascii="Times New Roman" w:hAnsi="Times New Roman" w:cs="Times New Roman"/>
          <w:sz w:val="24"/>
          <w:szCs w:val="24"/>
        </w:rPr>
        <w:t xml:space="preserve">, but we argue later that this may be an inappropriate forum to </w:t>
      </w:r>
      <w:r w:rsidR="0033390A">
        <w:rPr>
          <w:rFonts w:ascii="Times New Roman" w:hAnsi="Times New Roman" w:cs="Times New Roman"/>
          <w:sz w:val="24"/>
          <w:szCs w:val="24"/>
        </w:rPr>
        <w:t xml:space="preserve">oversee </w:t>
      </w:r>
      <w:r w:rsidR="00C60189">
        <w:rPr>
          <w:rFonts w:ascii="Times New Roman" w:hAnsi="Times New Roman" w:cs="Times New Roman"/>
          <w:sz w:val="24"/>
          <w:szCs w:val="24"/>
        </w:rPr>
        <w:t>this issue.</w:t>
      </w:r>
    </w:p>
    <w:p w14:paraId="78BAA646" w14:textId="65CD548A" w:rsidR="00FB35F5" w:rsidRDefault="003119DD" w:rsidP="002B74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64204" w:rsidRPr="002B1DC9">
        <w:rPr>
          <w:rFonts w:ascii="Times New Roman" w:hAnsi="Times New Roman" w:cs="Times New Roman"/>
          <w:color w:val="FF0000"/>
          <w:sz w:val="24"/>
          <w:szCs w:val="24"/>
        </w:rPr>
        <w:t>Following on from this,</w:t>
      </w:r>
      <w:r w:rsidR="007255BD" w:rsidRPr="002B1DC9">
        <w:rPr>
          <w:rFonts w:ascii="Times New Roman" w:hAnsi="Times New Roman" w:cs="Times New Roman"/>
          <w:color w:val="FF0000"/>
          <w:sz w:val="24"/>
          <w:szCs w:val="24"/>
        </w:rPr>
        <w:t xml:space="preserve"> the problems associated with capacity assessments are likely to be amplified in research, particularly given that the scope of the MCA seems to have been </w:t>
      </w:r>
      <w:r w:rsidR="00FD3498">
        <w:rPr>
          <w:rFonts w:ascii="Times New Roman" w:hAnsi="Times New Roman" w:cs="Times New Roman"/>
          <w:color w:val="FF0000"/>
          <w:sz w:val="24"/>
          <w:szCs w:val="24"/>
        </w:rPr>
        <w:t xml:space="preserve">broadened </w:t>
      </w:r>
      <w:r w:rsidR="007255BD" w:rsidRPr="002B1DC9">
        <w:rPr>
          <w:rFonts w:ascii="Times New Roman" w:hAnsi="Times New Roman" w:cs="Times New Roman"/>
          <w:color w:val="FF0000"/>
          <w:sz w:val="24"/>
          <w:szCs w:val="24"/>
        </w:rPr>
        <w:t>to cover a variety of non-invasive methods.</w:t>
      </w:r>
      <w:r w:rsidR="009F2F75" w:rsidRPr="002B1DC9">
        <w:rPr>
          <w:rStyle w:val="FootnoteReference"/>
          <w:rFonts w:ascii="Times New Roman" w:hAnsi="Times New Roman" w:cs="Times New Roman"/>
          <w:color w:val="FF0000"/>
          <w:sz w:val="24"/>
          <w:szCs w:val="24"/>
        </w:rPr>
        <w:footnoteReference w:id="104"/>
      </w:r>
      <w:r w:rsidR="002B1DC9" w:rsidRPr="002B1DC9">
        <w:rPr>
          <w:rFonts w:ascii="Times New Roman" w:hAnsi="Times New Roman" w:cs="Times New Roman"/>
          <w:color w:val="FF0000"/>
          <w:sz w:val="24"/>
          <w:szCs w:val="24"/>
        </w:rPr>
        <w:t xml:space="preserve">  </w:t>
      </w:r>
      <w:r w:rsidR="007255BD" w:rsidRPr="002B1DC9">
        <w:rPr>
          <w:rFonts w:ascii="Times New Roman" w:hAnsi="Times New Roman" w:cs="Times New Roman"/>
          <w:color w:val="FF0000"/>
          <w:sz w:val="24"/>
          <w:szCs w:val="24"/>
        </w:rPr>
        <w:t>Certain types of researchers involved in certain types of projects</w:t>
      </w:r>
      <w:r w:rsidR="002B1DC9" w:rsidRPr="002B1DC9">
        <w:rPr>
          <w:rFonts w:ascii="Times New Roman" w:hAnsi="Times New Roman" w:cs="Times New Roman"/>
          <w:color w:val="FF0000"/>
          <w:sz w:val="24"/>
          <w:szCs w:val="24"/>
        </w:rPr>
        <w:t xml:space="preserve"> may have little if no experience in dealing with capacity assessments. The </w:t>
      </w:r>
      <w:r w:rsidR="00E145BC" w:rsidRPr="002B1DC9">
        <w:rPr>
          <w:rFonts w:ascii="Times New Roman" w:hAnsi="Times New Roman" w:cs="Times New Roman"/>
          <w:color w:val="FF0000"/>
          <w:sz w:val="24"/>
          <w:szCs w:val="24"/>
        </w:rPr>
        <w:t>less exposure</w:t>
      </w:r>
      <w:r w:rsidR="002B1DC9" w:rsidRPr="002B1DC9">
        <w:rPr>
          <w:rFonts w:ascii="Times New Roman" w:hAnsi="Times New Roman" w:cs="Times New Roman"/>
          <w:color w:val="FF0000"/>
          <w:sz w:val="24"/>
          <w:szCs w:val="24"/>
        </w:rPr>
        <w:t xml:space="preserve"> a researcher </w:t>
      </w:r>
      <w:r w:rsidR="00C957BB">
        <w:rPr>
          <w:rFonts w:ascii="Times New Roman" w:hAnsi="Times New Roman" w:cs="Times New Roman"/>
          <w:color w:val="FF0000"/>
          <w:sz w:val="24"/>
          <w:szCs w:val="24"/>
        </w:rPr>
        <w:t xml:space="preserve">has had to </w:t>
      </w:r>
      <w:r w:rsidR="00E145BC" w:rsidRPr="002B1DC9">
        <w:rPr>
          <w:rFonts w:ascii="Times New Roman" w:hAnsi="Times New Roman" w:cs="Times New Roman"/>
          <w:color w:val="FF0000"/>
          <w:sz w:val="24"/>
          <w:szCs w:val="24"/>
        </w:rPr>
        <w:t xml:space="preserve">dealing with </w:t>
      </w:r>
      <w:r w:rsidR="002B1DC9" w:rsidRPr="002B1DC9">
        <w:rPr>
          <w:rFonts w:ascii="Times New Roman" w:hAnsi="Times New Roman" w:cs="Times New Roman"/>
          <w:color w:val="FF0000"/>
          <w:sz w:val="24"/>
          <w:szCs w:val="24"/>
        </w:rPr>
        <w:t xml:space="preserve">borderline </w:t>
      </w:r>
      <w:r w:rsidR="00664FA7" w:rsidRPr="002B1DC9">
        <w:rPr>
          <w:rFonts w:ascii="Times New Roman" w:hAnsi="Times New Roman" w:cs="Times New Roman"/>
          <w:color w:val="FF0000"/>
          <w:sz w:val="24"/>
          <w:szCs w:val="24"/>
        </w:rPr>
        <w:t>incapacitated participants</w:t>
      </w:r>
      <w:r w:rsidR="00B54620" w:rsidRPr="002B1DC9">
        <w:rPr>
          <w:rFonts w:ascii="Times New Roman" w:hAnsi="Times New Roman" w:cs="Times New Roman"/>
          <w:color w:val="FF0000"/>
          <w:sz w:val="24"/>
          <w:szCs w:val="24"/>
        </w:rPr>
        <w:t xml:space="preserve"> who may exhibit difficulty with understanding, problems with speech and langu</w:t>
      </w:r>
      <w:r w:rsidR="002B1DC9" w:rsidRPr="002B1DC9">
        <w:rPr>
          <w:rFonts w:ascii="Times New Roman" w:hAnsi="Times New Roman" w:cs="Times New Roman"/>
          <w:color w:val="FF0000"/>
          <w:sz w:val="24"/>
          <w:szCs w:val="24"/>
        </w:rPr>
        <w:t>age, and poor memory and recall, the more difficult it may become for her to make an accurate determination as to whether recourse to the research provisions of the MCA is</w:t>
      </w:r>
      <w:r w:rsidR="00C957BB">
        <w:rPr>
          <w:rFonts w:ascii="Times New Roman" w:hAnsi="Times New Roman" w:cs="Times New Roman"/>
          <w:color w:val="FF0000"/>
          <w:sz w:val="24"/>
          <w:szCs w:val="24"/>
        </w:rPr>
        <w:t xml:space="preserve"> necessary</w:t>
      </w:r>
      <w:r w:rsidR="002B1DC9" w:rsidRPr="002B1DC9">
        <w:rPr>
          <w:rFonts w:ascii="Times New Roman" w:hAnsi="Times New Roman" w:cs="Times New Roman"/>
          <w:color w:val="FF0000"/>
          <w:sz w:val="24"/>
          <w:szCs w:val="24"/>
        </w:rPr>
        <w:t xml:space="preserve">.  </w:t>
      </w:r>
      <w:r w:rsidR="00B54620" w:rsidRPr="002B1DC9">
        <w:rPr>
          <w:rFonts w:ascii="Times New Roman" w:hAnsi="Times New Roman" w:cs="Times New Roman"/>
          <w:color w:val="FF0000"/>
          <w:sz w:val="24"/>
          <w:szCs w:val="24"/>
        </w:rPr>
        <w:t xml:space="preserve">Where a researcher perceives that she may be confronted with such individuals, she may be inclined to avoid </w:t>
      </w:r>
      <w:r w:rsidR="00664FA7" w:rsidRPr="002B1DC9">
        <w:rPr>
          <w:rFonts w:ascii="Times New Roman" w:hAnsi="Times New Roman" w:cs="Times New Roman"/>
          <w:color w:val="FF0000"/>
          <w:sz w:val="24"/>
          <w:szCs w:val="24"/>
        </w:rPr>
        <w:t>any challenging capacity-related questions by simply alter</w:t>
      </w:r>
      <w:r w:rsidR="008079E3" w:rsidRPr="002B1DC9">
        <w:rPr>
          <w:rFonts w:ascii="Times New Roman" w:hAnsi="Times New Roman" w:cs="Times New Roman"/>
          <w:color w:val="FF0000"/>
          <w:sz w:val="24"/>
          <w:szCs w:val="24"/>
        </w:rPr>
        <w:t xml:space="preserve">ing the parameters of </w:t>
      </w:r>
      <w:r w:rsidR="00B54620" w:rsidRPr="002B1DC9">
        <w:rPr>
          <w:rFonts w:ascii="Times New Roman" w:hAnsi="Times New Roman" w:cs="Times New Roman"/>
          <w:color w:val="FF0000"/>
          <w:sz w:val="24"/>
          <w:szCs w:val="24"/>
        </w:rPr>
        <w:t xml:space="preserve">her </w:t>
      </w:r>
      <w:r w:rsidR="008079E3" w:rsidRPr="002B1DC9">
        <w:rPr>
          <w:rFonts w:ascii="Times New Roman" w:hAnsi="Times New Roman" w:cs="Times New Roman"/>
          <w:color w:val="FF0000"/>
          <w:sz w:val="24"/>
          <w:szCs w:val="24"/>
        </w:rPr>
        <w:t>investigation</w:t>
      </w:r>
      <w:r w:rsidR="00664FA7" w:rsidRPr="002B1DC9">
        <w:rPr>
          <w:rFonts w:ascii="Times New Roman" w:hAnsi="Times New Roman" w:cs="Times New Roman"/>
          <w:color w:val="FF0000"/>
          <w:sz w:val="24"/>
          <w:szCs w:val="24"/>
        </w:rPr>
        <w:t>.</w:t>
      </w:r>
      <w:r w:rsidR="00FD3498">
        <w:rPr>
          <w:rFonts w:ascii="Times New Roman" w:hAnsi="Times New Roman" w:cs="Times New Roman"/>
          <w:color w:val="FF0000"/>
          <w:sz w:val="24"/>
          <w:szCs w:val="24"/>
        </w:rPr>
        <w:t xml:space="preserve">  </w:t>
      </w:r>
      <w:r w:rsidR="00664FA7" w:rsidRPr="002B1DC9">
        <w:rPr>
          <w:rFonts w:ascii="Times New Roman" w:hAnsi="Times New Roman" w:cs="Times New Roman"/>
          <w:color w:val="FF0000"/>
          <w:sz w:val="24"/>
          <w:szCs w:val="24"/>
        </w:rPr>
        <w:t xml:space="preserve">If there is a propensity to avoid rather than confront these difficult questions, the problem </w:t>
      </w:r>
      <w:r w:rsidR="00E107E1" w:rsidRPr="002B1DC9">
        <w:rPr>
          <w:rFonts w:ascii="Times New Roman" w:hAnsi="Times New Roman" w:cs="Times New Roman"/>
          <w:color w:val="FF0000"/>
          <w:sz w:val="24"/>
          <w:szCs w:val="24"/>
        </w:rPr>
        <w:t xml:space="preserve">becomes self-perpetuating </w:t>
      </w:r>
      <w:r w:rsidR="00664FA7" w:rsidRPr="002B1DC9">
        <w:rPr>
          <w:rFonts w:ascii="Times New Roman" w:hAnsi="Times New Roman" w:cs="Times New Roman"/>
          <w:color w:val="FF0000"/>
          <w:sz w:val="24"/>
          <w:szCs w:val="24"/>
        </w:rPr>
        <w:t xml:space="preserve">as researchers will never </w:t>
      </w:r>
      <w:r w:rsidR="00E107E1" w:rsidRPr="002B1DC9">
        <w:rPr>
          <w:rFonts w:ascii="Times New Roman" w:hAnsi="Times New Roman" w:cs="Times New Roman"/>
          <w:color w:val="FF0000"/>
          <w:sz w:val="24"/>
          <w:szCs w:val="24"/>
        </w:rPr>
        <w:t>gain enough experience to become more proficient in assessing capacity</w:t>
      </w:r>
      <w:r w:rsidR="00B54620" w:rsidRPr="002B1DC9">
        <w:rPr>
          <w:rFonts w:ascii="Times New Roman" w:hAnsi="Times New Roman" w:cs="Times New Roman"/>
          <w:color w:val="FF0000"/>
          <w:sz w:val="24"/>
          <w:szCs w:val="24"/>
        </w:rPr>
        <w:t xml:space="preserve"> and valued participants may continue to be excluded.  </w:t>
      </w:r>
    </w:p>
    <w:p w14:paraId="0EB4BDFC" w14:textId="6EA77C49" w:rsidR="000E35F4" w:rsidRDefault="00264204" w:rsidP="004C77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3C22">
        <w:rPr>
          <w:rFonts w:ascii="Times New Roman" w:hAnsi="Times New Roman" w:cs="Times New Roman"/>
          <w:sz w:val="24"/>
          <w:szCs w:val="24"/>
        </w:rPr>
        <w:t xml:space="preserve">In research, </w:t>
      </w:r>
      <w:r w:rsidR="00944396">
        <w:rPr>
          <w:rFonts w:ascii="Times New Roman" w:hAnsi="Times New Roman" w:cs="Times New Roman"/>
          <w:sz w:val="24"/>
          <w:szCs w:val="24"/>
        </w:rPr>
        <w:t xml:space="preserve">a </w:t>
      </w:r>
      <w:r w:rsidR="00965B84">
        <w:rPr>
          <w:rFonts w:ascii="Times New Roman" w:hAnsi="Times New Roman" w:cs="Times New Roman"/>
          <w:sz w:val="24"/>
          <w:szCs w:val="24"/>
        </w:rPr>
        <w:t>‘</w:t>
      </w:r>
      <w:r w:rsidR="00944396">
        <w:rPr>
          <w:rFonts w:ascii="Times New Roman" w:hAnsi="Times New Roman" w:cs="Times New Roman"/>
          <w:sz w:val="24"/>
          <w:szCs w:val="24"/>
        </w:rPr>
        <w:t>grey area</w:t>
      </w:r>
      <w:r w:rsidR="00965B84">
        <w:rPr>
          <w:rFonts w:ascii="Times New Roman" w:hAnsi="Times New Roman" w:cs="Times New Roman"/>
          <w:sz w:val="24"/>
          <w:szCs w:val="24"/>
        </w:rPr>
        <w:t>’</w:t>
      </w:r>
      <w:r w:rsidR="00944396">
        <w:rPr>
          <w:rFonts w:ascii="Times New Roman" w:hAnsi="Times New Roman" w:cs="Times New Roman"/>
          <w:sz w:val="24"/>
          <w:szCs w:val="24"/>
        </w:rPr>
        <w:t xml:space="preserve"> will also often exist</w:t>
      </w:r>
      <w:r w:rsidR="00424081">
        <w:rPr>
          <w:rFonts w:ascii="Times New Roman" w:hAnsi="Times New Roman" w:cs="Times New Roman"/>
          <w:sz w:val="24"/>
          <w:szCs w:val="24"/>
        </w:rPr>
        <w:t xml:space="preserve">. Some projects will be a one-off, but others </w:t>
      </w:r>
      <w:r w:rsidR="003119DD">
        <w:rPr>
          <w:rFonts w:ascii="Times New Roman" w:hAnsi="Times New Roman" w:cs="Times New Roman"/>
          <w:sz w:val="24"/>
          <w:szCs w:val="24"/>
        </w:rPr>
        <w:t xml:space="preserve">may necessitate more prolonged involvement from a </w:t>
      </w:r>
      <w:r w:rsidR="00360D66">
        <w:rPr>
          <w:rFonts w:ascii="Times New Roman" w:hAnsi="Times New Roman" w:cs="Times New Roman"/>
          <w:sz w:val="24"/>
          <w:szCs w:val="24"/>
        </w:rPr>
        <w:t>participant</w:t>
      </w:r>
      <w:r w:rsidR="009B1038">
        <w:rPr>
          <w:rFonts w:ascii="Times New Roman" w:hAnsi="Times New Roman" w:cs="Times New Roman"/>
          <w:sz w:val="24"/>
          <w:szCs w:val="24"/>
        </w:rPr>
        <w:t xml:space="preserve">.  It is </w:t>
      </w:r>
      <w:r w:rsidR="00B84D46">
        <w:rPr>
          <w:rFonts w:ascii="Times New Roman" w:hAnsi="Times New Roman" w:cs="Times New Roman"/>
          <w:sz w:val="24"/>
          <w:szCs w:val="24"/>
        </w:rPr>
        <w:t xml:space="preserve">thus </w:t>
      </w:r>
      <w:r w:rsidR="00360D66">
        <w:rPr>
          <w:rFonts w:ascii="Times New Roman" w:hAnsi="Times New Roman" w:cs="Times New Roman"/>
          <w:sz w:val="24"/>
          <w:szCs w:val="24"/>
        </w:rPr>
        <w:t>po</w:t>
      </w:r>
      <w:r w:rsidR="005A295E">
        <w:rPr>
          <w:rFonts w:ascii="Times New Roman" w:hAnsi="Times New Roman" w:cs="Times New Roman"/>
          <w:sz w:val="24"/>
          <w:szCs w:val="24"/>
        </w:rPr>
        <w:t xml:space="preserve">ssible that if </w:t>
      </w:r>
      <w:r w:rsidR="003119DD">
        <w:rPr>
          <w:rFonts w:ascii="Times New Roman" w:hAnsi="Times New Roman" w:cs="Times New Roman"/>
          <w:sz w:val="24"/>
          <w:szCs w:val="24"/>
        </w:rPr>
        <w:t>a participant is</w:t>
      </w:r>
      <w:r w:rsidR="005A295E">
        <w:rPr>
          <w:rFonts w:ascii="Times New Roman" w:hAnsi="Times New Roman" w:cs="Times New Roman"/>
          <w:sz w:val="24"/>
          <w:szCs w:val="24"/>
        </w:rPr>
        <w:t xml:space="preserve"> </w:t>
      </w:r>
      <w:r w:rsidR="00360D66">
        <w:rPr>
          <w:rFonts w:ascii="Times New Roman" w:hAnsi="Times New Roman" w:cs="Times New Roman"/>
          <w:sz w:val="24"/>
          <w:szCs w:val="24"/>
        </w:rPr>
        <w:t>asked</w:t>
      </w:r>
      <w:r w:rsidR="00047E85">
        <w:rPr>
          <w:rFonts w:ascii="Times New Roman" w:hAnsi="Times New Roman" w:cs="Times New Roman"/>
          <w:sz w:val="24"/>
          <w:szCs w:val="24"/>
        </w:rPr>
        <w:t xml:space="preserve"> to take part in a project over </w:t>
      </w:r>
      <w:r w:rsidR="005A295E">
        <w:rPr>
          <w:rFonts w:ascii="Times New Roman" w:hAnsi="Times New Roman" w:cs="Times New Roman"/>
          <w:sz w:val="24"/>
          <w:szCs w:val="24"/>
        </w:rPr>
        <w:t xml:space="preserve">a sustained </w:t>
      </w:r>
      <w:r w:rsidR="00360D66">
        <w:rPr>
          <w:rFonts w:ascii="Times New Roman" w:hAnsi="Times New Roman" w:cs="Times New Roman"/>
          <w:sz w:val="24"/>
          <w:szCs w:val="24"/>
        </w:rPr>
        <w:t xml:space="preserve">period of time, that </w:t>
      </w:r>
      <w:r w:rsidR="003119DD">
        <w:rPr>
          <w:rFonts w:ascii="Times New Roman" w:hAnsi="Times New Roman" w:cs="Times New Roman"/>
          <w:sz w:val="24"/>
          <w:szCs w:val="24"/>
        </w:rPr>
        <w:t xml:space="preserve">she </w:t>
      </w:r>
      <w:r w:rsidR="00FB35F5">
        <w:rPr>
          <w:rFonts w:ascii="Times New Roman" w:hAnsi="Times New Roman" w:cs="Times New Roman"/>
          <w:sz w:val="24"/>
          <w:szCs w:val="24"/>
        </w:rPr>
        <w:t xml:space="preserve">may experience fluctuating </w:t>
      </w:r>
      <w:r w:rsidR="00360D66">
        <w:rPr>
          <w:rFonts w:ascii="Times New Roman" w:hAnsi="Times New Roman" w:cs="Times New Roman"/>
          <w:sz w:val="24"/>
          <w:szCs w:val="24"/>
        </w:rPr>
        <w:t>capacity at various junctures.</w:t>
      </w:r>
      <w:r w:rsidR="003A19E7">
        <w:rPr>
          <w:rStyle w:val="FootnoteReference"/>
          <w:rFonts w:ascii="Times New Roman" w:hAnsi="Times New Roman" w:cs="Times New Roman"/>
          <w:sz w:val="24"/>
          <w:szCs w:val="24"/>
        </w:rPr>
        <w:footnoteReference w:id="105"/>
      </w:r>
      <w:r w:rsidR="003A19E7">
        <w:rPr>
          <w:rFonts w:ascii="Times New Roman" w:hAnsi="Times New Roman" w:cs="Times New Roman"/>
          <w:sz w:val="24"/>
          <w:szCs w:val="24"/>
        </w:rPr>
        <w:t xml:space="preserve">  </w:t>
      </w:r>
      <w:r w:rsidR="00EE48EB">
        <w:rPr>
          <w:rFonts w:ascii="Times New Roman" w:hAnsi="Times New Roman" w:cs="Times New Roman"/>
          <w:sz w:val="24"/>
          <w:szCs w:val="24"/>
        </w:rPr>
        <w:t xml:space="preserve">Moreover, as capacity is technically </w:t>
      </w:r>
      <w:r w:rsidR="00360D66">
        <w:rPr>
          <w:rFonts w:ascii="Times New Roman" w:hAnsi="Times New Roman" w:cs="Times New Roman"/>
          <w:sz w:val="24"/>
          <w:szCs w:val="24"/>
        </w:rPr>
        <w:t xml:space="preserve">decision-specific, there may be some components of </w:t>
      </w:r>
      <w:r w:rsidR="00EE48EB">
        <w:rPr>
          <w:rFonts w:ascii="Times New Roman" w:hAnsi="Times New Roman" w:cs="Times New Roman"/>
          <w:sz w:val="24"/>
          <w:szCs w:val="24"/>
        </w:rPr>
        <w:t xml:space="preserve">a research </w:t>
      </w:r>
      <w:r w:rsidR="00360D66">
        <w:rPr>
          <w:rFonts w:ascii="Times New Roman" w:hAnsi="Times New Roman" w:cs="Times New Roman"/>
          <w:sz w:val="24"/>
          <w:szCs w:val="24"/>
        </w:rPr>
        <w:t xml:space="preserve">project that a </w:t>
      </w:r>
      <w:r w:rsidR="00EE48EB">
        <w:rPr>
          <w:rFonts w:ascii="Times New Roman" w:hAnsi="Times New Roman" w:cs="Times New Roman"/>
          <w:sz w:val="24"/>
          <w:szCs w:val="24"/>
        </w:rPr>
        <w:t xml:space="preserve">participant may have </w:t>
      </w:r>
      <w:r w:rsidR="00360D66">
        <w:rPr>
          <w:rFonts w:ascii="Times New Roman" w:hAnsi="Times New Roman" w:cs="Times New Roman"/>
          <w:sz w:val="24"/>
          <w:szCs w:val="24"/>
        </w:rPr>
        <w:t>capacity to</w:t>
      </w:r>
      <w:r w:rsidR="00EE48EB">
        <w:rPr>
          <w:rFonts w:ascii="Times New Roman" w:hAnsi="Times New Roman" w:cs="Times New Roman"/>
          <w:sz w:val="24"/>
          <w:szCs w:val="24"/>
        </w:rPr>
        <w:t xml:space="preserve"> agree to</w:t>
      </w:r>
      <w:r w:rsidR="00360D66">
        <w:rPr>
          <w:rFonts w:ascii="Times New Roman" w:hAnsi="Times New Roman" w:cs="Times New Roman"/>
          <w:sz w:val="24"/>
          <w:szCs w:val="24"/>
        </w:rPr>
        <w:t>, and others</w:t>
      </w:r>
      <w:r w:rsidR="00965B84">
        <w:rPr>
          <w:rFonts w:ascii="Times New Roman" w:hAnsi="Times New Roman" w:cs="Times New Roman"/>
          <w:sz w:val="24"/>
          <w:szCs w:val="24"/>
        </w:rPr>
        <w:t xml:space="preserve"> </w:t>
      </w:r>
      <w:r w:rsidR="00EE48EB">
        <w:rPr>
          <w:rFonts w:ascii="Times New Roman" w:hAnsi="Times New Roman" w:cs="Times New Roman"/>
          <w:sz w:val="24"/>
          <w:szCs w:val="24"/>
        </w:rPr>
        <w:t>which she may not.</w:t>
      </w:r>
      <w:r w:rsidR="00E145BC">
        <w:rPr>
          <w:rStyle w:val="FootnoteReference"/>
          <w:rFonts w:ascii="Times New Roman" w:hAnsi="Times New Roman" w:cs="Times New Roman"/>
          <w:sz w:val="24"/>
          <w:szCs w:val="24"/>
        </w:rPr>
        <w:footnoteReference w:id="106"/>
      </w:r>
      <w:r w:rsidR="00E04552">
        <w:rPr>
          <w:rFonts w:ascii="Times New Roman" w:hAnsi="Times New Roman" w:cs="Times New Roman"/>
          <w:sz w:val="24"/>
          <w:szCs w:val="24"/>
        </w:rPr>
        <w:t xml:space="preserve">  While there is some legal </w:t>
      </w:r>
      <w:r w:rsidR="00E04552">
        <w:rPr>
          <w:rFonts w:ascii="Times New Roman" w:hAnsi="Times New Roman" w:cs="Times New Roman"/>
          <w:sz w:val="24"/>
          <w:szCs w:val="24"/>
        </w:rPr>
        <w:lastRenderedPageBreak/>
        <w:t>recognition of the possibility of a ‘temporary’ loss of capacity,</w:t>
      </w:r>
      <w:r w:rsidR="00DA706D">
        <w:rPr>
          <w:rStyle w:val="FootnoteReference"/>
          <w:rFonts w:ascii="Times New Roman" w:hAnsi="Times New Roman" w:cs="Times New Roman"/>
          <w:sz w:val="24"/>
          <w:szCs w:val="24"/>
        </w:rPr>
        <w:footnoteReference w:id="107"/>
      </w:r>
      <w:r w:rsidR="00E04552">
        <w:rPr>
          <w:rFonts w:ascii="Times New Roman" w:hAnsi="Times New Roman" w:cs="Times New Roman"/>
          <w:sz w:val="24"/>
          <w:szCs w:val="24"/>
        </w:rPr>
        <w:t xml:space="preserve"> untrained researchers may be unaware of it and hence be more inclined to view the question of capacity as absolute instead of relative.</w:t>
      </w:r>
      <w:r w:rsidR="006D5BBB">
        <w:rPr>
          <w:rStyle w:val="FootnoteReference"/>
          <w:rFonts w:ascii="Times New Roman" w:hAnsi="Times New Roman" w:cs="Times New Roman"/>
          <w:sz w:val="24"/>
          <w:szCs w:val="24"/>
        </w:rPr>
        <w:footnoteReference w:id="108"/>
      </w:r>
      <w:r w:rsidR="006D5BBB">
        <w:rPr>
          <w:rFonts w:ascii="Times New Roman" w:hAnsi="Times New Roman" w:cs="Times New Roman"/>
          <w:sz w:val="24"/>
          <w:szCs w:val="24"/>
        </w:rPr>
        <w:t xml:space="preserve"> </w:t>
      </w:r>
      <w:r w:rsidR="00E04552">
        <w:rPr>
          <w:rFonts w:ascii="Times New Roman" w:hAnsi="Times New Roman" w:cs="Times New Roman"/>
          <w:sz w:val="24"/>
          <w:szCs w:val="24"/>
        </w:rPr>
        <w:t>Therefore, if capacity cannot be evidenced</w:t>
      </w:r>
      <w:r w:rsidR="00365929">
        <w:rPr>
          <w:rFonts w:ascii="Times New Roman" w:hAnsi="Times New Roman" w:cs="Times New Roman"/>
          <w:sz w:val="24"/>
          <w:szCs w:val="24"/>
        </w:rPr>
        <w:t xml:space="preserve"> securely, exclusion may follow, which may be unnecessary.  </w:t>
      </w:r>
      <w:r w:rsidR="00B84D46">
        <w:rPr>
          <w:rFonts w:ascii="Times New Roman" w:hAnsi="Times New Roman" w:cs="Times New Roman"/>
          <w:sz w:val="24"/>
          <w:szCs w:val="24"/>
        </w:rPr>
        <w:t>I</w:t>
      </w:r>
      <w:r w:rsidR="002810EC">
        <w:rPr>
          <w:rFonts w:ascii="Times New Roman" w:hAnsi="Times New Roman" w:cs="Times New Roman"/>
          <w:sz w:val="24"/>
          <w:szCs w:val="24"/>
        </w:rPr>
        <w:t xml:space="preserve">f capacity </w:t>
      </w:r>
      <w:r w:rsidR="00B84D46">
        <w:rPr>
          <w:rFonts w:ascii="Times New Roman" w:hAnsi="Times New Roman" w:cs="Times New Roman"/>
          <w:sz w:val="24"/>
          <w:szCs w:val="24"/>
        </w:rPr>
        <w:t xml:space="preserve">also </w:t>
      </w:r>
      <w:r w:rsidR="009B1038">
        <w:rPr>
          <w:rFonts w:ascii="Times New Roman" w:hAnsi="Times New Roman" w:cs="Times New Roman"/>
          <w:sz w:val="24"/>
          <w:szCs w:val="24"/>
        </w:rPr>
        <w:t xml:space="preserve">appears to fluctuate </w:t>
      </w:r>
      <w:r w:rsidR="00CA19A8">
        <w:rPr>
          <w:rFonts w:ascii="Times New Roman" w:hAnsi="Times New Roman" w:cs="Times New Roman"/>
          <w:sz w:val="24"/>
          <w:szCs w:val="24"/>
        </w:rPr>
        <w:t xml:space="preserve">during the course of a project, there may be a greater inclination </w:t>
      </w:r>
      <w:r w:rsidR="009B1038">
        <w:rPr>
          <w:rFonts w:ascii="Times New Roman" w:hAnsi="Times New Roman" w:cs="Times New Roman"/>
          <w:sz w:val="24"/>
          <w:szCs w:val="24"/>
        </w:rPr>
        <w:t xml:space="preserve">from a researcher </w:t>
      </w:r>
      <w:r w:rsidR="00CA19A8">
        <w:rPr>
          <w:rFonts w:ascii="Times New Roman" w:hAnsi="Times New Roman" w:cs="Times New Roman"/>
          <w:sz w:val="24"/>
          <w:szCs w:val="24"/>
        </w:rPr>
        <w:t xml:space="preserve">to think that </w:t>
      </w:r>
      <w:r w:rsidR="002810EC">
        <w:rPr>
          <w:rFonts w:ascii="Times New Roman" w:hAnsi="Times New Roman" w:cs="Times New Roman"/>
          <w:sz w:val="24"/>
          <w:szCs w:val="24"/>
        </w:rPr>
        <w:t xml:space="preserve">a participant </w:t>
      </w:r>
      <w:r w:rsidR="00CA19A8">
        <w:rPr>
          <w:rFonts w:ascii="Times New Roman" w:hAnsi="Times New Roman" w:cs="Times New Roman"/>
          <w:sz w:val="24"/>
          <w:szCs w:val="24"/>
        </w:rPr>
        <w:t xml:space="preserve">has lost </w:t>
      </w:r>
      <w:r w:rsidR="002810EC">
        <w:rPr>
          <w:rFonts w:ascii="Times New Roman" w:hAnsi="Times New Roman" w:cs="Times New Roman"/>
          <w:sz w:val="24"/>
          <w:szCs w:val="24"/>
        </w:rPr>
        <w:t>capacity while the research is ongoing</w:t>
      </w:r>
      <w:r w:rsidR="004E3972">
        <w:rPr>
          <w:rFonts w:ascii="Times New Roman" w:hAnsi="Times New Roman" w:cs="Times New Roman"/>
          <w:sz w:val="24"/>
          <w:szCs w:val="24"/>
        </w:rPr>
        <w:t>,</w:t>
      </w:r>
      <w:r w:rsidR="002810EC">
        <w:rPr>
          <w:rFonts w:ascii="Times New Roman" w:hAnsi="Times New Roman" w:cs="Times New Roman"/>
          <w:sz w:val="24"/>
          <w:szCs w:val="24"/>
        </w:rPr>
        <w:t xml:space="preserve"> </w:t>
      </w:r>
      <w:r w:rsidR="00E145BC">
        <w:rPr>
          <w:rFonts w:ascii="Times New Roman" w:hAnsi="Times New Roman" w:cs="Times New Roman"/>
          <w:sz w:val="24"/>
          <w:szCs w:val="24"/>
        </w:rPr>
        <w:t xml:space="preserve">when </w:t>
      </w:r>
      <w:r w:rsidR="00CA19A8">
        <w:rPr>
          <w:rFonts w:ascii="Times New Roman" w:hAnsi="Times New Roman" w:cs="Times New Roman"/>
          <w:sz w:val="24"/>
          <w:szCs w:val="24"/>
        </w:rPr>
        <w:t xml:space="preserve">that assessment may be inaccurate.  If a participant is </w:t>
      </w:r>
      <w:r w:rsidR="00FA79B0">
        <w:rPr>
          <w:rFonts w:ascii="Times New Roman" w:hAnsi="Times New Roman" w:cs="Times New Roman"/>
          <w:sz w:val="24"/>
          <w:szCs w:val="24"/>
        </w:rPr>
        <w:t xml:space="preserve">then </w:t>
      </w:r>
      <w:r w:rsidR="00CA19A8">
        <w:rPr>
          <w:rFonts w:ascii="Times New Roman" w:hAnsi="Times New Roman" w:cs="Times New Roman"/>
          <w:sz w:val="24"/>
          <w:szCs w:val="24"/>
        </w:rPr>
        <w:t>withdrawn on this mistaken belief, her exclusion from a project may be overly premature and need</w:t>
      </w:r>
      <w:r w:rsidR="00365929">
        <w:rPr>
          <w:rFonts w:ascii="Times New Roman" w:hAnsi="Times New Roman" w:cs="Times New Roman"/>
          <w:sz w:val="24"/>
          <w:szCs w:val="24"/>
        </w:rPr>
        <w:t>lessly damaging to the research.</w:t>
      </w:r>
      <w:r w:rsidR="00365929">
        <w:rPr>
          <w:rStyle w:val="FootnoteReference"/>
          <w:rFonts w:ascii="Times New Roman" w:hAnsi="Times New Roman" w:cs="Times New Roman"/>
          <w:sz w:val="24"/>
          <w:szCs w:val="24"/>
        </w:rPr>
        <w:footnoteReference w:id="109"/>
      </w:r>
      <w:r w:rsidR="00365929">
        <w:rPr>
          <w:rFonts w:ascii="Times New Roman" w:hAnsi="Times New Roman" w:cs="Times New Roman"/>
          <w:sz w:val="24"/>
          <w:szCs w:val="24"/>
        </w:rPr>
        <w:t xml:space="preserve">  A</w:t>
      </w:r>
      <w:r w:rsidR="00FF2EDD">
        <w:rPr>
          <w:rFonts w:ascii="Times New Roman" w:hAnsi="Times New Roman" w:cs="Times New Roman"/>
          <w:sz w:val="24"/>
          <w:szCs w:val="24"/>
        </w:rPr>
        <w:t xml:space="preserve">lternatively, the </w:t>
      </w:r>
      <w:r w:rsidR="00B84D46">
        <w:rPr>
          <w:rFonts w:ascii="Times New Roman" w:hAnsi="Times New Roman" w:cs="Times New Roman"/>
          <w:sz w:val="24"/>
          <w:szCs w:val="24"/>
        </w:rPr>
        <w:t xml:space="preserve">opposite </w:t>
      </w:r>
      <w:r w:rsidR="00FF2EDD">
        <w:rPr>
          <w:rFonts w:ascii="Times New Roman" w:hAnsi="Times New Roman" w:cs="Times New Roman"/>
          <w:sz w:val="24"/>
          <w:szCs w:val="24"/>
        </w:rPr>
        <w:t xml:space="preserve">problem </w:t>
      </w:r>
      <w:r w:rsidR="00B84D46">
        <w:rPr>
          <w:rFonts w:ascii="Times New Roman" w:hAnsi="Times New Roman" w:cs="Times New Roman"/>
          <w:sz w:val="24"/>
          <w:szCs w:val="24"/>
        </w:rPr>
        <w:t xml:space="preserve">may </w:t>
      </w:r>
      <w:r w:rsidR="00FF2EDD">
        <w:rPr>
          <w:rFonts w:ascii="Times New Roman" w:hAnsi="Times New Roman" w:cs="Times New Roman"/>
          <w:sz w:val="24"/>
          <w:szCs w:val="24"/>
        </w:rPr>
        <w:t xml:space="preserve">occur in which a mistaken belief that a participant has capacity causes her involvement in </w:t>
      </w:r>
      <w:r w:rsidR="006D5BBB">
        <w:rPr>
          <w:rFonts w:ascii="Times New Roman" w:hAnsi="Times New Roman" w:cs="Times New Roman"/>
          <w:sz w:val="24"/>
          <w:szCs w:val="24"/>
        </w:rPr>
        <w:t xml:space="preserve">a </w:t>
      </w:r>
      <w:r w:rsidR="00FF2EDD">
        <w:rPr>
          <w:rFonts w:ascii="Times New Roman" w:hAnsi="Times New Roman" w:cs="Times New Roman"/>
          <w:sz w:val="24"/>
          <w:szCs w:val="24"/>
        </w:rPr>
        <w:t>study to continue</w:t>
      </w:r>
      <w:r w:rsidR="00700C39">
        <w:rPr>
          <w:rFonts w:ascii="Times New Roman" w:hAnsi="Times New Roman" w:cs="Times New Roman"/>
          <w:sz w:val="24"/>
          <w:szCs w:val="24"/>
        </w:rPr>
        <w:t xml:space="preserve">, where it may </w:t>
      </w:r>
      <w:r w:rsidR="00FF2EDD">
        <w:rPr>
          <w:rFonts w:ascii="Times New Roman" w:hAnsi="Times New Roman" w:cs="Times New Roman"/>
          <w:sz w:val="24"/>
          <w:szCs w:val="24"/>
        </w:rPr>
        <w:t xml:space="preserve">be inappropriate and perhaps </w:t>
      </w:r>
      <w:r w:rsidR="00700C39">
        <w:rPr>
          <w:rFonts w:ascii="Times New Roman" w:hAnsi="Times New Roman" w:cs="Times New Roman"/>
          <w:sz w:val="24"/>
          <w:szCs w:val="24"/>
        </w:rPr>
        <w:t xml:space="preserve">even </w:t>
      </w:r>
      <w:r w:rsidR="00FF2EDD">
        <w:rPr>
          <w:rFonts w:ascii="Times New Roman" w:hAnsi="Times New Roman" w:cs="Times New Roman"/>
          <w:sz w:val="24"/>
          <w:szCs w:val="24"/>
        </w:rPr>
        <w:t xml:space="preserve">harmful </w:t>
      </w:r>
      <w:r w:rsidR="00B84D46">
        <w:rPr>
          <w:rFonts w:ascii="Times New Roman" w:hAnsi="Times New Roman" w:cs="Times New Roman"/>
          <w:sz w:val="24"/>
          <w:szCs w:val="24"/>
        </w:rPr>
        <w:t xml:space="preserve">to allow it </w:t>
      </w:r>
      <w:r w:rsidR="00FF2EDD">
        <w:rPr>
          <w:rFonts w:ascii="Times New Roman" w:hAnsi="Times New Roman" w:cs="Times New Roman"/>
          <w:sz w:val="24"/>
          <w:szCs w:val="24"/>
        </w:rPr>
        <w:t>to happen.</w:t>
      </w:r>
      <w:r w:rsidR="00E145BC">
        <w:rPr>
          <w:rStyle w:val="FootnoteReference"/>
          <w:rFonts w:ascii="Times New Roman" w:hAnsi="Times New Roman" w:cs="Times New Roman"/>
          <w:sz w:val="24"/>
          <w:szCs w:val="24"/>
        </w:rPr>
        <w:footnoteReference w:id="110"/>
      </w:r>
      <w:r w:rsidR="006D5BBB">
        <w:rPr>
          <w:rFonts w:ascii="Times New Roman" w:hAnsi="Times New Roman" w:cs="Times New Roman"/>
          <w:sz w:val="24"/>
          <w:szCs w:val="24"/>
        </w:rPr>
        <w:t xml:space="preserve">  Naturally, it must be acknowledged </w:t>
      </w:r>
      <w:r w:rsidR="00AA57B1">
        <w:rPr>
          <w:rFonts w:ascii="Times New Roman" w:hAnsi="Times New Roman" w:cs="Times New Roman"/>
          <w:sz w:val="24"/>
          <w:szCs w:val="24"/>
        </w:rPr>
        <w:t xml:space="preserve">that </w:t>
      </w:r>
      <w:r w:rsidR="00FF2EDD">
        <w:rPr>
          <w:rFonts w:ascii="Times New Roman" w:hAnsi="Times New Roman" w:cs="Times New Roman"/>
          <w:sz w:val="24"/>
          <w:szCs w:val="24"/>
        </w:rPr>
        <w:t>capacity related concerns may be only one reason for exclusion.  A researcher may operate cautiously because of a perceived fear</w:t>
      </w:r>
      <w:r w:rsidR="00C60189">
        <w:rPr>
          <w:rFonts w:ascii="Times New Roman" w:hAnsi="Times New Roman" w:cs="Times New Roman"/>
          <w:sz w:val="24"/>
          <w:szCs w:val="24"/>
        </w:rPr>
        <w:t xml:space="preserve"> </w:t>
      </w:r>
      <w:r w:rsidR="00C26B35">
        <w:rPr>
          <w:rFonts w:ascii="Times New Roman" w:hAnsi="Times New Roman" w:cs="Times New Roman"/>
          <w:sz w:val="24"/>
          <w:szCs w:val="24"/>
        </w:rPr>
        <w:t>her own legal ex</w:t>
      </w:r>
      <w:r w:rsidR="00700C39">
        <w:rPr>
          <w:rFonts w:ascii="Times New Roman" w:hAnsi="Times New Roman" w:cs="Times New Roman"/>
          <w:sz w:val="24"/>
          <w:szCs w:val="24"/>
        </w:rPr>
        <w:t xml:space="preserve">posure, </w:t>
      </w:r>
      <w:r w:rsidR="00C26B35">
        <w:rPr>
          <w:rFonts w:ascii="Times New Roman" w:hAnsi="Times New Roman" w:cs="Times New Roman"/>
          <w:sz w:val="24"/>
          <w:szCs w:val="24"/>
        </w:rPr>
        <w:t>or, worse still, for the sake of administrative convenience</w:t>
      </w:r>
      <w:r w:rsidR="009B1038">
        <w:rPr>
          <w:rFonts w:ascii="Times New Roman" w:hAnsi="Times New Roman" w:cs="Times New Roman"/>
          <w:sz w:val="24"/>
          <w:szCs w:val="24"/>
        </w:rPr>
        <w:t>.</w:t>
      </w:r>
      <w:r w:rsidR="00FF2EDD">
        <w:rPr>
          <w:rFonts w:ascii="Times New Roman" w:hAnsi="Times New Roman" w:cs="Times New Roman"/>
          <w:sz w:val="24"/>
          <w:szCs w:val="24"/>
        </w:rPr>
        <w:t xml:space="preserve">  Engaging the mechanisms of the MCA and its associated safeguards </w:t>
      </w:r>
      <w:r w:rsidR="00DA706D">
        <w:rPr>
          <w:rFonts w:ascii="Times New Roman" w:hAnsi="Times New Roman" w:cs="Times New Roman"/>
          <w:sz w:val="24"/>
          <w:szCs w:val="24"/>
        </w:rPr>
        <w:t xml:space="preserve">carries with it </w:t>
      </w:r>
      <w:r w:rsidR="00FF2EDD">
        <w:rPr>
          <w:rFonts w:ascii="Times New Roman" w:hAnsi="Times New Roman" w:cs="Times New Roman"/>
          <w:sz w:val="24"/>
          <w:szCs w:val="24"/>
        </w:rPr>
        <w:t>cost, time and resource implications</w:t>
      </w:r>
      <w:r w:rsidR="00DA706D">
        <w:rPr>
          <w:rFonts w:ascii="Times New Roman" w:hAnsi="Times New Roman" w:cs="Times New Roman"/>
          <w:sz w:val="24"/>
          <w:szCs w:val="24"/>
        </w:rPr>
        <w:t xml:space="preserve"> </w:t>
      </w:r>
      <w:r w:rsidR="00B84D46">
        <w:rPr>
          <w:rFonts w:ascii="Times New Roman" w:hAnsi="Times New Roman" w:cs="Times New Roman"/>
          <w:sz w:val="24"/>
          <w:szCs w:val="24"/>
        </w:rPr>
        <w:t xml:space="preserve">which </w:t>
      </w:r>
      <w:r w:rsidR="00DA706D">
        <w:rPr>
          <w:rFonts w:ascii="Times New Roman" w:hAnsi="Times New Roman" w:cs="Times New Roman"/>
          <w:sz w:val="24"/>
          <w:szCs w:val="24"/>
        </w:rPr>
        <w:t xml:space="preserve">some may wish to avoid.  Whatever the </w:t>
      </w:r>
      <w:r w:rsidR="009B1038">
        <w:rPr>
          <w:rFonts w:ascii="Times New Roman" w:hAnsi="Times New Roman" w:cs="Times New Roman"/>
          <w:sz w:val="24"/>
          <w:szCs w:val="24"/>
        </w:rPr>
        <w:t>reason</w:t>
      </w:r>
      <w:r w:rsidR="00DA706D">
        <w:rPr>
          <w:rFonts w:ascii="Times New Roman" w:hAnsi="Times New Roman" w:cs="Times New Roman"/>
          <w:sz w:val="24"/>
          <w:szCs w:val="24"/>
        </w:rPr>
        <w:t xml:space="preserve"> though</w:t>
      </w:r>
      <w:r w:rsidR="00B84D46">
        <w:rPr>
          <w:rFonts w:ascii="Times New Roman" w:hAnsi="Times New Roman" w:cs="Times New Roman"/>
          <w:sz w:val="24"/>
          <w:szCs w:val="24"/>
        </w:rPr>
        <w:t xml:space="preserve">, there is a </w:t>
      </w:r>
      <w:r w:rsidR="009B1038">
        <w:rPr>
          <w:rFonts w:ascii="Times New Roman" w:hAnsi="Times New Roman" w:cs="Times New Roman"/>
          <w:sz w:val="24"/>
          <w:szCs w:val="24"/>
        </w:rPr>
        <w:t xml:space="preserve">problem if those who </w:t>
      </w:r>
      <w:r w:rsidR="00C26B35">
        <w:rPr>
          <w:rFonts w:ascii="Times New Roman" w:hAnsi="Times New Roman" w:cs="Times New Roman"/>
          <w:sz w:val="24"/>
          <w:szCs w:val="24"/>
        </w:rPr>
        <w:t xml:space="preserve">actually remain capable of contributing something of value to a </w:t>
      </w:r>
      <w:r w:rsidR="009B1038">
        <w:rPr>
          <w:rFonts w:ascii="Times New Roman" w:hAnsi="Times New Roman" w:cs="Times New Roman"/>
          <w:sz w:val="24"/>
          <w:szCs w:val="24"/>
        </w:rPr>
        <w:t>project are unnecessarily discounted</w:t>
      </w:r>
      <w:r w:rsidR="00700C39">
        <w:rPr>
          <w:rFonts w:ascii="Times New Roman" w:hAnsi="Times New Roman" w:cs="Times New Roman"/>
          <w:sz w:val="24"/>
          <w:szCs w:val="24"/>
        </w:rPr>
        <w:t>, and if those whose capacity is compromised are included without thorough review.</w:t>
      </w:r>
      <w:r w:rsidR="009B1038">
        <w:rPr>
          <w:rFonts w:ascii="Times New Roman" w:hAnsi="Times New Roman" w:cs="Times New Roman"/>
          <w:sz w:val="24"/>
          <w:szCs w:val="24"/>
        </w:rPr>
        <w:t xml:space="preserve">  It follows that c</w:t>
      </w:r>
      <w:r w:rsidR="008F762D">
        <w:rPr>
          <w:rFonts w:ascii="Times New Roman" w:hAnsi="Times New Roman" w:cs="Times New Roman"/>
          <w:sz w:val="24"/>
          <w:szCs w:val="24"/>
        </w:rPr>
        <w:t>learer</w:t>
      </w:r>
      <w:r w:rsidR="00F01934">
        <w:rPr>
          <w:rFonts w:ascii="Times New Roman" w:hAnsi="Times New Roman" w:cs="Times New Roman"/>
          <w:sz w:val="24"/>
          <w:szCs w:val="24"/>
        </w:rPr>
        <w:t xml:space="preserve"> and more specific </w:t>
      </w:r>
      <w:r w:rsidR="009B1038">
        <w:rPr>
          <w:rFonts w:ascii="Times New Roman" w:hAnsi="Times New Roman" w:cs="Times New Roman"/>
          <w:sz w:val="24"/>
          <w:szCs w:val="24"/>
        </w:rPr>
        <w:t xml:space="preserve">guidance is </w:t>
      </w:r>
      <w:r w:rsidR="008F762D">
        <w:rPr>
          <w:rFonts w:ascii="Times New Roman" w:hAnsi="Times New Roman" w:cs="Times New Roman"/>
          <w:sz w:val="24"/>
          <w:szCs w:val="24"/>
        </w:rPr>
        <w:t>required</w:t>
      </w:r>
      <w:r w:rsidR="00F01934">
        <w:rPr>
          <w:rFonts w:ascii="Times New Roman" w:hAnsi="Times New Roman" w:cs="Times New Roman"/>
          <w:sz w:val="24"/>
          <w:szCs w:val="24"/>
        </w:rPr>
        <w:t xml:space="preserve"> </w:t>
      </w:r>
      <w:r w:rsidR="008F762D">
        <w:rPr>
          <w:rFonts w:ascii="Times New Roman" w:hAnsi="Times New Roman" w:cs="Times New Roman"/>
          <w:sz w:val="24"/>
          <w:szCs w:val="24"/>
        </w:rPr>
        <w:t>for researchers</w:t>
      </w:r>
      <w:r w:rsidR="00965B84">
        <w:rPr>
          <w:rFonts w:ascii="Times New Roman" w:hAnsi="Times New Roman" w:cs="Times New Roman"/>
          <w:sz w:val="24"/>
          <w:szCs w:val="24"/>
        </w:rPr>
        <w:t xml:space="preserve"> in terms of how they shoul</w:t>
      </w:r>
      <w:r w:rsidR="00F01934">
        <w:rPr>
          <w:rFonts w:ascii="Times New Roman" w:hAnsi="Times New Roman" w:cs="Times New Roman"/>
          <w:sz w:val="24"/>
          <w:szCs w:val="24"/>
        </w:rPr>
        <w:t>d</w:t>
      </w:r>
      <w:r w:rsidR="00DA706D">
        <w:rPr>
          <w:rFonts w:ascii="Times New Roman" w:hAnsi="Times New Roman" w:cs="Times New Roman"/>
          <w:sz w:val="24"/>
          <w:szCs w:val="24"/>
        </w:rPr>
        <w:t xml:space="preserve"> approach capacity assessments and</w:t>
      </w:r>
      <w:r w:rsidR="00700C39">
        <w:rPr>
          <w:rFonts w:ascii="Times New Roman" w:hAnsi="Times New Roman" w:cs="Times New Roman"/>
          <w:sz w:val="24"/>
          <w:szCs w:val="24"/>
        </w:rPr>
        <w:t xml:space="preserve"> what should form part of their decision-making processes when addressing the question of participant inclusion.</w:t>
      </w:r>
      <w:r w:rsidR="00FD3498">
        <w:rPr>
          <w:rStyle w:val="FootnoteReference"/>
          <w:rFonts w:ascii="Times New Roman" w:hAnsi="Times New Roman" w:cs="Times New Roman"/>
          <w:sz w:val="24"/>
          <w:szCs w:val="24"/>
        </w:rPr>
        <w:footnoteReference w:id="111"/>
      </w:r>
    </w:p>
    <w:p w14:paraId="4F936021" w14:textId="763D2556" w:rsidR="00416655" w:rsidRDefault="00416655" w:rsidP="004C77F5">
      <w:pPr>
        <w:spacing w:after="0" w:line="360" w:lineRule="auto"/>
        <w:jc w:val="both"/>
        <w:rPr>
          <w:rFonts w:ascii="Times New Roman" w:hAnsi="Times New Roman" w:cs="Times New Roman"/>
          <w:sz w:val="24"/>
          <w:szCs w:val="24"/>
        </w:rPr>
      </w:pPr>
    </w:p>
    <w:p w14:paraId="22CE40F7" w14:textId="6E39335F" w:rsidR="00382DE5" w:rsidRDefault="00382DE5" w:rsidP="004C77F5">
      <w:pPr>
        <w:spacing w:after="0" w:line="360" w:lineRule="auto"/>
        <w:jc w:val="both"/>
        <w:rPr>
          <w:rFonts w:ascii="Times New Roman" w:hAnsi="Times New Roman" w:cs="Times New Roman"/>
          <w:sz w:val="24"/>
          <w:szCs w:val="24"/>
        </w:rPr>
      </w:pPr>
    </w:p>
    <w:p w14:paraId="2374A6F2" w14:textId="77777777" w:rsidR="00382DE5" w:rsidRDefault="00382DE5" w:rsidP="004C77F5">
      <w:pPr>
        <w:spacing w:after="0" w:line="360" w:lineRule="auto"/>
        <w:jc w:val="both"/>
        <w:rPr>
          <w:rFonts w:ascii="Times New Roman" w:hAnsi="Times New Roman" w:cs="Times New Roman"/>
          <w:sz w:val="24"/>
          <w:szCs w:val="24"/>
        </w:rPr>
      </w:pPr>
    </w:p>
    <w:p w14:paraId="70C1C33F" w14:textId="77777777" w:rsidR="004C77F5" w:rsidRDefault="004C77F5" w:rsidP="004C77F5">
      <w:pPr>
        <w:spacing w:after="0" w:line="240" w:lineRule="auto"/>
        <w:jc w:val="both"/>
        <w:rPr>
          <w:rFonts w:ascii="Times New Roman" w:hAnsi="Times New Roman" w:cs="Times New Roman"/>
          <w:sz w:val="24"/>
          <w:szCs w:val="24"/>
        </w:rPr>
      </w:pPr>
    </w:p>
    <w:p w14:paraId="611E338A" w14:textId="77777777" w:rsidR="00A3630B" w:rsidRDefault="00A3630B" w:rsidP="002B74FD">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ii) The Consultee</w:t>
      </w:r>
    </w:p>
    <w:p w14:paraId="5EAC321D" w14:textId="4140DDCC" w:rsidR="00167A5F" w:rsidRPr="00A3630B" w:rsidRDefault="00F84375" w:rsidP="00A3630B">
      <w:pPr>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A further obligation placed on the researcher by the MCA is the requirement </w:t>
      </w:r>
      <w:r w:rsidR="000A4E99">
        <w:rPr>
          <w:rFonts w:ascii="Times New Roman" w:hAnsi="Times New Roman" w:cs="Times New Roman"/>
          <w:sz w:val="24"/>
          <w:szCs w:val="24"/>
        </w:rPr>
        <w:t xml:space="preserve">to appoint a consultee.  This individual must be prepared to be consulted by </w:t>
      </w:r>
      <w:r w:rsidR="00D85DB5">
        <w:rPr>
          <w:rFonts w:ascii="Times New Roman" w:hAnsi="Times New Roman" w:cs="Times New Roman"/>
          <w:sz w:val="24"/>
          <w:szCs w:val="24"/>
        </w:rPr>
        <w:t xml:space="preserve">a </w:t>
      </w:r>
      <w:r w:rsidR="000A4E99">
        <w:rPr>
          <w:rFonts w:ascii="Times New Roman" w:hAnsi="Times New Roman" w:cs="Times New Roman"/>
          <w:sz w:val="24"/>
          <w:szCs w:val="24"/>
        </w:rPr>
        <w:t>researcher about whether or not an incapacitated participant should be included within a research project</w:t>
      </w:r>
      <w:r w:rsidR="00D85DB5">
        <w:rPr>
          <w:rFonts w:ascii="Times New Roman" w:hAnsi="Times New Roman" w:cs="Times New Roman"/>
          <w:sz w:val="24"/>
          <w:szCs w:val="24"/>
        </w:rPr>
        <w:t xml:space="preserve">, and to offer her </w:t>
      </w:r>
      <w:r w:rsidR="000A4E99">
        <w:rPr>
          <w:rFonts w:ascii="Times New Roman" w:hAnsi="Times New Roman" w:cs="Times New Roman"/>
          <w:sz w:val="24"/>
          <w:szCs w:val="24"/>
        </w:rPr>
        <w:t>opinion</w:t>
      </w:r>
      <w:r w:rsidR="001653ED">
        <w:rPr>
          <w:rFonts w:ascii="Times New Roman" w:hAnsi="Times New Roman" w:cs="Times New Roman"/>
          <w:sz w:val="24"/>
          <w:szCs w:val="24"/>
        </w:rPr>
        <w:t xml:space="preserve"> as to what a participant’s wishes and feeling would be likely to be abou</w:t>
      </w:r>
      <w:r>
        <w:rPr>
          <w:rFonts w:ascii="Times New Roman" w:hAnsi="Times New Roman" w:cs="Times New Roman"/>
          <w:sz w:val="24"/>
          <w:szCs w:val="24"/>
        </w:rPr>
        <w:t xml:space="preserve">t taking part in the project if she </w:t>
      </w:r>
      <w:r w:rsidR="00563AD5">
        <w:rPr>
          <w:rFonts w:ascii="Times New Roman" w:hAnsi="Times New Roman" w:cs="Times New Roman"/>
          <w:sz w:val="24"/>
          <w:szCs w:val="24"/>
        </w:rPr>
        <w:t>had capacity.</w:t>
      </w:r>
      <w:r w:rsidR="00941EDF">
        <w:rPr>
          <w:rStyle w:val="FootnoteReference"/>
          <w:rFonts w:ascii="Times New Roman" w:hAnsi="Times New Roman" w:cs="Times New Roman"/>
          <w:sz w:val="24"/>
          <w:szCs w:val="24"/>
        </w:rPr>
        <w:footnoteReference w:id="112"/>
      </w:r>
      <w:r w:rsidR="00563AD5">
        <w:rPr>
          <w:rFonts w:ascii="Times New Roman" w:hAnsi="Times New Roman" w:cs="Times New Roman"/>
          <w:sz w:val="24"/>
          <w:szCs w:val="24"/>
        </w:rPr>
        <w:t xml:space="preserve"> Two different types of consultee </w:t>
      </w:r>
      <w:r w:rsidR="004C77F5">
        <w:rPr>
          <w:rFonts w:ascii="Times New Roman" w:hAnsi="Times New Roman" w:cs="Times New Roman"/>
          <w:sz w:val="24"/>
          <w:szCs w:val="24"/>
        </w:rPr>
        <w:t xml:space="preserve">are recognised. A </w:t>
      </w:r>
      <w:r w:rsidR="00E538FB">
        <w:rPr>
          <w:rFonts w:ascii="Times New Roman" w:hAnsi="Times New Roman" w:cs="Times New Roman"/>
          <w:sz w:val="24"/>
          <w:szCs w:val="24"/>
        </w:rPr>
        <w:t xml:space="preserve">researcher must </w:t>
      </w:r>
      <w:r w:rsidR="004C77F5">
        <w:rPr>
          <w:rFonts w:ascii="Times New Roman" w:hAnsi="Times New Roman" w:cs="Times New Roman"/>
          <w:sz w:val="24"/>
          <w:szCs w:val="24"/>
        </w:rPr>
        <w:t xml:space="preserve">first </w:t>
      </w:r>
      <w:r w:rsidR="00E538FB">
        <w:rPr>
          <w:rFonts w:ascii="Times New Roman" w:hAnsi="Times New Roman" w:cs="Times New Roman"/>
          <w:sz w:val="24"/>
          <w:szCs w:val="24"/>
        </w:rPr>
        <w:t xml:space="preserve">seek to appoint </w:t>
      </w:r>
      <w:r w:rsidR="00563AD5">
        <w:rPr>
          <w:rFonts w:ascii="Times New Roman" w:hAnsi="Times New Roman" w:cs="Times New Roman"/>
          <w:sz w:val="24"/>
          <w:szCs w:val="24"/>
        </w:rPr>
        <w:t>a ‘personal’ consultee</w:t>
      </w:r>
      <w:r w:rsidR="00130389">
        <w:rPr>
          <w:rFonts w:ascii="Times New Roman" w:hAnsi="Times New Roman" w:cs="Times New Roman"/>
          <w:sz w:val="24"/>
          <w:szCs w:val="24"/>
        </w:rPr>
        <w:t xml:space="preserve">, which is defined </w:t>
      </w:r>
      <w:r w:rsidR="00563AD5">
        <w:rPr>
          <w:rFonts w:ascii="Times New Roman" w:hAnsi="Times New Roman" w:cs="Times New Roman"/>
          <w:sz w:val="24"/>
          <w:szCs w:val="24"/>
        </w:rPr>
        <w:t xml:space="preserve">as a person who otherwise than in a professional capacity or for remuneration, is engaged in caring for the participant or </w:t>
      </w:r>
      <w:r w:rsidR="00E538FB">
        <w:rPr>
          <w:rFonts w:ascii="Times New Roman" w:hAnsi="Times New Roman" w:cs="Times New Roman"/>
          <w:sz w:val="24"/>
          <w:szCs w:val="24"/>
        </w:rPr>
        <w:t>is interested in her welfare.</w:t>
      </w:r>
      <w:r w:rsidR="00941EDF">
        <w:rPr>
          <w:rStyle w:val="FootnoteReference"/>
          <w:rFonts w:ascii="Times New Roman" w:hAnsi="Times New Roman" w:cs="Times New Roman"/>
          <w:sz w:val="24"/>
          <w:szCs w:val="24"/>
        </w:rPr>
        <w:footnoteReference w:id="113"/>
      </w:r>
      <w:r w:rsidR="00E538FB">
        <w:rPr>
          <w:rFonts w:ascii="Times New Roman" w:hAnsi="Times New Roman" w:cs="Times New Roman"/>
          <w:sz w:val="24"/>
          <w:szCs w:val="24"/>
        </w:rPr>
        <w:t xml:space="preserve"> If no such person can be identified, the researcher, in agreement with a MCA REC, must then appoint </w:t>
      </w:r>
      <w:r w:rsidR="004C77F5">
        <w:rPr>
          <w:rFonts w:ascii="Times New Roman" w:hAnsi="Times New Roman" w:cs="Times New Roman"/>
          <w:sz w:val="24"/>
          <w:szCs w:val="24"/>
        </w:rPr>
        <w:t xml:space="preserve">a ‘nominated’ consultee.  This is </w:t>
      </w:r>
      <w:r w:rsidR="00E538FB">
        <w:rPr>
          <w:rFonts w:ascii="Times New Roman" w:hAnsi="Times New Roman" w:cs="Times New Roman"/>
          <w:sz w:val="24"/>
          <w:szCs w:val="24"/>
        </w:rPr>
        <w:t>someone who has no connection with the</w:t>
      </w:r>
      <w:r w:rsidR="00130389">
        <w:rPr>
          <w:rFonts w:ascii="Times New Roman" w:hAnsi="Times New Roman" w:cs="Times New Roman"/>
          <w:sz w:val="24"/>
          <w:szCs w:val="24"/>
        </w:rPr>
        <w:t xml:space="preserve"> research</w:t>
      </w:r>
      <w:r w:rsidR="00E538FB">
        <w:rPr>
          <w:rFonts w:ascii="Times New Roman" w:hAnsi="Times New Roman" w:cs="Times New Roman"/>
          <w:sz w:val="24"/>
          <w:szCs w:val="24"/>
        </w:rPr>
        <w:t>, but who is</w:t>
      </w:r>
      <w:r w:rsidR="00130389">
        <w:rPr>
          <w:rFonts w:ascii="Times New Roman" w:hAnsi="Times New Roman" w:cs="Times New Roman"/>
          <w:sz w:val="24"/>
          <w:szCs w:val="24"/>
        </w:rPr>
        <w:t xml:space="preserve"> </w:t>
      </w:r>
      <w:r w:rsidR="00622FCF">
        <w:rPr>
          <w:rFonts w:ascii="Times New Roman" w:hAnsi="Times New Roman" w:cs="Times New Roman"/>
          <w:sz w:val="24"/>
          <w:szCs w:val="24"/>
        </w:rPr>
        <w:t xml:space="preserve">still </w:t>
      </w:r>
      <w:r w:rsidR="00130389">
        <w:rPr>
          <w:rFonts w:ascii="Times New Roman" w:hAnsi="Times New Roman" w:cs="Times New Roman"/>
          <w:sz w:val="24"/>
          <w:szCs w:val="24"/>
        </w:rPr>
        <w:t>prepared</w:t>
      </w:r>
      <w:r w:rsidR="00E538FB">
        <w:rPr>
          <w:rFonts w:ascii="Times New Roman" w:hAnsi="Times New Roman" w:cs="Times New Roman"/>
          <w:sz w:val="24"/>
          <w:szCs w:val="24"/>
        </w:rPr>
        <w:t xml:space="preserve"> to be </w:t>
      </w:r>
      <w:r w:rsidR="00130389">
        <w:rPr>
          <w:rFonts w:ascii="Times New Roman" w:hAnsi="Times New Roman" w:cs="Times New Roman"/>
          <w:sz w:val="24"/>
          <w:szCs w:val="24"/>
        </w:rPr>
        <w:t>consulted about the potential involvement of an incapacitated participant.</w:t>
      </w:r>
      <w:r w:rsidR="00941EDF">
        <w:rPr>
          <w:rStyle w:val="FootnoteReference"/>
          <w:rFonts w:ascii="Times New Roman" w:hAnsi="Times New Roman" w:cs="Times New Roman"/>
          <w:sz w:val="24"/>
          <w:szCs w:val="24"/>
        </w:rPr>
        <w:footnoteReference w:id="114"/>
      </w:r>
      <w:r w:rsidR="00130389">
        <w:rPr>
          <w:rFonts w:ascii="Times New Roman" w:hAnsi="Times New Roman" w:cs="Times New Roman"/>
          <w:sz w:val="24"/>
          <w:szCs w:val="24"/>
        </w:rPr>
        <w:t xml:space="preserve">  </w:t>
      </w:r>
      <w:r w:rsidR="00941EDF">
        <w:rPr>
          <w:rFonts w:ascii="Times New Roman" w:hAnsi="Times New Roman" w:cs="Times New Roman"/>
          <w:sz w:val="24"/>
          <w:szCs w:val="24"/>
        </w:rPr>
        <w:t xml:space="preserve">The rationale </w:t>
      </w:r>
      <w:r w:rsidR="00A14534">
        <w:rPr>
          <w:rFonts w:ascii="Times New Roman" w:hAnsi="Times New Roman" w:cs="Times New Roman"/>
          <w:sz w:val="24"/>
          <w:szCs w:val="24"/>
        </w:rPr>
        <w:t xml:space="preserve">behind this </w:t>
      </w:r>
      <w:r w:rsidR="004C77F5">
        <w:rPr>
          <w:rFonts w:ascii="Times New Roman" w:hAnsi="Times New Roman" w:cs="Times New Roman"/>
          <w:sz w:val="24"/>
          <w:szCs w:val="24"/>
        </w:rPr>
        <w:t xml:space="preserve">system </w:t>
      </w:r>
      <w:r w:rsidR="007F799D">
        <w:rPr>
          <w:rFonts w:ascii="Times New Roman" w:hAnsi="Times New Roman" w:cs="Times New Roman"/>
          <w:sz w:val="24"/>
          <w:szCs w:val="24"/>
        </w:rPr>
        <w:t>is to ensure that an incapacitated participant is rep</w:t>
      </w:r>
      <w:r w:rsidR="00D85DB5">
        <w:rPr>
          <w:rFonts w:ascii="Times New Roman" w:hAnsi="Times New Roman" w:cs="Times New Roman"/>
          <w:sz w:val="24"/>
          <w:szCs w:val="24"/>
        </w:rPr>
        <w:t>resented by a</w:t>
      </w:r>
      <w:r w:rsidR="004C77F5">
        <w:rPr>
          <w:rFonts w:ascii="Times New Roman" w:hAnsi="Times New Roman" w:cs="Times New Roman"/>
          <w:sz w:val="24"/>
          <w:szCs w:val="24"/>
        </w:rPr>
        <w:t xml:space="preserve">n independent </w:t>
      </w:r>
      <w:r w:rsidR="00D85DB5">
        <w:rPr>
          <w:rFonts w:ascii="Times New Roman" w:hAnsi="Times New Roman" w:cs="Times New Roman"/>
          <w:sz w:val="24"/>
          <w:szCs w:val="24"/>
        </w:rPr>
        <w:t>advocate</w:t>
      </w:r>
      <w:r w:rsidR="004C77F5">
        <w:rPr>
          <w:rFonts w:ascii="Times New Roman" w:hAnsi="Times New Roman" w:cs="Times New Roman"/>
          <w:sz w:val="24"/>
          <w:szCs w:val="24"/>
        </w:rPr>
        <w:t xml:space="preserve"> </w:t>
      </w:r>
      <w:r w:rsidR="00622FCF">
        <w:rPr>
          <w:rFonts w:ascii="Times New Roman" w:hAnsi="Times New Roman" w:cs="Times New Roman"/>
          <w:sz w:val="24"/>
          <w:szCs w:val="24"/>
        </w:rPr>
        <w:t xml:space="preserve">who has no </w:t>
      </w:r>
      <w:r w:rsidR="004C77F5">
        <w:rPr>
          <w:rFonts w:ascii="Times New Roman" w:hAnsi="Times New Roman" w:cs="Times New Roman"/>
          <w:sz w:val="24"/>
          <w:szCs w:val="24"/>
        </w:rPr>
        <w:t xml:space="preserve">vested interest in the research, and to maximise the potential for her subjective views and beliefs </w:t>
      </w:r>
      <w:r w:rsidR="00D85DB5">
        <w:rPr>
          <w:rFonts w:ascii="Times New Roman" w:hAnsi="Times New Roman" w:cs="Times New Roman"/>
          <w:sz w:val="24"/>
          <w:szCs w:val="24"/>
        </w:rPr>
        <w:t xml:space="preserve">to be heard </w:t>
      </w:r>
      <w:r w:rsidR="00856B1D">
        <w:rPr>
          <w:rFonts w:ascii="Times New Roman" w:hAnsi="Times New Roman" w:cs="Times New Roman"/>
          <w:sz w:val="24"/>
          <w:szCs w:val="24"/>
        </w:rPr>
        <w:t xml:space="preserve">and respected </w:t>
      </w:r>
      <w:r w:rsidR="00985723">
        <w:rPr>
          <w:rFonts w:ascii="Times New Roman" w:hAnsi="Times New Roman" w:cs="Times New Roman"/>
          <w:sz w:val="24"/>
          <w:szCs w:val="24"/>
        </w:rPr>
        <w:t>in decisions about research. This is th</w:t>
      </w:r>
      <w:r w:rsidR="00FA3C5B">
        <w:rPr>
          <w:rFonts w:ascii="Times New Roman" w:hAnsi="Times New Roman" w:cs="Times New Roman"/>
          <w:sz w:val="24"/>
          <w:szCs w:val="24"/>
        </w:rPr>
        <w:t xml:space="preserve">e </w:t>
      </w:r>
      <w:r w:rsidR="00C835E1">
        <w:rPr>
          <w:rFonts w:ascii="Times New Roman" w:hAnsi="Times New Roman" w:cs="Times New Roman"/>
          <w:sz w:val="24"/>
          <w:szCs w:val="24"/>
        </w:rPr>
        <w:t xml:space="preserve">archetypal </w:t>
      </w:r>
      <w:r w:rsidR="00FA3C5B">
        <w:rPr>
          <w:rFonts w:ascii="Times New Roman" w:hAnsi="Times New Roman" w:cs="Times New Roman"/>
          <w:sz w:val="24"/>
          <w:szCs w:val="24"/>
        </w:rPr>
        <w:t>example of the MCA see</w:t>
      </w:r>
      <w:r w:rsidR="00B05685">
        <w:rPr>
          <w:rFonts w:ascii="Times New Roman" w:hAnsi="Times New Roman" w:cs="Times New Roman"/>
          <w:sz w:val="24"/>
          <w:szCs w:val="24"/>
        </w:rPr>
        <w:t>k</w:t>
      </w:r>
      <w:r w:rsidR="00FA3C5B">
        <w:rPr>
          <w:rFonts w:ascii="Times New Roman" w:hAnsi="Times New Roman" w:cs="Times New Roman"/>
          <w:sz w:val="24"/>
          <w:szCs w:val="24"/>
        </w:rPr>
        <w:t>ing to balance out the aims of protection and empowerment, but whether or not the consultee requirement serves either purpose effectively is open to question.</w:t>
      </w:r>
    </w:p>
    <w:p w14:paraId="0F0B5B7A" w14:textId="0A2E1B7A" w:rsidR="00C660EB" w:rsidRDefault="00A9083E" w:rsidP="002B74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3EF3">
        <w:rPr>
          <w:rFonts w:ascii="Times New Roman" w:hAnsi="Times New Roman" w:cs="Times New Roman"/>
          <w:sz w:val="24"/>
          <w:szCs w:val="24"/>
        </w:rPr>
        <w:t>First, t</w:t>
      </w:r>
      <w:r w:rsidR="00BF5857">
        <w:rPr>
          <w:rFonts w:ascii="Times New Roman" w:hAnsi="Times New Roman" w:cs="Times New Roman"/>
          <w:sz w:val="24"/>
          <w:szCs w:val="24"/>
        </w:rPr>
        <w:t xml:space="preserve">here are some </w:t>
      </w:r>
      <w:r>
        <w:rPr>
          <w:rFonts w:ascii="Times New Roman" w:hAnsi="Times New Roman" w:cs="Times New Roman"/>
          <w:sz w:val="24"/>
          <w:szCs w:val="24"/>
        </w:rPr>
        <w:t xml:space="preserve">pragmatic </w:t>
      </w:r>
      <w:r w:rsidR="00941EDF">
        <w:rPr>
          <w:rFonts w:ascii="Times New Roman" w:hAnsi="Times New Roman" w:cs="Times New Roman"/>
          <w:sz w:val="24"/>
          <w:szCs w:val="24"/>
        </w:rPr>
        <w:t>difficulties</w:t>
      </w:r>
      <w:r w:rsidR="00AA3EF3">
        <w:rPr>
          <w:rFonts w:ascii="Times New Roman" w:hAnsi="Times New Roman" w:cs="Times New Roman"/>
          <w:sz w:val="24"/>
          <w:szCs w:val="24"/>
        </w:rPr>
        <w:t xml:space="preserve">.  The system </w:t>
      </w:r>
      <w:r>
        <w:rPr>
          <w:rFonts w:ascii="Times New Roman" w:hAnsi="Times New Roman" w:cs="Times New Roman"/>
          <w:sz w:val="24"/>
          <w:szCs w:val="24"/>
        </w:rPr>
        <w:t xml:space="preserve">begins by placing an obligation on </w:t>
      </w:r>
      <w:r w:rsidR="00856B1D">
        <w:rPr>
          <w:rFonts w:ascii="Times New Roman" w:hAnsi="Times New Roman" w:cs="Times New Roman"/>
          <w:sz w:val="24"/>
          <w:szCs w:val="24"/>
        </w:rPr>
        <w:t xml:space="preserve">a </w:t>
      </w:r>
      <w:r>
        <w:rPr>
          <w:rFonts w:ascii="Times New Roman" w:hAnsi="Times New Roman" w:cs="Times New Roman"/>
          <w:sz w:val="24"/>
          <w:szCs w:val="24"/>
        </w:rPr>
        <w:t xml:space="preserve">researcher to find an appropriate person who has some type of pre-existing personal relationship </w:t>
      </w:r>
      <w:r w:rsidR="00BF5857">
        <w:rPr>
          <w:rFonts w:ascii="Times New Roman" w:hAnsi="Times New Roman" w:cs="Times New Roman"/>
          <w:sz w:val="24"/>
          <w:szCs w:val="24"/>
        </w:rPr>
        <w:t>with a potential participant.  Depending on the circumstances, it</w:t>
      </w:r>
      <w:r w:rsidR="00856B1D">
        <w:rPr>
          <w:rFonts w:ascii="Times New Roman" w:hAnsi="Times New Roman" w:cs="Times New Roman"/>
          <w:sz w:val="24"/>
          <w:szCs w:val="24"/>
        </w:rPr>
        <w:t xml:space="preserve"> may actually be very difficult </w:t>
      </w:r>
      <w:r w:rsidR="00BF5857">
        <w:rPr>
          <w:rFonts w:ascii="Times New Roman" w:hAnsi="Times New Roman" w:cs="Times New Roman"/>
          <w:sz w:val="24"/>
          <w:szCs w:val="24"/>
        </w:rPr>
        <w:t>to locate</w:t>
      </w:r>
      <w:r w:rsidR="004C77F5">
        <w:rPr>
          <w:rFonts w:ascii="Times New Roman" w:hAnsi="Times New Roman" w:cs="Times New Roman"/>
          <w:sz w:val="24"/>
          <w:szCs w:val="24"/>
        </w:rPr>
        <w:t xml:space="preserve"> such an individual</w:t>
      </w:r>
      <w:r w:rsidR="00856B1D">
        <w:rPr>
          <w:rFonts w:ascii="Times New Roman" w:hAnsi="Times New Roman" w:cs="Times New Roman"/>
          <w:sz w:val="24"/>
          <w:szCs w:val="24"/>
        </w:rPr>
        <w:t xml:space="preserve">. The extent of a researcher’s </w:t>
      </w:r>
      <w:r w:rsidR="00BF5857">
        <w:rPr>
          <w:rFonts w:ascii="Times New Roman" w:hAnsi="Times New Roman" w:cs="Times New Roman"/>
          <w:sz w:val="24"/>
          <w:szCs w:val="24"/>
        </w:rPr>
        <w:t>duty is to ‘take reasonable steps’ to loca</w:t>
      </w:r>
      <w:r w:rsidR="00AB0B24">
        <w:rPr>
          <w:rFonts w:ascii="Times New Roman" w:hAnsi="Times New Roman" w:cs="Times New Roman"/>
          <w:sz w:val="24"/>
          <w:szCs w:val="24"/>
        </w:rPr>
        <w:t xml:space="preserve">te a personal consultee, but this is </w:t>
      </w:r>
      <w:r w:rsidR="00BF5857">
        <w:rPr>
          <w:rFonts w:ascii="Times New Roman" w:hAnsi="Times New Roman" w:cs="Times New Roman"/>
          <w:sz w:val="24"/>
          <w:szCs w:val="24"/>
        </w:rPr>
        <w:t>ambig</w:t>
      </w:r>
      <w:r w:rsidR="00856B1D">
        <w:rPr>
          <w:rFonts w:ascii="Times New Roman" w:hAnsi="Times New Roman" w:cs="Times New Roman"/>
          <w:sz w:val="24"/>
          <w:szCs w:val="24"/>
        </w:rPr>
        <w:t>uous.</w:t>
      </w:r>
      <w:r w:rsidR="00AB0B24">
        <w:rPr>
          <w:rStyle w:val="FootnoteReference"/>
          <w:rFonts w:ascii="Times New Roman" w:hAnsi="Times New Roman" w:cs="Times New Roman"/>
          <w:sz w:val="24"/>
          <w:szCs w:val="24"/>
        </w:rPr>
        <w:footnoteReference w:id="115"/>
      </w:r>
      <w:r w:rsidR="00D205F5">
        <w:rPr>
          <w:rFonts w:ascii="Times New Roman" w:hAnsi="Times New Roman" w:cs="Times New Roman"/>
          <w:sz w:val="24"/>
          <w:szCs w:val="24"/>
        </w:rPr>
        <w:t xml:space="preserve"> One advantage is that </w:t>
      </w:r>
      <w:r w:rsidR="00941EDF">
        <w:rPr>
          <w:rFonts w:ascii="Times New Roman" w:hAnsi="Times New Roman" w:cs="Times New Roman"/>
          <w:sz w:val="24"/>
          <w:szCs w:val="24"/>
        </w:rPr>
        <w:t xml:space="preserve">it </w:t>
      </w:r>
      <w:r w:rsidR="00BF5857">
        <w:rPr>
          <w:rFonts w:ascii="Times New Roman" w:hAnsi="Times New Roman" w:cs="Times New Roman"/>
          <w:sz w:val="24"/>
          <w:szCs w:val="24"/>
        </w:rPr>
        <w:t xml:space="preserve">provides a degree of flexibility, so that where any proposed research is </w:t>
      </w:r>
      <w:r w:rsidR="00177EE1">
        <w:rPr>
          <w:rFonts w:ascii="Times New Roman" w:hAnsi="Times New Roman" w:cs="Times New Roman"/>
          <w:sz w:val="24"/>
          <w:szCs w:val="24"/>
        </w:rPr>
        <w:t xml:space="preserve">scheduled </w:t>
      </w:r>
      <w:r w:rsidR="00F84375">
        <w:rPr>
          <w:rFonts w:ascii="Times New Roman" w:hAnsi="Times New Roman" w:cs="Times New Roman"/>
          <w:sz w:val="24"/>
          <w:szCs w:val="24"/>
        </w:rPr>
        <w:t>t</w:t>
      </w:r>
      <w:r w:rsidR="00856B1D">
        <w:rPr>
          <w:rFonts w:ascii="Times New Roman" w:hAnsi="Times New Roman" w:cs="Times New Roman"/>
          <w:sz w:val="24"/>
          <w:szCs w:val="24"/>
        </w:rPr>
        <w:t xml:space="preserve">o take place </w:t>
      </w:r>
      <w:r w:rsidR="00F84375">
        <w:rPr>
          <w:rFonts w:ascii="Times New Roman" w:hAnsi="Times New Roman" w:cs="Times New Roman"/>
          <w:sz w:val="24"/>
          <w:szCs w:val="24"/>
        </w:rPr>
        <w:t>in</w:t>
      </w:r>
      <w:r w:rsidR="00856B1D">
        <w:rPr>
          <w:rFonts w:ascii="Times New Roman" w:hAnsi="Times New Roman" w:cs="Times New Roman"/>
          <w:sz w:val="24"/>
          <w:szCs w:val="24"/>
        </w:rPr>
        <w:t xml:space="preserve">, say, </w:t>
      </w:r>
      <w:r w:rsidR="00BF5857">
        <w:rPr>
          <w:rFonts w:ascii="Times New Roman" w:hAnsi="Times New Roman" w:cs="Times New Roman"/>
          <w:sz w:val="24"/>
          <w:szCs w:val="24"/>
        </w:rPr>
        <w:t>Norwich, it may be deemed unreasonable to impose on a researcher an obligation to make extensive efforts to contact a participant’s distant relative in a remote part of Australia</w:t>
      </w:r>
      <w:r w:rsidR="00D205F5">
        <w:rPr>
          <w:rFonts w:ascii="Times New Roman" w:hAnsi="Times New Roman" w:cs="Times New Roman"/>
          <w:sz w:val="24"/>
          <w:szCs w:val="24"/>
        </w:rPr>
        <w:t xml:space="preserve">. The drawback is that </w:t>
      </w:r>
      <w:r w:rsidR="004C77F5">
        <w:rPr>
          <w:rFonts w:ascii="Times New Roman" w:hAnsi="Times New Roman" w:cs="Times New Roman"/>
          <w:sz w:val="24"/>
          <w:szCs w:val="24"/>
        </w:rPr>
        <w:t xml:space="preserve">determining what may amount </w:t>
      </w:r>
      <w:r w:rsidR="00177EE1">
        <w:rPr>
          <w:rFonts w:ascii="Times New Roman" w:hAnsi="Times New Roman" w:cs="Times New Roman"/>
          <w:sz w:val="24"/>
          <w:szCs w:val="24"/>
        </w:rPr>
        <w:t>to taking reasonable steps</w:t>
      </w:r>
      <w:r w:rsidR="004C77F5">
        <w:rPr>
          <w:rFonts w:ascii="Times New Roman" w:hAnsi="Times New Roman" w:cs="Times New Roman"/>
          <w:sz w:val="24"/>
          <w:szCs w:val="24"/>
        </w:rPr>
        <w:t xml:space="preserve"> is open to interpretation</w:t>
      </w:r>
      <w:r w:rsidR="00177EE1">
        <w:rPr>
          <w:rFonts w:ascii="Times New Roman" w:hAnsi="Times New Roman" w:cs="Times New Roman"/>
          <w:sz w:val="24"/>
          <w:szCs w:val="24"/>
        </w:rPr>
        <w:t>.</w:t>
      </w:r>
      <w:r w:rsidR="00AB0B24">
        <w:rPr>
          <w:rFonts w:ascii="Times New Roman" w:hAnsi="Times New Roman" w:cs="Times New Roman"/>
          <w:sz w:val="24"/>
          <w:szCs w:val="24"/>
        </w:rPr>
        <w:t xml:space="preserve">  The</w:t>
      </w:r>
      <w:r w:rsidR="00941EDF">
        <w:rPr>
          <w:rFonts w:ascii="Times New Roman" w:hAnsi="Times New Roman" w:cs="Times New Roman"/>
          <w:sz w:val="24"/>
          <w:szCs w:val="24"/>
        </w:rPr>
        <w:t xml:space="preserve"> question will be scrutinised by </w:t>
      </w:r>
      <w:r w:rsidR="00177EE1">
        <w:rPr>
          <w:rFonts w:ascii="Times New Roman" w:hAnsi="Times New Roman" w:cs="Times New Roman"/>
          <w:sz w:val="24"/>
          <w:szCs w:val="24"/>
        </w:rPr>
        <w:t xml:space="preserve">a MCA REC, </w:t>
      </w:r>
      <w:r w:rsidR="001B32FD">
        <w:rPr>
          <w:rFonts w:ascii="Times New Roman" w:hAnsi="Times New Roman" w:cs="Times New Roman"/>
          <w:sz w:val="24"/>
          <w:szCs w:val="24"/>
        </w:rPr>
        <w:t xml:space="preserve">so </w:t>
      </w:r>
      <w:r w:rsidR="00177EE1">
        <w:rPr>
          <w:rFonts w:ascii="Times New Roman" w:hAnsi="Times New Roman" w:cs="Times New Roman"/>
          <w:sz w:val="24"/>
          <w:szCs w:val="24"/>
        </w:rPr>
        <w:t>the potential for differing interpretations across the spectrum m</w:t>
      </w:r>
      <w:r w:rsidR="00856B1D">
        <w:rPr>
          <w:rFonts w:ascii="Times New Roman" w:hAnsi="Times New Roman" w:cs="Times New Roman"/>
          <w:sz w:val="24"/>
          <w:szCs w:val="24"/>
        </w:rPr>
        <w:t xml:space="preserve">ay add to increased anxiety </w:t>
      </w:r>
      <w:r w:rsidR="00177EE1">
        <w:rPr>
          <w:rFonts w:ascii="Times New Roman" w:hAnsi="Times New Roman" w:cs="Times New Roman"/>
          <w:sz w:val="24"/>
          <w:szCs w:val="24"/>
        </w:rPr>
        <w:t>among researchers.</w:t>
      </w:r>
      <w:r w:rsidR="00FD4760">
        <w:rPr>
          <w:rFonts w:ascii="Times New Roman" w:hAnsi="Times New Roman" w:cs="Times New Roman"/>
          <w:sz w:val="24"/>
          <w:szCs w:val="24"/>
        </w:rPr>
        <w:t xml:space="preserve">  </w:t>
      </w:r>
      <w:r w:rsidR="00856B1D">
        <w:rPr>
          <w:rFonts w:ascii="Times New Roman" w:hAnsi="Times New Roman" w:cs="Times New Roman"/>
          <w:sz w:val="24"/>
          <w:szCs w:val="24"/>
        </w:rPr>
        <w:t xml:space="preserve">An even </w:t>
      </w:r>
      <w:r w:rsidR="00856B1D">
        <w:rPr>
          <w:rFonts w:ascii="Times New Roman" w:hAnsi="Times New Roman" w:cs="Times New Roman"/>
          <w:sz w:val="24"/>
          <w:szCs w:val="24"/>
        </w:rPr>
        <w:lastRenderedPageBreak/>
        <w:t xml:space="preserve">greater predicament unfolds </w:t>
      </w:r>
      <w:r w:rsidR="00FD4760">
        <w:rPr>
          <w:rFonts w:ascii="Times New Roman" w:hAnsi="Times New Roman" w:cs="Times New Roman"/>
          <w:sz w:val="24"/>
          <w:szCs w:val="24"/>
        </w:rPr>
        <w:t xml:space="preserve">where it is not possible to identify </w:t>
      </w:r>
      <w:r w:rsidR="00F84375">
        <w:rPr>
          <w:rFonts w:ascii="Times New Roman" w:hAnsi="Times New Roman" w:cs="Times New Roman"/>
          <w:sz w:val="24"/>
          <w:szCs w:val="24"/>
        </w:rPr>
        <w:t xml:space="preserve">a personal consultee.  </w:t>
      </w:r>
      <w:r w:rsidR="00856B1D">
        <w:rPr>
          <w:rFonts w:ascii="Times New Roman" w:hAnsi="Times New Roman" w:cs="Times New Roman"/>
          <w:sz w:val="24"/>
          <w:szCs w:val="24"/>
        </w:rPr>
        <w:t xml:space="preserve">A researcher </w:t>
      </w:r>
      <w:r w:rsidR="00F84375">
        <w:rPr>
          <w:rFonts w:ascii="Times New Roman" w:hAnsi="Times New Roman" w:cs="Times New Roman"/>
          <w:sz w:val="24"/>
          <w:szCs w:val="24"/>
        </w:rPr>
        <w:t xml:space="preserve">must then </w:t>
      </w:r>
      <w:r w:rsidR="00FD4760">
        <w:rPr>
          <w:rFonts w:ascii="Times New Roman" w:hAnsi="Times New Roman" w:cs="Times New Roman"/>
          <w:sz w:val="24"/>
          <w:szCs w:val="24"/>
        </w:rPr>
        <w:t xml:space="preserve">clearly address any </w:t>
      </w:r>
      <w:r w:rsidR="001B32FD">
        <w:rPr>
          <w:rFonts w:ascii="Times New Roman" w:hAnsi="Times New Roman" w:cs="Times New Roman"/>
          <w:sz w:val="24"/>
          <w:szCs w:val="24"/>
        </w:rPr>
        <w:t>arrangements</w:t>
      </w:r>
      <w:r w:rsidR="00FD4760">
        <w:rPr>
          <w:rFonts w:ascii="Times New Roman" w:hAnsi="Times New Roman" w:cs="Times New Roman"/>
          <w:sz w:val="24"/>
          <w:szCs w:val="24"/>
        </w:rPr>
        <w:t xml:space="preserve"> for appointing a nominate</w:t>
      </w:r>
      <w:r w:rsidR="00F84375">
        <w:rPr>
          <w:rFonts w:ascii="Times New Roman" w:hAnsi="Times New Roman" w:cs="Times New Roman"/>
          <w:sz w:val="24"/>
          <w:szCs w:val="24"/>
        </w:rPr>
        <w:t>d</w:t>
      </w:r>
      <w:r w:rsidR="00FD4760">
        <w:rPr>
          <w:rFonts w:ascii="Times New Roman" w:hAnsi="Times New Roman" w:cs="Times New Roman"/>
          <w:sz w:val="24"/>
          <w:szCs w:val="24"/>
        </w:rPr>
        <w:t xml:space="preserve"> consultee when seeking approval</w:t>
      </w:r>
      <w:r w:rsidR="001B32FD">
        <w:rPr>
          <w:rFonts w:ascii="Times New Roman" w:hAnsi="Times New Roman" w:cs="Times New Roman"/>
          <w:sz w:val="24"/>
          <w:szCs w:val="24"/>
        </w:rPr>
        <w:t xml:space="preserve"> from a MCA REC.</w:t>
      </w:r>
      <w:r w:rsidR="00AB0B24">
        <w:rPr>
          <w:rStyle w:val="FootnoteReference"/>
          <w:rFonts w:ascii="Times New Roman" w:hAnsi="Times New Roman" w:cs="Times New Roman"/>
          <w:sz w:val="24"/>
          <w:szCs w:val="24"/>
        </w:rPr>
        <w:footnoteReference w:id="116"/>
      </w:r>
      <w:r w:rsidR="001B32FD">
        <w:rPr>
          <w:rFonts w:ascii="Times New Roman" w:hAnsi="Times New Roman" w:cs="Times New Roman"/>
          <w:sz w:val="24"/>
          <w:szCs w:val="24"/>
        </w:rPr>
        <w:t xml:space="preserve">  This enables the latter to </w:t>
      </w:r>
      <w:r w:rsidR="00FD4760">
        <w:rPr>
          <w:rFonts w:ascii="Times New Roman" w:hAnsi="Times New Roman" w:cs="Times New Roman"/>
          <w:sz w:val="24"/>
          <w:szCs w:val="24"/>
        </w:rPr>
        <w:t>assess whether or not there is a convincing reason for not appointi</w:t>
      </w:r>
      <w:r w:rsidR="001B32FD">
        <w:rPr>
          <w:rFonts w:ascii="Times New Roman" w:hAnsi="Times New Roman" w:cs="Times New Roman"/>
          <w:sz w:val="24"/>
          <w:szCs w:val="24"/>
        </w:rPr>
        <w:t>ng a personal consultee</w:t>
      </w:r>
      <w:r w:rsidR="0057793B">
        <w:rPr>
          <w:rFonts w:ascii="Times New Roman" w:hAnsi="Times New Roman" w:cs="Times New Roman"/>
          <w:sz w:val="24"/>
          <w:szCs w:val="24"/>
        </w:rPr>
        <w:t xml:space="preserve">, </w:t>
      </w:r>
      <w:r w:rsidR="001B32FD">
        <w:rPr>
          <w:rFonts w:ascii="Times New Roman" w:hAnsi="Times New Roman" w:cs="Times New Roman"/>
          <w:sz w:val="24"/>
          <w:szCs w:val="24"/>
        </w:rPr>
        <w:t xml:space="preserve">and for it </w:t>
      </w:r>
      <w:r w:rsidR="00FD4760">
        <w:rPr>
          <w:rFonts w:ascii="Times New Roman" w:hAnsi="Times New Roman" w:cs="Times New Roman"/>
          <w:sz w:val="24"/>
          <w:szCs w:val="24"/>
        </w:rPr>
        <w:t xml:space="preserve">to advise on the suitability of </w:t>
      </w:r>
      <w:r w:rsidR="0057793B">
        <w:rPr>
          <w:rFonts w:ascii="Times New Roman" w:hAnsi="Times New Roman" w:cs="Times New Roman"/>
          <w:sz w:val="24"/>
          <w:szCs w:val="24"/>
        </w:rPr>
        <w:t xml:space="preserve">the arrangements that have been installed </w:t>
      </w:r>
      <w:r w:rsidR="00FD4760">
        <w:rPr>
          <w:rFonts w:ascii="Times New Roman" w:hAnsi="Times New Roman" w:cs="Times New Roman"/>
          <w:sz w:val="24"/>
          <w:szCs w:val="24"/>
        </w:rPr>
        <w:t xml:space="preserve">for </w:t>
      </w:r>
      <w:r w:rsidR="001B32FD">
        <w:rPr>
          <w:rFonts w:ascii="Times New Roman" w:hAnsi="Times New Roman" w:cs="Times New Roman"/>
          <w:sz w:val="24"/>
          <w:szCs w:val="24"/>
        </w:rPr>
        <w:t xml:space="preserve">appointing a nominated consultee.  A MCA REC may recommend a person who could </w:t>
      </w:r>
      <w:r w:rsidR="00D205F5">
        <w:rPr>
          <w:rFonts w:ascii="Times New Roman" w:hAnsi="Times New Roman" w:cs="Times New Roman"/>
          <w:sz w:val="24"/>
          <w:szCs w:val="24"/>
        </w:rPr>
        <w:t xml:space="preserve">suitably </w:t>
      </w:r>
      <w:r w:rsidR="001B32FD">
        <w:rPr>
          <w:rFonts w:ascii="Times New Roman" w:hAnsi="Times New Roman" w:cs="Times New Roman"/>
          <w:sz w:val="24"/>
          <w:szCs w:val="24"/>
        </w:rPr>
        <w:t xml:space="preserve">act in this </w:t>
      </w:r>
      <w:r w:rsidR="00D816D8">
        <w:rPr>
          <w:rFonts w:ascii="Times New Roman" w:hAnsi="Times New Roman" w:cs="Times New Roman"/>
          <w:sz w:val="24"/>
          <w:szCs w:val="24"/>
        </w:rPr>
        <w:t xml:space="preserve">capacity, and in some instances </w:t>
      </w:r>
      <w:r w:rsidR="001B32FD">
        <w:rPr>
          <w:rFonts w:ascii="Times New Roman" w:hAnsi="Times New Roman" w:cs="Times New Roman"/>
          <w:sz w:val="24"/>
          <w:szCs w:val="24"/>
        </w:rPr>
        <w:t xml:space="preserve">direction </w:t>
      </w:r>
      <w:r w:rsidR="004C77F5">
        <w:rPr>
          <w:rFonts w:ascii="Times New Roman" w:hAnsi="Times New Roman" w:cs="Times New Roman"/>
          <w:sz w:val="24"/>
          <w:szCs w:val="24"/>
        </w:rPr>
        <w:t xml:space="preserve">on this question may be helpful, yet </w:t>
      </w:r>
      <w:r w:rsidR="001B32FD">
        <w:rPr>
          <w:rFonts w:ascii="Times New Roman" w:hAnsi="Times New Roman" w:cs="Times New Roman"/>
          <w:sz w:val="24"/>
          <w:szCs w:val="24"/>
        </w:rPr>
        <w:t xml:space="preserve">any </w:t>
      </w:r>
      <w:r w:rsidR="00D205F5">
        <w:rPr>
          <w:rFonts w:ascii="Times New Roman" w:hAnsi="Times New Roman" w:cs="Times New Roman"/>
          <w:sz w:val="24"/>
          <w:szCs w:val="24"/>
        </w:rPr>
        <w:t xml:space="preserve">guidance may still not remedy the </w:t>
      </w:r>
      <w:r w:rsidR="0057793B">
        <w:rPr>
          <w:rFonts w:ascii="Times New Roman" w:hAnsi="Times New Roman" w:cs="Times New Roman"/>
          <w:sz w:val="24"/>
          <w:szCs w:val="24"/>
        </w:rPr>
        <w:t xml:space="preserve">array of </w:t>
      </w:r>
      <w:r w:rsidR="001B32FD">
        <w:rPr>
          <w:rFonts w:ascii="Times New Roman" w:hAnsi="Times New Roman" w:cs="Times New Roman"/>
          <w:sz w:val="24"/>
          <w:szCs w:val="24"/>
        </w:rPr>
        <w:t>problem</w:t>
      </w:r>
      <w:r w:rsidR="00D205F5">
        <w:rPr>
          <w:rFonts w:ascii="Times New Roman" w:hAnsi="Times New Roman" w:cs="Times New Roman"/>
          <w:sz w:val="24"/>
          <w:szCs w:val="24"/>
        </w:rPr>
        <w:t>s</w:t>
      </w:r>
      <w:r w:rsidR="0057793B">
        <w:rPr>
          <w:rFonts w:ascii="Times New Roman" w:hAnsi="Times New Roman" w:cs="Times New Roman"/>
          <w:sz w:val="24"/>
          <w:szCs w:val="24"/>
        </w:rPr>
        <w:t xml:space="preserve"> connected </w:t>
      </w:r>
      <w:r w:rsidR="001B32FD">
        <w:rPr>
          <w:rFonts w:ascii="Times New Roman" w:hAnsi="Times New Roman" w:cs="Times New Roman"/>
          <w:sz w:val="24"/>
          <w:szCs w:val="24"/>
        </w:rPr>
        <w:t xml:space="preserve">with the notion of a nominated consultee. </w:t>
      </w:r>
    </w:p>
    <w:p w14:paraId="41C12219" w14:textId="72B506BC" w:rsidR="00FD4760" w:rsidRDefault="00C660EB" w:rsidP="002B74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B32FD">
        <w:rPr>
          <w:rFonts w:ascii="Times New Roman" w:hAnsi="Times New Roman" w:cs="Times New Roman"/>
          <w:sz w:val="24"/>
          <w:szCs w:val="24"/>
        </w:rPr>
        <w:t>Not</w:t>
      </w:r>
      <w:r w:rsidR="004C77F5">
        <w:rPr>
          <w:rFonts w:ascii="Times New Roman" w:hAnsi="Times New Roman" w:cs="Times New Roman"/>
          <w:sz w:val="24"/>
          <w:szCs w:val="24"/>
        </w:rPr>
        <w:t xml:space="preserve"> infrequently, a researcher may have to approach a nominated consultee </w:t>
      </w:r>
      <w:r w:rsidR="001B32FD">
        <w:rPr>
          <w:rFonts w:ascii="Times New Roman" w:hAnsi="Times New Roman" w:cs="Times New Roman"/>
          <w:sz w:val="24"/>
          <w:szCs w:val="24"/>
        </w:rPr>
        <w:t>who is involved in providing pro</w:t>
      </w:r>
      <w:r w:rsidR="004C77F5">
        <w:rPr>
          <w:rFonts w:ascii="Times New Roman" w:hAnsi="Times New Roman" w:cs="Times New Roman"/>
          <w:sz w:val="24"/>
          <w:szCs w:val="24"/>
        </w:rPr>
        <w:t xml:space="preserve">fessional care or support for a </w:t>
      </w:r>
      <w:r w:rsidR="001B32FD">
        <w:rPr>
          <w:rFonts w:ascii="Times New Roman" w:hAnsi="Times New Roman" w:cs="Times New Roman"/>
          <w:sz w:val="24"/>
          <w:szCs w:val="24"/>
        </w:rPr>
        <w:t>potential research participant.</w:t>
      </w:r>
      <w:r w:rsidR="00AB0B24">
        <w:rPr>
          <w:rStyle w:val="FootnoteReference"/>
          <w:rFonts w:ascii="Times New Roman" w:hAnsi="Times New Roman" w:cs="Times New Roman"/>
          <w:sz w:val="24"/>
          <w:szCs w:val="24"/>
        </w:rPr>
        <w:footnoteReference w:id="117"/>
      </w:r>
      <w:r w:rsidR="001B32FD">
        <w:rPr>
          <w:rFonts w:ascii="Times New Roman" w:hAnsi="Times New Roman" w:cs="Times New Roman"/>
          <w:sz w:val="24"/>
          <w:szCs w:val="24"/>
        </w:rPr>
        <w:t xml:space="preserve"> Provide</w:t>
      </w:r>
      <w:r w:rsidR="00F84375">
        <w:rPr>
          <w:rFonts w:ascii="Times New Roman" w:hAnsi="Times New Roman" w:cs="Times New Roman"/>
          <w:sz w:val="24"/>
          <w:szCs w:val="24"/>
        </w:rPr>
        <w:t>d they are not connected to the</w:t>
      </w:r>
      <w:r w:rsidR="001B32FD">
        <w:rPr>
          <w:rFonts w:ascii="Times New Roman" w:hAnsi="Times New Roman" w:cs="Times New Roman"/>
          <w:sz w:val="24"/>
          <w:szCs w:val="24"/>
        </w:rPr>
        <w:t xml:space="preserve"> project, this is permissible, but the problem is that a researcher is reliant on the good will of that professional person</w:t>
      </w:r>
      <w:r w:rsidR="00D4615D">
        <w:rPr>
          <w:rFonts w:ascii="Times New Roman" w:hAnsi="Times New Roman" w:cs="Times New Roman"/>
          <w:sz w:val="24"/>
          <w:szCs w:val="24"/>
        </w:rPr>
        <w:t>.</w:t>
      </w:r>
      <w:r w:rsidR="00A134B7">
        <w:rPr>
          <w:rStyle w:val="FootnoteReference"/>
          <w:rFonts w:ascii="Times New Roman" w:hAnsi="Times New Roman" w:cs="Times New Roman"/>
          <w:sz w:val="24"/>
          <w:szCs w:val="24"/>
        </w:rPr>
        <w:footnoteReference w:id="118"/>
      </w:r>
      <w:r w:rsidR="00D4615D">
        <w:rPr>
          <w:rFonts w:ascii="Times New Roman" w:hAnsi="Times New Roman" w:cs="Times New Roman"/>
          <w:sz w:val="24"/>
          <w:szCs w:val="24"/>
        </w:rPr>
        <w:t xml:space="preserve"> Professional people, whatever their discipline</w:t>
      </w:r>
      <w:r w:rsidR="00CF0058">
        <w:rPr>
          <w:rFonts w:ascii="Times New Roman" w:hAnsi="Times New Roman" w:cs="Times New Roman"/>
          <w:sz w:val="24"/>
          <w:szCs w:val="24"/>
        </w:rPr>
        <w:t xml:space="preserve">, </w:t>
      </w:r>
      <w:r w:rsidR="00F84375">
        <w:rPr>
          <w:rFonts w:ascii="Times New Roman" w:hAnsi="Times New Roman" w:cs="Times New Roman"/>
          <w:sz w:val="24"/>
          <w:szCs w:val="24"/>
        </w:rPr>
        <w:t xml:space="preserve">will often </w:t>
      </w:r>
      <w:r w:rsidR="00D4615D">
        <w:rPr>
          <w:rFonts w:ascii="Times New Roman" w:hAnsi="Times New Roman" w:cs="Times New Roman"/>
          <w:sz w:val="24"/>
          <w:szCs w:val="24"/>
        </w:rPr>
        <w:t>not have the time to devote to acting as a consultee for an incapacitated participant whose circumstances they may not be hugely familiar with.</w:t>
      </w:r>
      <w:r w:rsidR="00856B1D">
        <w:rPr>
          <w:rFonts w:ascii="Times New Roman" w:hAnsi="Times New Roman" w:cs="Times New Roman"/>
          <w:sz w:val="24"/>
          <w:szCs w:val="24"/>
        </w:rPr>
        <w:t xml:space="preserve">  A</w:t>
      </w:r>
      <w:r w:rsidR="00333B30">
        <w:rPr>
          <w:rFonts w:ascii="Times New Roman" w:hAnsi="Times New Roman" w:cs="Times New Roman"/>
          <w:sz w:val="24"/>
          <w:szCs w:val="24"/>
        </w:rPr>
        <w:t xml:space="preserve"> </w:t>
      </w:r>
      <w:r w:rsidR="00BC433B">
        <w:rPr>
          <w:rFonts w:ascii="Times New Roman" w:hAnsi="Times New Roman" w:cs="Times New Roman"/>
          <w:sz w:val="24"/>
          <w:szCs w:val="24"/>
        </w:rPr>
        <w:t xml:space="preserve">number of potential candidates </w:t>
      </w:r>
      <w:r w:rsidR="00D27505">
        <w:rPr>
          <w:rFonts w:ascii="Times New Roman" w:hAnsi="Times New Roman" w:cs="Times New Roman"/>
          <w:sz w:val="24"/>
          <w:szCs w:val="24"/>
        </w:rPr>
        <w:t>may decline</w:t>
      </w:r>
      <w:r w:rsidR="00856B1D">
        <w:rPr>
          <w:rFonts w:ascii="Times New Roman" w:hAnsi="Times New Roman" w:cs="Times New Roman"/>
          <w:sz w:val="24"/>
          <w:szCs w:val="24"/>
        </w:rPr>
        <w:t xml:space="preserve"> the invitation</w:t>
      </w:r>
      <w:r w:rsidR="00D27505">
        <w:rPr>
          <w:rFonts w:ascii="Times New Roman" w:hAnsi="Times New Roman" w:cs="Times New Roman"/>
          <w:sz w:val="24"/>
          <w:szCs w:val="24"/>
        </w:rPr>
        <w:t xml:space="preserve">, not </w:t>
      </w:r>
      <w:r w:rsidR="00F84375">
        <w:rPr>
          <w:rFonts w:ascii="Times New Roman" w:hAnsi="Times New Roman" w:cs="Times New Roman"/>
          <w:sz w:val="24"/>
          <w:szCs w:val="24"/>
        </w:rPr>
        <w:t xml:space="preserve">necessarily </w:t>
      </w:r>
      <w:r w:rsidR="00D27505">
        <w:rPr>
          <w:rFonts w:ascii="Times New Roman" w:hAnsi="Times New Roman" w:cs="Times New Roman"/>
          <w:sz w:val="24"/>
          <w:szCs w:val="24"/>
        </w:rPr>
        <w:t xml:space="preserve">because they lack altruistic tendencies, but </w:t>
      </w:r>
      <w:r w:rsidR="00D205F5">
        <w:rPr>
          <w:rFonts w:ascii="Times New Roman" w:hAnsi="Times New Roman" w:cs="Times New Roman"/>
          <w:sz w:val="24"/>
          <w:szCs w:val="24"/>
        </w:rPr>
        <w:t xml:space="preserve">simply because they may </w:t>
      </w:r>
      <w:r w:rsidR="00D27505">
        <w:rPr>
          <w:rFonts w:ascii="Times New Roman" w:hAnsi="Times New Roman" w:cs="Times New Roman"/>
          <w:sz w:val="24"/>
          <w:szCs w:val="24"/>
        </w:rPr>
        <w:t xml:space="preserve">be unable to devote </w:t>
      </w:r>
      <w:r w:rsidR="006D5BBB">
        <w:rPr>
          <w:rFonts w:ascii="Times New Roman" w:hAnsi="Times New Roman" w:cs="Times New Roman"/>
          <w:sz w:val="24"/>
          <w:szCs w:val="24"/>
        </w:rPr>
        <w:t xml:space="preserve">sufficient </w:t>
      </w:r>
      <w:r w:rsidR="00F84375">
        <w:rPr>
          <w:rFonts w:ascii="Times New Roman" w:hAnsi="Times New Roman" w:cs="Times New Roman"/>
          <w:sz w:val="24"/>
          <w:szCs w:val="24"/>
        </w:rPr>
        <w:t>time to</w:t>
      </w:r>
      <w:r w:rsidR="006D5BBB">
        <w:rPr>
          <w:rFonts w:ascii="Times New Roman" w:hAnsi="Times New Roman" w:cs="Times New Roman"/>
          <w:sz w:val="24"/>
          <w:szCs w:val="24"/>
        </w:rPr>
        <w:t xml:space="preserve"> discharge </w:t>
      </w:r>
      <w:r w:rsidR="00D27505">
        <w:rPr>
          <w:rFonts w:ascii="Times New Roman" w:hAnsi="Times New Roman" w:cs="Times New Roman"/>
          <w:sz w:val="24"/>
          <w:szCs w:val="24"/>
        </w:rPr>
        <w:t>the</w:t>
      </w:r>
      <w:r w:rsidR="00333B30">
        <w:rPr>
          <w:rFonts w:ascii="Times New Roman" w:hAnsi="Times New Roman" w:cs="Times New Roman"/>
          <w:sz w:val="24"/>
          <w:szCs w:val="24"/>
        </w:rPr>
        <w:t xml:space="preserve"> relevant duty appropriately, especially if it becomes </w:t>
      </w:r>
      <w:r w:rsidR="00CF0058">
        <w:rPr>
          <w:rFonts w:ascii="Times New Roman" w:hAnsi="Times New Roman" w:cs="Times New Roman"/>
          <w:sz w:val="24"/>
          <w:szCs w:val="24"/>
        </w:rPr>
        <w:t>an ongoing obligation.</w:t>
      </w:r>
      <w:r w:rsidR="00D27505">
        <w:rPr>
          <w:rFonts w:ascii="Times New Roman" w:hAnsi="Times New Roman" w:cs="Times New Roman"/>
          <w:sz w:val="24"/>
          <w:szCs w:val="24"/>
        </w:rPr>
        <w:t xml:space="preserve">   It is too gross a generalisation to suggest that all </w:t>
      </w:r>
      <w:r w:rsidR="00BC433B">
        <w:rPr>
          <w:rFonts w:ascii="Times New Roman" w:hAnsi="Times New Roman" w:cs="Times New Roman"/>
          <w:sz w:val="24"/>
          <w:szCs w:val="24"/>
        </w:rPr>
        <w:t xml:space="preserve">potential </w:t>
      </w:r>
      <w:r w:rsidR="00D27505">
        <w:rPr>
          <w:rFonts w:ascii="Times New Roman" w:hAnsi="Times New Roman" w:cs="Times New Roman"/>
          <w:sz w:val="24"/>
          <w:szCs w:val="24"/>
        </w:rPr>
        <w:t>nominated consultees will respond in the negative, for there may be some willing volunteers who will make the time for what they perceive to be a valuable</w:t>
      </w:r>
      <w:r w:rsidR="00DA4CC8">
        <w:rPr>
          <w:rFonts w:ascii="Times New Roman" w:hAnsi="Times New Roman" w:cs="Times New Roman"/>
          <w:sz w:val="24"/>
          <w:szCs w:val="24"/>
        </w:rPr>
        <w:t xml:space="preserve"> social function</w:t>
      </w:r>
      <w:r w:rsidR="00D27505">
        <w:rPr>
          <w:rFonts w:ascii="Times New Roman" w:hAnsi="Times New Roman" w:cs="Times New Roman"/>
          <w:sz w:val="24"/>
          <w:szCs w:val="24"/>
        </w:rPr>
        <w:t>. However, the greater number of nominated consultees that refuse to participate at the fi</w:t>
      </w:r>
      <w:r w:rsidR="00856B1D">
        <w:rPr>
          <w:rFonts w:ascii="Times New Roman" w:hAnsi="Times New Roman" w:cs="Times New Roman"/>
          <w:sz w:val="24"/>
          <w:szCs w:val="24"/>
        </w:rPr>
        <w:t xml:space="preserve">rst time of asking, the further </w:t>
      </w:r>
      <w:r w:rsidR="00D27505">
        <w:rPr>
          <w:rFonts w:ascii="Times New Roman" w:hAnsi="Times New Roman" w:cs="Times New Roman"/>
          <w:sz w:val="24"/>
          <w:szCs w:val="24"/>
        </w:rPr>
        <w:t xml:space="preserve">removed the </w:t>
      </w:r>
      <w:r w:rsidR="00F84375">
        <w:rPr>
          <w:rFonts w:ascii="Times New Roman" w:hAnsi="Times New Roman" w:cs="Times New Roman"/>
          <w:sz w:val="24"/>
          <w:szCs w:val="24"/>
        </w:rPr>
        <w:t>eventual</w:t>
      </w:r>
      <w:r>
        <w:rPr>
          <w:rFonts w:ascii="Times New Roman" w:hAnsi="Times New Roman" w:cs="Times New Roman"/>
          <w:sz w:val="24"/>
          <w:szCs w:val="24"/>
        </w:rPr>
        <w:t xml:space="preserve"> appointed person </w:t>
      </w:r>
      <w:r w:rsidR="00D27505">
        <w:rPr>
          <w:rFonts w:ascii="Times New Roman" w:hAnsi="Times New Roman" w:cs="Times New Roman"/>
          <w:sz w:val="24"/>
          <w:szCs w:val="24"/>
        </w:rPr>
        <w:t xml:space="preserve">may become from </w:t>
      </w:r>
      <w:r w:rsidR="005A0784">
        <w:rPr>
          <w:rFonts w:ascii="Times New Roman" w:hAnsi="Times New Roman" w:cs="Times New Roman"/>
          <w:sz w:val="24"/>
          <w:szCs w:val="24"/>
        </w:rPr>
        <w:t xml:space="preserve">an </w:t>
      </w:r>
      <w:r>
        <w:rPr>
          <w:rFonts w:ascii="Times New Roman" w:hAnsi="Times New Roman" w:cs="Times New Roman"/>
          <w:sz w:val="24"/>
          <w:szCs w:val="24"/>
        </w:rPr>
        <w:t xml:space="preserve">incapacitated </w:t>
      </w:r>
      <w:r w:rsidR="00D27505">
        <w:rPr>
          <w:rFonts w:ascii="Times New Roman" w:hAnsi="Times New Roman" w:cs="Times New Roman"/>
          <w:sz w:val="24"/>
          <w:szCs w:val="24"/>
        </w:rPr>
        <w:t>participant.</w:t>
      </w:r>
      <w:r w:rsidR="00D205F5">
        <w:rPr>
          <w:rFonts w:ascii="Times New Roman" w:hAnsi="Times New Roman" w:cs="Times New Roman"/>
          <w:sz w:val="24"/>
          <w:szCs w:val="24"/>
        </w:rPr>
        <w:t xml:space="preserve">  A risk </w:t>
      </w:r>
      <w:r w:rsidR="00856B1D">
        <w:rPr>
          <w:rFonts w:ascii="Times New Roman" w:hAnsi="Times New Roman" w:cs="Times New Roman"/>
          <w:sz w:val="24"/>
          <w:szCs w:val="24"/>
        </w:rPr>
        <w:t xml:space="preserve">is </w:t>
      </w:r>
      <w:r w:rsidR="005A0784">
        <w:rPr>
          <w:rFonts w:ascii="Times New Roman" w:hAnsi="Times New Roman" w:cs="Times New Roman"/>
          <w:sz w:val="24"/>
          <w:szCs w:val="24"/>
        </w:rPr>
        <w:t xml:space="preserve">also </w:t>
      </w:r>
      <w:r w:rsidR="00D205F5">
        <w:rPr>
          <w:rFonts w:ascii="Times New Roman" w:hAnsi="Times New Roman" w:cs="Times New Roman"/>
          <w:sz w:val="24"/>
          <w:szCs w:val="24"/>
        </w:rPr>
        <w:t xml:space="preserve">apparent </w:t>
      </w:r>
      <w:r w:rsidR="005A0784">
        <w:rPr>
          <w:rFonts w:ascii="Times New Roman" w:hAnsi="Times New Roman" w:cs="Times New Roman"/>
          <w:sz w:val="24"/>
          <w:szCs w:val="24"/>
        </w:rPr>
        <w:t xml:space="preserve">as </w:t>
      </w:r>
      <w:r w:rsidR="004D4175">
        <w:rPr>
          <w:rFonts w:ascii="Times New Roman" w:hAnsi="Times New Roman" w:cs="Times New Roman"/>
          <w:sz w:val="24"/>
          <w:szCs w:val="24"/>
        </w:rPr>
        <w:t xml:space="preserve">in some cases no one will agree to act as a consultee, which would effectively block the involvement of </w:t>
      </w:r>
      <w:r w:rsidR="00042B79">
        <w:rPr>
          <w:rFonts w:ascii="Times New Roman" w:hAnsi="Times New Roman" w:cs="Times New Roman"/>
          <w:sz w:val="24"/>
          <w:szCs w:val="24"/>
        </w:rPr>
        <w:t>some potential participants</w:t>
      </w:r>
      <w:r w:rsidR="004D4175">
        <w:rPr>
          <w:rFonts w:ascii="Times New Roman" w:hAnsi="Times New Roman" w:cs="Times New Roman"/>
          <w:sz w:val="24"/>
          <w:szCs w:val="24"/>
        </w:rPr>
        <w:t xml:space="preserve">.  If researchers consistently encounter </w:t>
      </w:r>
      <w:r w:rsidR="00DA4CC8">
        <w:rPr>
          <w:rFonts w:ascii="Times New Roman" w:hAnsi="Times New Roman" w:cs="Times New Roman"/>
          <w:sz w:val="24"/>
          <w:szCs w:val="24"/>
        </w:rPr>
        <w:t xml:space="preserve">complications </w:t>
      </w:r>
      <w:r w:rsidR="004D4175">
        <w:rPr>
          <w:rFonts w:ascii="Times New Roman" w:hAnsi="Times New Roman" w:cs="Times New Roman"/>
          <w:sz w:val="24"/>
          <w:szCs w:val="24"/>
        </w:rPr>
        <w:t>insofar as identifying and appointing consultees, then this may chill their enthusiasm for conducting research involving incapacitated</w:t>
      </w:r>
      <w:r w:rsidR="00042B79">
        <w:rPr>
          <w:rFonts w:ascii="Times New Roman" w:hAnsi="Times New Roman" w:cs="Times New Roman"/>
          <w:sz w:val="24"/>
          <w:szCs w:val="24"/>
        </w:rPr>
        <w:t xml:space="preserve"> individuals</w:t>
      </w:r>
      <w:r w:rsidR="004D4175">
        <w:rPr>
          <w:rFonts w:ascii="Times New Roman" w:hAnsi="Times New Roman" w:cs="Times New Roman"/>
          <w:sz w:val="24"/>
          <w:szCs w:val="24"/>
        </w:rPr>
        <w:t>, especia</w:t>
      </w:r>
      <w:r w:rsidR="00A13ED5">
        <w:rPr>
          <w:rFonts w:ascii="Times New Roman" w:hAnsi="Times New Roman" w:cs="Times New Roman"/>
          <w:sz w:val="24"/>
          <w:szCs w:val="24"/>
        </w:rPr>
        <w:t>lly if it is perceived to be an excessively burdensome obstacle that is capable of causing significant harm to time-sensitive research.</w:t>
      </w:r>
    </w:p>
    <w:p w14:paraId="2945FD90" w14:textId="7BF8F920" w:rsidR="00461C8B" w:rsidRDefault="00C53CC1" w:rsidP="002B74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5A0784">
        <w:rPr>
          <w:rFonts w:ascii="Times New Roman" w:hAnsi="Times New Roman" w:cs="Times New Roman"/>
          <w:sz w:val="24"/>
          <w:szCs w:val="24"/>
        </w:rPr>
        <w:t xml:space="preserve">system </w:t>
      </w:r>
      <w:r w:rsidR="00AB0B24">
        <w:rPr>
          <w:rFonts w:ascii="Times New Roman" w:hAnsi="Times New Roman" w:cs="Times New Roman"/>
          <w:sz w:val="24"/>
          <w:szCs w:val="24"/>
        </w:rPr>
        <w:t xml:space="preserve">is also </w:t>
      </w:r>
      <w:r w:rsidR="005A0784">
        <w:rPr>
          <w:rFonts w:ascii="Times New Roman" w:hAnsi="Times New Roman" w:cs="Times New Roman"/>
          <w:sz w:val="24"/>
          <w:szCs w:val="24"/>
        </w:rPr>
        <w:t xml:space="preserve">predicated on </w:t>
      </w:r>
      <w:r w:rsidR="007503F7">
        <w:rPr>
          <w:rFonts w:ascii="Times New Roman" w:hAnsi="Times New Roman" w:cs="Times New Roman"/>
          <w:sz w:val="24"/>
          <w:szCs w:val="24"/>
        </w:rPr>
        <w:t xml:space="preserve">a misconception </w:t>
      </w:r>
      <w:r w:rsidR="005407BB">
        <w:rPr>
          <w:rFonts w:ascii="Times New Roman" w:hAnsi="Times New Roman" w:cs="Times New Roman"/>
          <w:sz w:val="24"/>
          <w:szCs w:val="24"/>
        </w:rPr>
        <w:t xml:space="preserve">that a </w:t>
      </w:r>
      <w:r w:rsidR="00A13ED5">
        <w:rPr>
          <w:rFonts w:ascii="Times New Roman" w:hAnsi="Times New Roman" w:cs="Times New Roman"/>
          <w:sz w:val="24"/>
          <w:szCs w:val="24"/>
        </w:rPr>
        <w:t xml:space="preserve">consultee will always be able to offer a </w:t>
      </w:r>
      <w:r w:rsidR="005407BB">
        <w:rPr>
          <w:rFonts w:ascii="Times New Roman" w:hAnsi="Times New Roman" w:cs="Times New Roman"/>
          <w:sz w:val="24"/>
          <w:szCs w:val="24"/>
        </w:rPr>
        <w:t xml:space="preserve">convincing </w:t>
      </w:r>
      <w:r w:rsidR="00461C8B">
        <w:rPr>
          <w:rFonts w:ascii="Times New Roman" w:hAnsi="Times New Roman" w:cs="Times New Roman"/>
          <w:sz w:val="24"/>
          <w:szCs w:val="24"/>
        </w:rPr>
        <w:t xml:space="preserve">opinion about </w:t>
      </w:r>
      <w:r w:rsidR="00A13ED5">
        <w:rPr>
          <w:rFonts w:ascii="Times New Roman" w:hAnsi="Times New Roman" w:cs="Times New Roman"/>
          <w:sz w:val="24"/>
          <w:szCs w:val="24"/>
        </w:rPr>
        <w:t xml:space="preserve">the values, wishes, and beliefs of an incapacitated </w:t>
      </w:r>
      <w:r w:rsidR="00495150">
        <w:rPr>
          <w:rFonts w:ascii="Times New Roman" w:hAnsi="Times New Roman" w:cs="Times New Roman"/>
          <w:sz w:val="24"/>
          <w:szCs w:val="24"/>
        </w:rPr>
        <w:lastRenderedPageBreak/>
        <w:t>participant.  A</w:t>
      </w:r>
      <w:r w:rsidR="005407BB">
        <w:rPr>
          <w:rFonts w:ascii="Times New Roman" w:hAnsi="Times New Roman" w:cs="Times New Roman"/>
          <w:sz w:val="24"/>
          <w:szCs w:val="24"/>
        </w:rPr>
        <w:t xml:space="preserve"> personal consultee</w:t>
      </w:r>
      <w:r w:rsidR="00461C8B">
        <w:rPr>
          <w:rFonts w:ascii="Times New Roman" w:hAnsi="Times New Roman" w:cs="Times New Roman"/>
          <w:sz w:val="24"/>
          <w:szCs w:val="24"/>
        </w:rPr>
        <w:t xml:space="preserve">, as someone who already knows the participant, may </w:t>
      </w:r>
      <w:r w:rsidR="005407BB">
        <w:rPr>
          <w:rFonts w:ascii="Times New Roman" w:hAnsi="Times New Roman" w:cs="Times New Roman"/>
          <w:sz w:val="24"/>
          <w:szCs w:val="24"/>
        </w:rPr>
        <w:t xml:space="preserve">be better placed to </w:t>
      </w:r>
      <w:r w:rsidR="00461C8B">
        <w:rPr>
          <w:rFonts w:ascii="Times New Roman" w:hAnsi="Times New Roman" w:cs="Times New Roman"/>
          <w:sz w:val="24"/>
          <w:szCs w:val="24"/>
        </w:rPr>
        <w:t xml:space="preserve">advise on these considerations than any researcher or nominated consultee, but it is by no means certain that they will be </w:t>
      </w:r>
      <w:r w:rsidR="00434291">
        <w:rPr>
          <w:rFonts w:ascii="Times New Roman" w:hAnsi="Times New Roman" w:cs="Times New Roman"/>
          <w:sz w:val="24"/>
          <w:szCs w:val="24"/>
        </w:rPr>
        <w:t>able to do this effectively in every case.</w:t>
      </w:r>
      <w:r w:rsidR="00495150">
        <w:rPr>
          <w:rFonts w:ascii="Times New Roman" w:hAnsi="Times New Roman" w:cs="Times New Roman"/>
          <w:sz w:val="24"/>
          <w:szCs w:val="24"/>
        </w:rPr>
        <w:t xml:space="preserve"> In terms of a nominated consultee, the </w:t>
      </w:r>
      <w:r w:rsidR="00434291">
        <w:rPr>
          <w:rFonts w:ascii="Times New Roman" w:hAnsi="Times New Roman" w:cs="Times New Roman"/>
          <w:sz w:val="24"/>
          <w:szCs w:val="24"/>
        </w:rPr>
        <w:t>more remo</w:t>
      </w:r>
      <w:r w:rsidR="00495150">
        <w:rPr>
          <w:rFonts w:ascii="Times New Roman" w:hAnsi="Times New Roman" w:cs="Times New Roman"/>
          <w:sz w:val="24"/>
          <w:szCs w:val="24"/>
        </w:rPr>
        <w:t>te the</w:t>
      </w:r>
      <w:r w:rsidR="00434291">
        <w:rPr>
          <w:rFonts w:ascii="Times New Roman" w:hAnsi="Times New Roman" w:cs="Times New Roman"/>
          <w:sz w:val="24"/>
          <w:szCs w:val="24"/>
        </w:rPr>
        <w:t xml:space="preserve"> relationship</w:t>
      </w:r>
      <w:r w:rsidR="00495150">
        <w:rPr>
          <w:rFonts w:ascii="Times New Roman" w:hAnsi="Times New Roman" w:cs="Times New Roman"/>
          <w:sz w:val="24"/>
          <w:szCs w:val="24"/>
        </w:rPr>
        <w:t xml:space="preserve"> between her and a participant, the less chance she has of </w:t>
      </w:r>
      <w:r w:rsidR="00434291">
        <w:rPr>
          <w:rFonts w:ascii="Times New Roman" w:hAnsi="Times New Roman" w:cs="Times New Roman"/>
          <w:sz w:val="24"/>
          <w:szCs w:val="24"/>
        </w:rPr>
        <w:t xml:space="preserve">being able to comment accurately </w:t>
      </w:r>
      <w:r w:rsidR="0053272D">
        <w:rPr>
          <w:rFonts w:ascii="Times New Roman" w:hAnsi="Times New Roman" w:cs="Times New Roman"/>
          <w:sz w:val="24"/>
          <w:szCs w:val="24"/>
        </w:rPr>
        <w:t xml:space="preserve">on any personal views </w:t>
      </w:r>
      <w:r w:rsidR="00495150">
        <w:rPr>
          <w:rFonts w:ascii="Times New Roman" w:hAnsi="Times New Roman" w:cs="Times New Roman"/>
          <w:sz w:val="24"/>
          <w:szCs w:val="24"/>
        </w:rPr>
        <w:t xml:space="preserve">that </w:t>
      </w:r>
      <w:r w:rsidR="0053272D">
        <w:rPr>
          <w:rFonts w:ascii="Times New Roman" w:hAnsi="Times New Roman" w:cs="Times New Roman"/>
          <w:sz w:val="24"/>
          <w:szCs w:val="24"/>
        </w:rPr>
        <w:t>participant may hold</w:t>
      </w:r>
      <w:r w:rsidR="00163000">
        <w:rPr>
          <w:rFonts w:ascii="Times New Roman" w:hAnsi="Times New Roman" w:cs="Times New Roman"/>
          <w:sz w:val="24"/>
          <w:szCs w:val="24"/>
        </w:rPr>
        <w:t xml:space="preserve">.  Some </w:t>
      </w:r>
      <w:r w:rsidR="00434291">
        <w:rPr>
          <w:rFonts w:ascii="Times New Roman" w:hAnsi="Times New Roman" w:cs="Times New Roman"/>
          <w:sz w:val="24"/>
          <w:szCs w:val="24"/>
        </w:rPr>
        <w:t xml:space="preserve">proposed </w:t>
      </w:r>
      <w:r w:rsidR="0053272D">
        <w:rPr>
          <w:rFonts w:ascii="Times New Roman" w:hAnsi="Times New Roman" w:cs="Times New Roman"/>
          <w:sz w:val="24"/>
          <w:szCs w:val="24"/>
        </w:rPr>
        <w:t xml:space="preserve">nominated </w:t>
      </w:r>
      <w:r w:rsidR="00434291">
        <w:rPr>
          <w:rFonts w:ascii="Times New Roman" w:hAnsi="Times New Roman" w:cs="Times New Roman"/>
          <w:sz w:val="24"/>
          <w:szCs w:val="24"/>
        </w:rPr>
        <w:t>consultees may recognise this danger and where they have little or no knowledge of a participant</w:t>
      </w:r>
      <w:r w:rsidR="00163000">
        <w:rPr>
          <w:rFonts w:ascii="Times New Roman" w:hAnsi="Times New Roman" w:cs="Times New Roman"/>
          <w:sz w:val="24"/>
          <w:szCs w:val="24"/>
        </w:rPr>
        <w:t xml:space="preserve"> </w:t>
      </w:r>
      <w:r w:rsidR="00434291">
        <w:rPr>
          <w:rFonts w:ascii="Times New Roman" w:hAnsi="Times New Roman" w:cs="Times New Roman"/>
          <w:sz w:val="24"/>
          <w:szCs w:val="24"/>
        </w:rPr>
        <w:t>may simply dec</w:t>
      </w:r>
      <w:r w:rsidR="00F97C4A">
        <w:rPr>
          <w:rFonts w:ascii="Times New Roman" w:hAnsi="Times New Roman" w:cs="Times New Roman"/>
          <w:sz w:val="24"/>
          <w:szCs w:val="24"/>
        </w:rPr>
        <w:t>line to become involved,</w:t>
      </w:r>
      <w:r w:rsidR="00163000">
        <w:rPr>
          <w:rFonts w:ascii="Times New Roman" w:hAnsi="Times New Roman" w:cs="Times New Roman"/>
          <w:sz w:val="24"/>
          <w:szCs w:val="24"/>
        </w:rPr>
        <w:t xml:space="preserve"> for proceeding on this basis may cause the system to become</w:t>
      </w:r>
      <w:r w:rsidR="00DA4CC8">
        <w:rPr>
          <w:rFonts w:ascii="Times New Roman" w:hAnsi="Times New Roman" w:cs="Times New Roman"/>
          <w:sz w:val="24"/>
          <w:szCs w:val="24"/>
        </w:rPr>
        <w:t xml:space="preserve"> artificial</w:t>
      </w:r>
      <w:r w:rsidR="00D63E7E">
        <w:rPr>
          <w:rFonts w:ascii="Times New Roman" w:hAnsi="Times New Roman" w:cs="Times New Roman"/>
          <w:sz w:val="24"/>
          <w:szCs w:val="24"/>
        </w:rPr>
        <w:t>, and perhaps even harmful.</w:t>
      </w:r>
      <w:r w:rsidR="00943476">
        <w:rPr>
          <w:rFonts w:ascii="Times New Roman" w:hAnsi="Times New Roman" w:cs="Times New Roman"/>
          <w:sz w:val="24"/>
          <w:szCs w:val="24"/>
        </w:rPr>
        <w:t xml:space="preserve"> A natural c</w:t>
      </w:r>
      <w:r w:rsidR="00163000">
        <w:rPr>
          <w:rFonts w:ascii="Times New Roman" w:hAnsi="Times New Roman" w:cs="Times New Roman"/>
          <w:sz w:val="24"/>
          <w:szCs w:val="24"/>
        </w:rPr>
        <w:t xml:space="preserve">oncomitant </w:t>
      </w:r>
      <w:r w:rsidR="00943476">
        <w:rPr>
          <w:rFonts w:ascii="Times New Roman" w:hAnsi="Times New Roman" w:cs="Times New Roman"/>
          <w:sz w:val="24"/>
          <w:szCs w:val="24"/>
        </w:rPr>
        <w:t xml:space="preserve">of </w:t>
      </w:r>
      <w:r w:rsidR="00163000">
        <w:rPr>
          <w:rFonts w:ascii="Times New Roman" w:hAnsi="Times New Roman" w:cs="Times New Roman"/>
          <w:sz w:val="24"/>
          <w:szCs w:val="24"/>
        </w:rPr>
        <w:t>this, however, is that the problem</w:t>
      </w:r>
      <w:r w:rsidR="00DA4CC8">
        <w:rPr>
          <w:rFonts w:ascii="Times New Roman" w:hAnsi="Times New Roman" w:cs="Times New Roman"/>
          <w:sz w:val="24"/>
          <w:szCs w:val="24"/>
        </w:rPr>
        <w:t>s</w:t>
      </w:r>
      <w:r w:rsidR="00163000">
        <w:rPr>
          <w:rFonts w:ascii="Times New Roman" w:hAnsi="Times New Roman" w:cs="Times New Roman"/>
          <w:sz w:val="24"/>
          <w:szCs w:val="24"/>
        </w:rPr>
        <w:t xml:space="preserve"> of</w:t>
      </w:r>
      <w:r w:rsidR="00DA4CC8">
        <w:rPr>
          <w:rFonts w:ascii="Times New Roman" w:hAnsi="Times New Roman" w:cs="Times New Roman"/>
          <w:sz w:val="24"/>
          <w:szCs w:val="24"/>
        </w:rPr>
        <w:t xml:space="preserve"> recruitment identified earlier </w:t>
      </w:r>
      <w:r w:rsidR="00163000">
        <w:rPr>
          <w:rFonts w:ascii="Times New Roman" w:hAnsi="Times New Roman" w:cs="Times New Roman"/>
          <w:sz w:val="24"/>
          <w:szCs w:val="24"/>
        </w:rPr>
        <w:t xml:space="preserve">become amplified.  </w:t>
      </w:r>
    </w:p>
    <w:p w14:paraId="7D1D470A" w14:textId="51F53387" w:rsidR="00AB0B24" w:rsidRDefault="002B16C5" w:rsidP="002B74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07BB">
        <w:rPr>
          <w:rFonts w:ascii="Times New Roman" w:hAnsi="Times New Roman" w:cs="Times New Roman"/>
          <w:sz w:val="24"/>
          <w:szCs w:val="24"/>
        </w:rPr>
        <w:t>The notion that</w:t>
      </w:r>
      <w:r w:rsidR="00462D76">
        <w:rPr>
          <w:rFonts w:ascii="Times New Roman" w:hAnsi="Times New Roman" w:cs="Times New Roman"/>
          <w:sz w:val="24"/>
          <w:szCs w:val="24"/>
        </w:rPr>
        <w:t xml:space="preserve"> the consultee</w:t>
      </w:r>
      <w:r w:rsidR="006B483A">
        <w:rPr>
          <w:rFonts w:ascii="Times New Roman" w:hAnsi="Times New Roman" w:cs="Times New Roman"/>
          <w:sz w:val="24"/>
          <w:szCs w:val="24"/>
        </w:rPr>
        <w:t xml:space="preserve"> system </w:t>
      </w:r>
      <w:r w:rsidR="005407BB">
        <w:rPr>
          <w:rFonts w:ascii="Times New Roman" w:hAnsi="Times New Roman" w:cs="Times New Roman"/>
          <w:sz w:val="24"/>
          <w:szCs w:val="24"/>
        </w:rPr>
        <w:t>will promo</w:t>
      </w:r>
      <w:r w:rsidR="00163000">
        <w:rPr>
          <w:rFonts w:ascii="Times New Roman" w:hAnsi="Times New Roman" w:cs="Times New Roman"/>
          <w:sz w:val="24"/>
          <w:szCs w:val="24"/>
        </w:rPr>
        <w:t xml:space="preserve">te empowerment by attempting to accommodate </w:t>
      </w:r>
      <w:r w:rsidR="006B483A">
        <w:rPr>
          <w:rFonts w:ascii="Times New Roman" w:hAnsi="Times New Roman" w:cs="Times New Roman"/>
          <w:sz w:val="24"/>
          <w:szCs w:val="24"/>
        </w:rPr>
        <w:t xml:space="preserve">the </w:t>
      </w:r>
      <w:r w:rsidR="005407BB">
        <w:rPr>
          <w:rFonts w:ascii="Times New Roman" w:hAnsi="Times New Roman" w:cs="Times New Roman"/>
          <w:sz w:val="24"/>
          <w:szCs w:val="24"/>
        </w:rPr>
        <w:t>subjecti</w:t>
      </w:r>
      <w:r w:rsidR="00163000">
        <w:rPr>
          <w:rFonts w:ascii="Times New Roman" w:hAnsi="Times New Roman" w:cs="Times New Roman"/>
          <w:sz w:val="24"/>
          <w:szCs w:val="24"/>
        </w:rPr>
        <w:t xml:space="preserve">ve position of an incapacitated participant </w:t>
      </w:r>
      <w:r w:rsidR="005407BB">
        <w:rPr>
          <w:rFonts w:ascii="Times New Roman" w:hAnsi="Times New Roman" w:cs="Times New Roman"/>
          <w:sz w:val="24"/>
          <w:szCs w:val="24"/>
        </w:rPr>
        <w:t>is</w:t>
      </w:r>
      <w:r w:rsidR="00462D76">
        <w:rPr>
          <w:rFonts w:ascii="Times New Roman" w:hAnsi="Times New Roman" w:cs="Times New Roman"/>
          <w:sz w:val="24"/>
          <w:szCs w:val="24"/>
        </w:rPr>
        <w:t xml:space="preserve">, in any event, </w:t>
      </w:r>
      <w:r w:rsidR="005407BB">
        <w:rPr>
          <w:rFonts w:ascii="Times New Roman" w:hAnsi="Times New Roman" w:cs="Times New Roman"/>
          <w:sz w:val="24"/>
          <w:szCs w:val="24"/>
        </w:rPr>
        <w:t>misleading.  Placing emphasis on the persona</w:t>
      </w:r>
      <w:r w:rsidR="00AB0B24">
        <w:rPr>
          <w:rFonts w:ascii="Times New Roman" w:hAnsi="Times New Roman" w:cs="Times New Roman"/>
          <w:sz w:val="24"/>
          <w:szCs w:val="24"/>
        </w:rPr>
        <w:t xml:space="preserve">l values, wishes and beliefs of incapacitated individuals </w:t>
      </w:r>
      <w:r w:rsidR="005407BB">
        <w:rPr>
          <w:rFonts w:ascii="Times New Roman" w:hAnsi="Times New Roman" w:cs="Times New Roman"/>
          <w:sz w:val="24"/>
          <w:szCs w:val="24"/>
        </w:rPr>
        <w:t>is sometimes said to be an autonomy-e</w:t>
      </w:r>
      <w:r w:rsidR="00462D76">
        <w:rPr>
          <w:rFonts w:ascii="Times New Roman" w:hAnsi="Times New Roman" w:cs="Times New Roman"/>
          <w:sz w:val="24"/>
          <w:szCs w:val="24"/>
        </w:rPr>
        <w:t xml:space="preserve">nhancing type </w:t>
      </w:r>
      <w:r w:rsidR="005407BB">
        <w:rPr>
          <w:rFonts w:ascii="Times New Roman" w:hAnsi="Times New Roman" w:cs="Times New Roman"/>
          <w:sz w:val="24"/>
          <w:szCs w:val="24"/>
        </w:rPr>
        <w:t>o</w:t>
      </w:r>
      <w:r w:rsidR="00A6691C">
        <w:rPr>
          <w:rFonts w:ascii="Times New Roman" w:hAnsi="Times New Roman" w:cs="Times New Roman"/>
          <w:sz w:val="24"/>
          <w:szCs w:val="24"/>
        </w:rPr>
        <w:t>f substitute</w:t>
      </w:r>
      <w:r w:rsidR="00163000">
        <w:rPr>
          <w:rFonts w:ascii="Times New Roman" w:hAnsi="Times New Roman" w:cs="Times New Roman"/>
          <w:sz w:val="24"/>
          <w:szCs w:val="24"/>
        </w:rPr>
        <w:t xml:space="preserve"> decision-making, but it will not operate as such in every case.</w:t>
      </w:r>
      <w:r w:rsidR="00AB0B24">
        <w:rPr>
          <w:rStyle w:val="FootnoteReference"/>
          <w:rFonts w:ascii="Times New Roman" w:hAnsi="Times New Roman" w:cs="Times New Roman"/>
          <w:sz w:val="24"/>
          <w:szCs w:val="24"/>
        </w:rPr>
        <w:footnoteReference w:id="119"/>
      </w:r>
      <w:r w:rsidR="00163000">
        <w:rPr>
          <w:rFonts w:ascii="Times New Roman" w:hAnsi="Times New Roman" w:cs="Times New Roman"/>
          <w:sz w:val="24"/>
          <w:szCs w:val="24"/>
        </w:rPr>
        <w:t xml:space="preserve">  </w:t>
      </w:r>
      <w:r w:rsidR="00462D76">
        <w:rPr>
          <w:rFonts w:ascii="Times New Roman" w:hAnsi="Times New Roman" w:cs="Times New Roman"/>
          <w:sz w:val="24"/>
          <w:szCs w:val="24"/>
        </w:rPr>
        <w:t xml:space="preserve">A consultee must only offer </w:t>
      </w:r>
      <w:r w:rsidR="00462D76" w:rsidRPr="00D63E7E">
        <w:rPr>
          <w:rFonts w:ascii="Times New Roman" w:hAnsi="Times New Roman" w:cs="Times New Roman"/>
          <w:i/>
          <w:sz w:val="24"/>
          <w:szCs w:val="24"/>
        </w:rPr>
        <w:t>her opinion</w:t>
      </w:r>
      <w:r w:rsidR="00462D76">
        <w:rPr>
          <w:rFonts w:ascii="Times New Roman" w:hAnsi="Times New Roman" w:cs="Times New Roman"/>
          <w:sz w:val="24"/>
          <w:szCs w:val="24"/>
        </w:rPr>
        <w:t xml:space="preserve"> to the researcher about what she considers would be the likely wishes and feelings of an incapacitated</w:t>
      </w:r>
      <w:r w:rsidR="006B483A">
        <w:rPr>
          <w:rFonts w:ascii="Times New Roman" w:hAnsi="Times New Roman" w:cs="Times New Roman"/>
          <w:sz w:val="24"/>
          <w:szCs w:val="24"/>
        </w:rPr>
        <w:t xml:space="preserve"> participant</w:t>
      </w:r>
      <w:r w:rsidR="00D63E7E">
        <w:rPr>
          <w:rFonts w:ascii="Times New Roman" w:hAnsi="Times New Roman" w:cs="Times New Roman"/>
          <w:sz w:val="24"/>
          <w:szCs w:val="24"/>
        </w:rPr>
        <w:t xml:space="preserve"> about involvement in a project</w:t>
      </w:r>
      <w:r w:rsidR="00163000">
        <w:rPr>
          <w:rFonts w:ascii="Times New Roman" w:hAnsi="Times New Roman" w:cs="Times New Roman"/>
          <w:sz w:val="24"/>
          <w:szCs w:val="24"/>
        </w:rPr>
        <w:t xml:space="preserve">, but it is crucial to note </w:t>
      </w:r>
      <w:r w:rsidR="00462D76">
        <w:rPr>
          <w:rFonts w:ascii="Times New Roman" w:hAnsi="Times New Roman" w:cs="Times New Roman"/>
          <w:sz w:val="24"/>
          <w:szCs w:val="24"/>
        </w:rPr>
        <w:t xml:space="preserve">that </w:t>
      </w:r>
      <w:r w:rsidR="00DB4A5A">
        <w:rPr>
          <w:rFonts w:ascii="Times New Roman" w:hAnsi="Times New Roman" w:cs="Times New Roman"/>
          <w:sz w:val="24"/>
          <w:szCs w:val="24"/>
        </w:rPr>
        <w:t xml:space="preserve">it often </w:t>
      </w:r>
      <w:r w:rsidR="001A005A">
        <w:rPr>
          <w:rFonts w:ascii="Times New Roman" w:hAnsi="Times New Roman" w:cs="Times New Roman"/>
          <w:sz w:val="24"/>
          <w:szCs w:val="24"/>
        </w:rPr>
        <w:t xml:space="preserve">may </w:t>
      </w:r>
      <w:r w:rsidR="00DB4A5A">
        <w:rPr>
          <w:rFonts w:ascii="Times New Roman" w:hAnsi="Times New Roman" w:cs="Times New Roman"/>
          <w:sz w:val="24"/>
          <w:szCs w:val="24"/>
        </w:rPr>
        <w:t xml:space="preserve">not be the actual wishes and feelings of the participant herself that are conveyed, but simply </w:t>
      </w:r>
      <w:r w:rsidR="001A005A">
        <w:rPr>
          <w:rFonts w:ascii="Times New Roman" w:hAnsi="Times New Roman" w:cs="Times New Roman"/>
          <w:sz w:val="24"/>
          <w:szCs w:val="24"/>
        </w:rPr>
        <w:t xml:space="preserve">a </w:t>
      </w:r>
      <w:r w:rsidR="00DB4A5A">
        <w:rPr>
          <w:rFonts w:ascii="Times New Roman" w:hAnsi="Times New Roman" w:cs="Times New Roman"/>
          <w:sz w:val="24"/>
          <w:szCs w:val="24"/>
        </w:rPr>
        <w:t>consultee’s interpretation of</w:t>
      </w:r>
      <w:r w:rsidR="001A005A">
        <w:rPr>
          <w:rFonts w:ascii="Times New Roman" w:hAnsi="Times New Roman" w:cs="Times New Roman"/>
          <w:sz w:val="24"/>
          <w:szCs w:val="24"/>
        </w:rPr>
        <w:t xml:space="preserve"> them</w:t>
      </w:r>
      <w:r w:rsidR="00DB4A5A">
        <w:rPr>
          <w:rFonts w:ascii="Times New Roman" w:hAnsi="Times New Roman" w:cs="Times New Roman"/>
          <w:sz w:val="24"/>
          <w:szCs w:val="24"/>
        </w:rPr>
        <w:t>. The more serious the impairment affecting capacity, and the more detached a consultee is from knowing a participant</w:t>
      </w:r>
      <w:r w:rsidR="006B483A">
        <w:rPr>
          <w:rFonts w:ascii="Times New Roman" w:hAnsi="Times New Roman" w:cs="Times New Roman"/>
          <w:sz w:val="24"/>
          <w:szCs w:val="24"/>
        </w:rPr>
        <w:t xml:space="preserve"> personally</w:t>
      </w:r>
      <w:r w:rsidR="00DB4A5A">
        <w:rPr>
          <w:rFonts w:ascii="Times New Roman" w:hAnsi="Times New Roman" w:cs="Times New Roman"/>
          <w:sz w:val="24"/>
          <w:szCs w:val="24"/>
        </w:rPr>
        <w:t>, the more likely it is that</w:t>
      </w:r>
      <w:r w:rsidR="00D63E7E">
        <w:rPr>
          <w:rFonts w:ascii="Times New Roman" w:hAnsi="Times New Roman" w:cs="Times New Roman"/>
          <w:sz w:val="24"/>
          <w:szCs w:val="24"/>
        </w:rPr>
        <w:t xml:space="preserve"> the consultee’s advice to the researcher will not closely reflect the wishes and feelings</w:t>
      </w:r>
      <w:r w:rsidR="00836FDC">
        <w:rPr>
          <w:rFonts w:ascii="Times New Roman" w:hAnsi="Times New Roman" w:cs="Times New Roman"/>
          <w:sz w:val="24"/>
          <w:szCs w:val="24"/>
        </w:rPr>
        <w:t xml:space="preserve"> of a potential participant. Given these difficulties, it is a challenge </w:t>
      </w:r>
      <w:r w:rsidR="00E32E2D">
        <w:rPr>
          <w:rFonts w:ascii="Times New Roman" w:hAnsi="Times New Roman" w:cs="Times New Roman"/>
          <w:sz w:val="24"/>
          <w:szCs w:val="24"/>
        </w:rPr>
        <w:t xml:space="preserve">for </w:t>
      </w:r>
      <w:r w:rsidR="00095030">
        <w:rPr>
          <w:rFonts w:ascii="Times New Roman" w:hAnsi="Times New Roman" w:cs="Times New Roman"/>
          <w:sz w:val="24"/>
          <w:szCs w:val="24"/>
        </w:rPr>
        <w:t>a consultee</w:t>
      </w:r>
      <w:r w:rsidR="00E32E2D">
        <w:rPr>
          <w:rFonts w:ascii="Times New Roman" w:hAnsi="Times New Roman" w:cs="Times New Roman"/>
          <w:sz w:val="24"/>
          <w:szCs w:val="24"/>
        </w:rPr>
        <w:t xml:space="preserve"> t</w:t>
      </w:r>
      <w:r w:rsidR="00095030">
        <w:rPr>
          <w:rFonts w:ascii="Times New Roman" w:hAnsi="Times New Roman" w:cs="Times New Roman"/>
          <w:sz w:val="24"/>
          <w:szCs w:val="24"/>
        </w:rPr>
        <w:t>o id</w:t>
      </w:r>
      <w:r w:rsidR="00952988">
        <w:rPr>
          <w:rFonts w:ascii="Times New Roman" w:hAnsi="Times New Roman" w:cs="Times New Roman"/>
          <w:sz w:val="24"/>
          <w:szCs w:val="24"/>
        </w:rPr>
        <w:t xml:space="preserve">entify the precise scope of her duty </w:t>
      </w:r>
      <w:r w:rsidR="00095030">
        <w:rPr>
          <w:rFonts w:ascii="Times New Roman" w:hAnsi="Times New Roman" w:cs="Times New Roman"/>
          <w:sz w:val="24"/>
          <w:szCs w:val="24"/>
        </w:rPr>
        <w:t xml:space="preserve">and what steps she must </w:t>
      </w:r>
      <w:r w:rsidR="00E32E2D">
        <w:rPr>
          <w:rFonts w:ascii="Times New Roman" w:hAnsi="Times New Roman" w:cs="Times New Roman"/>
          <w:sz w:val="24"/>
          <w:szCs w:val="24"/>
        </w:rPr>
        <w:t>take to discharge</w:t>
      </w:r>
      <w:r w:rsidR="00952988">
        <w:rPr>
          <w:rFonts w:ascii="Times New Roman" w:hAnsi="Times New Roman" w:cs="Times New Roman"/>
          <w:sz w:val="24"/>
          <w:szCs w:val="24"/>
        </w:rPr>
        <w:t xml:space="preserve"> it</w:t>
      </w:r>
      <w:r w:rsidR="00DA4CC8">
        <w:rPr>
          <w:rFonts w:ascii="Times New Roman" w:hAnsi="Times New Roman" w:cs="Times New Roman"/>
          <w:sz w:val="24"/>
          <w:szCs w:val="24"/>
        </w:rPr>
        <w:t>. Absent any clearer guidance, she may be hesitant to recommend participation</w:t>
      </w:r>
      <w:r w:rsidR="00E32E2D">
        <w:rPr>
          <w:rFonts w:ascii="Times New Roman" w:hAnsi="Times New Roman" w:cs="Times New Roman"/>
          <w:sz w:val="24"/>
          <w:szCs w:val="24"/>
        </w:rPr>
        <w:t>.</w:t>
      </w:r>
      <w:r w:rsidR="00AB0B24">
        <w:rPr>
          <w:rFonts w:ascii="Times New Roman" w:hAnsi="Times New Roman" w:cs="Times New Roman"/>
          <w:sz w:val="24"/>
          <w:szCs w:val="24"/>
        </w:rPr>
        <w:t xml:space="preserve">  This may sometimes be sensible</w:t>
      </w:r>
      <w:r w:rsidR="00095030">
        <w:rPr>
          <w:rFonts w:ascii="Times New Roman" w:hAnsi="Times New Roman" w:cs="Times New Roman"/>
          <w:sz w:val="24"/>
          <w:szCs w:val="24"/>
        </w:rPr>
        <w:t>, but if over-</w:t>
      </w:r>
      <w:r w:rsidR="000F1550">
        <w:rPr>
          <w:rFonts w:ascii="Times New Roman" w:hAnsi="Times New Roman" w:cs="Times New Roman"/>
          <w:sz w:val="24"/>
          <w:szCs w:val="24"/>
        </w:rPr>
        <w:t>cautious thinking from an untrained consultee</w:t>
      </w:r>
      <w:r w:rsidR="00C90F17">
        <w:rPr>
          <w:rFonts w:ascii="Times New Roman" w:hAnsi="Times New Roman" w:cs="Times New Roman"/>
          <w:sz w:val="24"/>
          <w:szCs w:val="24"/>
        </w:rPr>
        <w:t xml:space="preserve"> </w:t>
      </w:r>
      <w:r w:rsidR="000F1550">
        <w:rPr>
          <w:rFonts w:ascii="Times New Roman" w:hAnsi="Times New Roman" w:cs="Times New Roman"/>
          <w:sz w:val="24"/>
          <w:szCs w:val="24"/>
        </w:rPr>
        <w:t>prevail</w:t>
      </w:r>
      <w:r w:rsidR="00C90F17">
        <w:rPr>
          <w:rFonts w:ascii="Times New Roman" w:hAnsi="Times New Roman" w:cs="Times New Roman"/>
          <w:sz w:val="24"/>
          <w:szCs w:val="24"/>
        </w:rPr>
        <w:t>s</w:t>
      </w:r>
      <w:r w:rsidR="00095030">
        <w:rPr>
          <w:rFonts w:ascii="Times New Roman" w:hAnsi="Times New Roman" w:cs="Times New Roman"/>
          <w:sz w:val="24"/>
          <w:szCs w:val="24"/>
        </w:rPr>
        <w:t>, it may</w:t>
      </w:r>
      <w:r w:rsidR="000F1550">
        <w:rPr>
          <w:rFonts w:ascii="Times New Roman" w:hAnsi="Times New Roman" w:cs="Times New Roman"/>
          <w:sz w:val="24"/>
          <w:szCs w:val="24"/>
        </w:rPr>
        <w:t xml:space="preserve"> lead to her </w:t>
      </w:r>
      <w:r w:rsidR="008A2F48" w:rsidRPr="00286E7A">
        <w:rPr>
          <w:rFonts w:ascii="Times New Roman" w:hAnsi="Times New Roman" w:cs="Times New Roman"/>
          <w:sz w:val="24"/>
          <w:szCs w:val="24"/>
        </w:rPr>
        <w:t>misinterpret</w:t>
      </w:r>
      <w:r w:rsidR="000F1550" w:rsidRPr="00286E7A">
        <w:rPr>
          <w:rFonts w:ascii="Times New Roman" w:hAnsi="Times New Roman" w:cs="Times New Roman"/>
          <w:sz w:val="24"/>
          <w:szCs w:val="24"/>
        </w:rPr>
        <w:t xml:space="preserve">ing </w:t>
      </w:r>
      <w:r w:rsidR="008A2F48" w:rsidRPr="00286E7A">
        <w:rPr>
          <w:rFonts w:ascii="Times New Roman" w:hAnsi="Times New Roman" w:cs="Times New Roman"/>
          <w:sz w:val="24"/>
          <w:szCs w:val="24"/>
        </w:rPr>
        <w:t xml:space="preserve">certain signals </w:t>
      </w:r>
      <w:r w:rsidR="00E32E2D" w:rsidRPr="00286E7A">
        <w:rPr>
          <w:rFonts w:ascii="Times New Roman" w:hAnsi="Times New Roman" w:cs="Times New Roman"/>
          <w:sz w:val="24"/>
          <w:szCs w:val="24"/>
        </w:rPr>
        <w:t>from an incapaci</w:t>
      </w:r>
      <w:r w:rsidR="00952988">
        <w:rPr>
          <w:rFonts w:ascii="Times New Roman" w:hAnsi="Times New Roman" w:cs="Times New Roman"/>
          <w:sz w:val="24"/>
          <w:szCs w:val="24"/>
        </w:rPr>
        <w:t>tated participant as objections, when they are actually not.  I</w:t>
      </w:r>
      <w:r w:rsidR="008A2F48" w:rsidRPr="00286E7A">
        <w:rPr>
          <w:rFonts w:ascii="Times New Roman" w:hAnsi="Times New Roman" w:cs="Times New Roman"/>
          <w:sz w:val="24"/>
          <w:szCs w:val="24"/>
        </w:rPr>
        <w:t>f this happens</w:t>
      </w:r>
      <w:r w:rsidR="00095030" w:rsidRPr="00286E7A">
        <w:rPr>
          <w:rFonts w:ascii="Times New Roman" w:hAnsi="Times New Roman" w:cs="Times New Roman"/>
          <w:sz w:val="24"/>
          <w:szCs w:val="24"/>
        </w:rPr>
        <w:t xml:space="preserve">, it has potentially far-reaching consequences </w:t>
      </w:r>
      <w:r w:rsidR="008A2F48" w:rsidRPr="00286E7A">
        <w:rPr>
          <w:rFonts w:ascii="Times New Roman" w:hAnsi="Times New Roman" w:cs="Times New Roman"/>
          <w:sz w:val="24"/>
          <w:szCs w:val="24"/>
        </w:rPr>
        <w:t xml:space="preserve">for encouraging wider participation as </w:t>
      </w:r>
      <w:r w:rsidR="000F1550" w:rsidRPr="00286E7A">
        <w:rPr>
          <w:rFonts w:ascii="Times New Roman" w:hAnsi="Times New Roman" w:cs="Times New Roman"/>
          <w:sz w:val="24"/>
          <w:szCs w:val="24"/>
        </w:rPr>
        <w:t xml:space="preserve">a </w:t>
      </w:r>
      <w:r w:rsidR="008A2F48" w:rsidRPr="00286E7A">
        <w:rPr>
          <w:rFonts w:ascii="Times New Roman" w:hAnsi="Times New Roman" w:cs="Times New Roman"/>
          <w:sz w:val="24"/>
          <w:szCs w:val="24"/>
        </w:rPr>
        <w:t xml:space="preserve">consultee </w:t>
      </w:r>
      <w:r w:rsidR="00095030" w:rsidRPr="00286E7A">
        <w:rPr>
          <w:rFonts w:ascii="Times New Roman" w:hAnsi="Times New Roman" w:cs="Times New Roman"/>
          <w:sz w:val="24"/>
          <w:szCs w:val="24"/>
        </w:rPr>
        <w:t>effectively enjoy</w:t>
      </w:r>
      <w:r w:rsidR="000F1550" w:rsidRPr="00286E7A">
        <w:rPr>
          <w:rFonts w:ascii="Times New Roman" w:hAnsi="Times New Roman" w:cs="Times New Roman"/>
          <w:sz w:val="24"/>
          <w:szCs w:val="24"/>
        </w:rPr>
        <w:t>s</w:t>
      </w:r>
      <w:r w:rsidR="00095030" w:rsidRPr="00286E7A">
        <w:rPr>
          <w:rFonts w:ascii="Times New Roman" w:hAnsi="Times New Roman" w:cs="Times New Roman"/>
          <w:sz w:val="24"/>
          <w:szCs w:val="24"/>
        </w:rPr>
        <w:t xml:space="preserve"> a </w:t>
      </w:r>
      <w:r w:rsidR="008A2F48" w:rsidRPr="00286E7A">
        <w:rPr>
          <w:rFonts w:ascii="Times New Roman" w:hAnsi="Times New Roman" w:cs="Times New Roman"/>
          <w:sz w:val="24"/>
          <w:szCs w:val="24"/>
        </w:rPr>
        <w:t>power of veto</w:t>
      </w:r>
      <w:r w:rsidR="00EB27A3">
        <w:rPr>
          <w:rFonts w:ascii="Times New Roman" w:hAnsi="Times New Roman" w:cs="Times New Roman"/>
          <w:sz w:val="24"/>
          <w:szCs w:val="24"/>
        </w:rPr>
        <w:t xml:space="preserve"> if they advise that participation should not go ahead</w:t>
      </w:r>
      <w:r w:rsidR="008A2F48" w:rsidRPr="00286E7A">
        <w:rPr>
          <w:rFonts w:ascii="Times New Roman" w:hAnsi="Times New Roman" w:cs="Times New Roman"/>
          <w:sz w:val="24"/>
          <w:szCs w:val="24"/>
        </w:rPr>
        <w:t>.</w:t>
      </w:r>
      <w:r w:rsidR="00AB0B24">
        <w:rPr>
          <w:rStyle w:val="FootnoteReference"/>
          <w:rFonts w:ascii="Times New Roman" w:hAnsi="Times New Roman" w:cs="Times New Roman"/>
          <w:sz w:val="24"/>
          <w:szCs w:val="24"/>
        </w:rPr>
        <w:footnoteReference w:id="120"/>
      </w:r>
      <w:r w:rsidR="000F1550" w:rsidRPr="00286E7A">
        <w:rPr>
          <w:rFonts w:ascii="Times New Roman" w:hAnsi="Times New Roman" w:cs="Times New Roman"/>
          <w:sz w:val="24"/>
          <w:szCs w:val="24"/>
        </w:rPr>
        <w:t xml:space="preserve">  </w:t>
      </w:r>
    </w:p>
    <w:p w14:paraId="673B40A5" w14:textId="0D57497F" w:rsidR="00CC3649" w:rsidRDefault="00AB0B24" w:rsidP="002B74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w:t>
      </w:r>
      <w:r w:rsidR="00D63E7E">
        <w:rPr>
          <w:rFonts w:ascii="Times New Roman" w:hAnsi="Times New Roman" w:cs="Times New Roman"/>
          <w:sz w:val="24"/>
          <w:szCs w:val="24"/>
        </w:rPr>
        <w:t xml:space="preserve"> lack of clarity may also </w:t>
      </w:r>
      <w:r w:rsidR="000F1550">
        <w:rPr>
          <w:rFonts w:ascii="Times New Roman" w:hAnsi="Times New Roman" w:cs="Times New Roman"/>
          <w:sz w:val="24"/>
          <w:szCs w:val="24"/>
        </w:rPr>
        <w:t xml:space="preserve">cause consultees </w:t>
      </w:r>
      <w:r w:rsidR="0060198C">
        <w:rPr>
          <w:rFonts w:ascii="Times New Roman" w:hAnsi="Times New Roman" w:cs="Times New Roman"/>
          <w:sz w:val="24"/>
          <w:szCs w:val="24"/>
        </w:rPr>
        <w:t>to think</w:t>
      </w:r>
      <w:r w:rsidR="00A761AD">
        <w:rPr>
          <w:rFonts w:ascii="Times New Roman" w:hAnsi="Times New Roman" w:cs="Times New Roman"/>
          <w:sz w:val="24"/>
          <w:szCs w:val="24"/>
        </w:rPr>
        <w:t xml:space="preserve"> that the</w:t>
      </w:r>
      <w:r w:rsidR="00275A61">
        <w:rPr>
          <w:rFonts w:ascii="Times New Roman" w:hAnsi="Times New Roman" w:cs="Times New Roman"/>
          <w:sz w:val="24"/>
          <w:szCs w:val="24"/>
        </w:rPr>
        <w:t>y can actually make a decision for an incapacitated participant by attempting to step into her shoes.</w:t>
      </w:r>
      <w:r w:rsidR="001A005A">
        <w:rPr>
          <w:rStyle w:val="FootnoteReference"/>
          <w:rFonts w:ascii="Times New Roman" w:hAnsi="Times New Roman" w:cs="Times New Roman"/>
          <w:sz w:val="24"/>
          <w:szCs w:val="24"/>
        </w:rPr>
        <w:footnoteReference w:id="121"/>
      </w:r>
      <w:r w:rsidR="00057F02">
        <w:rPr>
          <w:rFonts w:ascii="Times New Roman" w:hAnsi="Times New Roman" w:cs="Times New Roman"/>
          <w:sz w:val="24"/>
          <w:szCs w:val="24"/>
        </w:rPr>
        <w:t xml:space="preserve">  This view is misguided, for an </w:t>
      </w:r>
      <w:r w:rsidR="00275A61">
        <w:rPr>
          <w:rFonts w:ascii="Times New Roman" w:hAnsi="Times New Roman" w:cs="Times New Roman"/>
          <w:sz w:val="24"/>
          <w:szCs w:val="24"/>
        </w:rPr>
        <w:t>opinion</w:t>
      </w:r>
      <w:r w:rsidR="00057F02">
        <w:rPr>
          <w:rFonts w:ascii="Times New Roman" w:hAnsi="Times New Roman" w:cs="Times New Roman"/>
          <w:sz w:val="24"/>
          <w:szCs w:val="24"/>
        </w:rPr>
        <w:t xml:space="preserve"> cannot be legitimately justified by a claim that </w:t>
      </w:r>
      <w:r w:rsidR="00275A61">
        <w:rPr>
          <w:rFonts w:ascii="Times New Roman" w:hAnsi="Times New Roman" w:cs="Times New Roman"/>
          <w:sz w:val="24"/>
          <w:szCs w:val="24"/>
        </w:rPr>
        <w:t xml:space="preserve">it is what a participant would have wanted to happen if </w:t>
      </w:r>
      <w:r w:rsidR="00057F02">
        <w:rPr>
          <w:rFonts w:ascii="Times New Roman" w:hAnsi="Times New Roman" w:cs="Times New Roman"/>
          <w:sz w:val="24"/>
          <w:szCs w:val="24"/>
        </w:rPr>
        <w:t xml:space="preserve">she </w:t>
      </w:r>
      <w:r w:rsidR="00275A61">
        <w:rPr>
          <w:rFonts w:ascii="Times New Roman" w:hAnsi="Times New Roman" w:cs="Times New Roman"/>
          <w:sz w:val="24"/>
          <w:szCs w:val="24"/>
        </w:rPr>
        <w:t xml:space="preserve">had capacity, when in fact </w:t>
      </w:r>
      <w:r w:rsidR="00057F02">
        <w:rPr>
          <w:rFonts w:ascii="Times New Roman" w:hAnsi="Times New Roman" w:cs="Times New Roman"/>
          <w:sz w:val="24"/>
          <w:szCs w:val="24"/>
        </w:rPr>
        <w:t xml:space="preserve">she </w:t>
      </w:r>
      <w:r w:rsidR="00952988">
        <w:rPr>
          <w:rFonts w:ascii="Times New Roman" w:hAnsi="Times New Roman" w:cs="Times New Roman"/>
          <w:sz w:val="24"/>
          <w:szCs w:val="24"/>
        </w:rPr>
        <w:t>may never have had it</w:t>
      </w:r>
      <w:r w:rsidR="00836FDC">
        <w:rPr>
          <w:rFonts w:ascii="Times New Roman" w:hAnsi="Times New Roman" w:cs="Times New Roman"/>
          <w:sz w:val="24"/>
          <w:szCs w:val="24"/>
        </w:rPr>
        <w:t xml:space="preserve"> in the first place</w:t>
      </w:r>
      <w:r w:rsidR="00057F02">
        <w:rPr>
          <w:rFonts w:ascii="Times New Roman" w:hAnsi="Times New Roman" w:cs="Times New Roman"/>
          <w:sz w:val="24"/>
          <w:szCs w:val="24"/>
        </w:rPr>
        <w:t>.</w:t>
      </w:r>
      <w:r>
        <w:rPr>
          <w:rStyle w:val="FootnoteReference"/>
          <w:rFonts w:ascii="Times New Roman" w:hAnsi="Times New Roman" w:cs="Times New Roman"/>
          <w:sz w:val="24"/>
          <w:szCs w:val="24"/>
        </w:rPr>
        <w:footnoteReference w:id="122"/>
      </w:r>
      <w:r w:rsidR="00C74E4A">
        <w:rPr>
          <w:rFonts w:ascii="Times New Roman" w:hAnsi="Times New Roman" w:cs="Times New Roman"/>
          <w:sz w:val="24"/>
          <w:szCs w:val="24"/>
        </w:rPr>
        <w:t xml:space="preserve"> </w:t>
      </w:r>
      <w:r w:rsidR="00952988">
        <w:rPr>
          <w:rFonts w:ascii="Times New Roman" w:hAnsi="Times New Roman" w:cs="Times New Roman"/>
          <w:sz w:val="24"/>
          <w:szCs w:val="24"/>
        </w:rPr>
        <w:t>S</w:t>
      </w:r>
      <w:r w:rsidR="00C90F17">
        <w:rPr>
          <w:rFonts w:ascii="Times New Roman" w:hAnsi="Times New Roman" w:cs="Times New Roman"/>
          <w:sz w:val="24"/>
          <w:szCs w:val="24"/>
        </w:rPr>
        <w:t>igns of a confused sense of responsibility begin to emerge</w:t>
      </w:r>
      <w:r w:rsidR="00952988">
        <w:rPr>
          <w:rFonts w:ascii="Times New Roman" w:hAnsi="Times New Roman" w:cs="Times New Roman"/>
          <w:sz w:val="24"/>
          <w:szCs w:val="24"/>
        </w:rPr>
        <w:t xml:space="preserve"> here</w:t>
      </w:r>
      <w:r w:rsidR="00057F02">
        <w:rPr>
          <w:rFonts w:ascii="Times New Roman" w:hAnsi="Times New Roman" w:cs="Times New Roman"/>
          <w:sz w:val="24"/>
          <w:szCs w:val="24"/>
        </w:rPr>
        <w:t xml:space="preserve">.  </w:t>
      </w:r>
      <w:r w:rsidR="00C90F17">
        <w:rPr>
          <w:rFonts w:ascii="Times New Roman" w:hAnsi="Times New Roman" w:cs="Times New Roman"/>
          <w:sz w:val="24"/>
          <w:szCs w:val="24"/>
        </w:rPr>
        <w:t xml:space="preserve">The </w:t>
      </w:r>
      <w:r w:rsidR="00C74E4A">
        <w:rPr>
          <w:rFonts w:ascii="Times New Roman" w:hAnsi="Times New Roman" w:cs="Times New Roman"/>
          <w:sz w:val="24"/>
          <w:szCs w:val="24"/>
        </w:rPr>
        <w:t xml:space="preserve">consultee does not </w:t>
      </w:r>
      <w:r w:rsidR="00275A61">
        <w:rPr>
          <w:rFonts w:ascii="Times New Roman" w:hAnsi="Times New Roman" w:cs="Times New Roman"/>
          <w:sz w:val="24"/>
          <w:szCs w:val="24"/>
        </w:rPr>
        <w:t xml:space="preserve">provide consent for an incapacitated </w:t>
      </w:r>
      <w:r w:rsidR="00C74E4A">
        <w:rPr>
          <w:rFonts w:ascii="Times New Roman" w:hAnsi="Times New Roman" w:cs="Times New Roman"/>
          <w:sz w:val="24"/>
          <w:szCs w:val="24"/>
        </w:rPr>
        <w:t xml:space="preserve">participant, she simply advises.  It is actually a </w:t>
      </w:r>
      <w:r w:rsidR="00A87466">
        <w:rPr>
          <w:rFonts w:ascii="Times New Roman" w:hAnsi="Times New Roman" w:cs="Times New Roman"/>
          <w:sz w:val="24"/>
          <w:szCs w:val="24"/>
        </w:rPr>
        <w:t>researcher</w:t>
      </w:r>
      <w:r w:rsidR="00C74E4A">
        <w:rPr>
          <w:rFonts w:ascii="Times New Roman" w:hAnsi="Times New Roman" w:cs="Times New Roman"/>
          <w:sz w:val="24"/>
          <w:szCs w:val="24"/>
        </w:rPr>
        <w:t xml:space="preserve"> who should make </w:t>
      </w:r>
      <w:r w:rsidR="00A87466">
        <w:rPr>
          <w:rFonts w:ascii="Times New Roman" w:hAnsi="Times New Roman" w:cs="Times New Roman"/>
          <w:sz w:val="24"/>
          <w:szCs w:val="24"/>
        </w:rPr>
        <w:t>a</w:t>
      </w:r>
      <w:r w:rsidR="00C74E4A">
        <w:rPr>
          <w:rFonts w:ascii="Times New Roman" w:hAnsi="Times New Roman" w:cs="Times New Roman"/>
          <w:sz w:val="24"/>
          <w:szCs w:val="24"/>
        </w:rPr>
        <w:t xml:space="preserve"> final decision about inclusion, but w</w:t>
      </w:r>
      <w:r>
        <w:rPr>
          <w:rFonts w:ascii="Times New Roman" w:hAnsi="Times New Roman" w:cs="Times New Roman"/>
          <w:sz w:val="24"/>
          <w:szCs w:val="24"/>
        </w:rPr>
        <w:t xml:space="preserve">hether or not this is recognised as being the correct legal position </w:t>
      </w:r>
      <w:r w:rsidR="00275A61">
        <w:rPr>
          <w:rFonts w:ascii="Times New Roman" w:hAnsi="Times New Roman" w:cs="Times New Roman"/>
          <w:sz w:val="24"/>
          <w:szCs w:val="24"/>
        </w:rPr>
        <w:t xml:space="preserve">by the </w:t>
      </w:r>
      <w:r w:rsidR="00C74E4A">
        <w:rPr>
          <w:rFonts w:ascii="Times New Roman" w:hAnsi="Times New Roman" w:cs="Times New Roman"/>
          <w:sz w:val="24"/>
          <w:szCs w:val="24"/>
        </w:rPr>
        <w:t xml:space="preserve">various parties involved in the </w:t>
      </w:r>
      <w:r w:rsidR="00275A61">
        <w:rPr>
          <w:rFonts w:ascii="Times New Roman" w:hAnsi="Times New Roman" w:cs="Times New Roman"/>
          <w:sz w:val="24"/>
          <w:szCs w:val="24"/>
        </w:rPr>
        <w:t xml:space="preserve">authorisation process </w:t>
      </w:r>
      <w:r w:rsidR="009A507C">
        <w:rPr>
          <w:rFonts w:ascii="Times New Roman" w:hAnsi="Times New Roman" w:cs="Times New Roman"/>
          <w:sz w:val="24"/>
          <w:szCs w:val="24"/>
        </w:rPr>
        <w:t>is</w:t>
      </w:r>
      <w:r w:rsidR="00286E7A">
        <w:rPr>
          <w:rFonts w:ascii="Times New Roman" w:hAnsi="Times New Roman" w:cs="Times New Roman"/>
          <w:sz w:val="24"/>
          <w:szCs w:val="24"/>
        </w:rPr>
        <w:t xml:space="preserve"> the subject of doubt</w:t>
      </w:r>
      <w:r w:rsidR="00C74E4A">
        <w:rPr>
          <w:rFonts w:ascii="Times New Roman" w:hAnsi="Times New Roman" w:cs="Times New Roman"/>
          <w:sz w:val="24"/>
          <w:szCs w:val="24"/>
        </w:rPr>
        <w:t>.</w:t>
      </w:r>
      <w:r w:rsidR="00C74E4A">
        <w:rPr>
          <w:rStyle w:val="FootnoteReference"/>
          <w:rFonts w:ascii="Times New Roman" w:hAnsi="Times New Roman" w:cs="Times New Roman"/>
          <w:sz w:val="24"/>
          <w:szCs w:val="24"/>
        </w:rPr>
        <w:footnoteReference w:id="123"/>
      </w:r>
      <w:r w:rsidR="00C74E4A">
        <w:rPr>
          <w:rFonts w:ascii="Times New Roman" w:hAnsi="Times New Roman" w:cs="Times New Roman"/>
          <w:sz w:val="24"/>
          <w:szCs w:val="24"/>
        </w:rPr>
        <w:t xml:space="preserve"> Technically speaking it is </w:t>
      </w:r>
      <w:r w:rsidR="005A0784">
        <w:rPr>
          <w:rFonts w:ascii="Times New Roman" w:hAnsi="Times New Roman" w:cs="Times New Roman"/>
          <w:sz w:val="24"/>
          <w:szCs w:val="24"/>
        </w:rPr>
        <w:t xml:space="preserve">correct </w:t>
      </w:r>
      <w:r w:rsidR="00C74E4A">
        <w:rPr>
          <w:rFonts w:ascii="Times New Roman" w:hAnsi="Times New Roman" w:cs="Times New Roman"/>
          <w:sz w:val="24"/>
          <w:szCs w:val="24"/>
        </w:rPr>
        <w:t xml:space="preserve">to recognise </w:t>
      </w:r>
      <w:r w:rsidR="009A507C">
        <w:rPr>
          <w:rFonts w:ascii="Times New Roman" w:hAnsi="Times New Roman" w:cs="Times New Roman"/>
          <w:sz w:val="24"/>
          <w:szCs w:val="24"/>
        </w:rPr>
        <w:t xml:space="preserve">that a consultee has no legal power to consent, but if she is still given the </w:t>
      </w:r>
      <w:r w:rsidR="00286E7A">
        <w:rPr>
          <w:rFonts w:ascii="Times New Roman" w:hAnsi="Times New Roman" w:cs="Times New Roman"/>
          <w:sz w:val="24"/>
          <w:szCs w:val="24"/>
        </w:rPr>
        <w:t>power to</w:t>
      </w:r>
      <w:r w:rsidR="00EB27A3">
        <w:rPr>
          <w:rFonts w:ascii="Times New Roman" w:hAnsi="Times New Roman" w:cs="Times New Roman"/>
          <w:sz w:val="24"/>
          <w:szCs w:val="24"/>
        </w:rPr>
        <w:t xml:space="preserve"> advise that participation may be inappropriate</w:t>
      </w:r>
      <w:r>
        <w:rPr>
          <w:rFonts w:ascii="Times New Roman" w:hAnsi="Times New Roman" w:cs="Times New Roman"/>
          <w:sz w:val="24"/>
          <w:szCs w:val="24"/>
        </w:rPr>
        <w:t>,</w:t>
      </w:r>
      <w:r w:rsidR="00286E7A">
        <w:rPr>
          <w:rFonts w:ascii="Times New Roman" w:hAnsi="Times New Roman" w:cs="Times New Roman"/>
          <w:sz w:val="24"/>
          <w:szCs w:val="24"/>
        </w:rPr>
        <w:t xml:space="preserve"> which is then viewed </w:t>
      </w:r>
      <w:r w:rsidR="009A507C">
        <w:rPr>
          <w:rFonts w:ascii="Times New Roman" w:hAnsi="Times New Roman" w:cs="Times New Roman"/>
          <w:sz w:val="24"/>
          <w:szCs w:val="24"/>
        </w:rPr>
        <w:t xml:space="preserve">by both researchers and MCA RECs as being determinative, the difference between the power to </w:t>
      </w:r>
      <w:r w:rsidR="00057F02">
        <w:rPr>
          <w:rFonts w:ascii="Times New Roman" w:hAnsi="Times New Roman" w:cs="Times New Roman"/>
          <w:sz w:val="24"/>
          <w:szCs w:val="24"/>
        </w:rPr>
        <w:t xml:space="preserve">decide </w:t>
      </w:r>
      <w:r w:rsidR="009A507C">
        <w:rPr>
          <w:rFonts w:ascii="Times New Roman" w:hAnsi="Times New Roman" w:cs="Times New Roman"/>
          <w:sz w:val="24"/>
          <w:szCs w:val="24"/>
        </w:rPr>
        <w:t xml:space="preserve">and the mere power to advise </w:t>
      </w:r>
      <w:r w:rsidR="00286E7A">
        <w:rPr>
          <w:rFonts w:ascii="Times New Roman" w:hAnsi="Times New Roman" w:cs="Times New Roman"/>
          <w:sz w:val="24"/>
          <w:szCs w:val="24"/>
        </w:rPr>
        <w:t xml:space="preserve">effectively </w:t>
      </w:r>
      <w:r w:rsidR="009A507C">
        <w:rPr>
          <w:rFonts w:ascii="Times New Roman" w:hAnsi="Times New Roman" w:cs="Times New Roman"/>
          <w:sz w:val="24"/>
          <w:szCs w:val="24"/>
        </w:rPr>
        <w:t>evaporates</w:t>
      </w:r>
      <w:r w:rsidR="00C9354E">
        <w:rPr>
          <w:rFonts w:ascii="Times New Roman" w:hAnsi="Times New Roman" w:cs="Times New Roman"/>
          <w:sz w:val="24"/>
          <w:szCs w:val="24"/>
        </w:rPr>
        <w:t>.</w:t>
      </w:r>
      <w:r w:rsidR="00C74E4A">
        <w:rPr>
          <w:rStyle w:val="FootnoteReference"/>
          <w:rFonts w:ascii="Times New Roman" w:hAnsi="Times New Roman" w:cs="Times New Roman"/>
          <w:sz w:val="24"/>
          <w:szCs w:val="24"/>
        </w:rPr>
        <w:footnoteReference w:id="124"/>
      </w:r>
      <w:r w:rsidR="00C9354E">
        <w:rPr>
          <w:rFonts w:ascii="Times New Roman" w:hAnsi="Times New Roman" w:cs="Times New Roman"/>
          <w:sz w:val="24"/>
          <w:szCs w:val="24"/>
        </w:rPr>
        <w:t xml:space="preserve">  The upshot is that c</w:t>
      </w:r>
      <w:r w:rsidR="00286E7A">
        <w:rPr>
          <w:rFonts w:ascii="Times New Roman" w:hAnsi="Times New Roman" w:cs="Times New Roman"/>
          <w:sz w:val="24"/>
          <w:szCs w:val="24"/>
        </w:rPr>
        <w:t>onsultees may frequently play a defining role in the aut</w:t>
      </w:r>
      <w:r w:rsidR="005A0784">
        <w:rPr>
          <w:rFonts w:ascii="Times New Roman" w:hAnsi="Times New Roman" w:cs="Times New Roman"/>
          <w:sz w:val="24"/>
          <w:szCs w:val="24"/>
        </w:rPr>
        <w:t>horisation of research and this accords to them powers which exceed those initially contemplated by the Act.</w:t>
      </w:r>
      <w:r w:rsidR="00C9354E">
        <w:rPr>
          <w:rStyle w:val="FootnoteReference"/>
          <w:rFonts w:ascii="Times New Roman" w:hAnsi="Times New Roman" w:cs="Times New Roman"/>
          <w:sz w:val="24"/>
          <w:szCs w:val="24"/>
        </w:rPr>
        <w:footnoteReference w:id="125"/>
      </w:r>
    </w:p>
    <w:p w14:paraId="63479B74" w14:textId="3C4AC4AB" w:rsidR="003F4723" w:rsidRDefault="0060198C" w:rsidP="009535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6F68">
        <w:rPr>
          <w:rFonts w:ascii="Times New Roman" w:hAnsi="Times New Roman" w:cs="Times New Roman"/>
          <w:sz w:val="24"/>
          <w:szCs w:val="24"/>
        </w:rPr>
        <w:t>The drafting of the MCA adds a further layer of confusion</w:t>
      </w:r>
      <w:r w:rsidR="00286E7A">
        <w:rPr>
          <w:rFonts w:ascii="Times New Roman" w:hAnsi="Times New Roman" w:cs="Times New Roman"/>
          <w:sz w:val="24"/>
          <w:szCs w:val="24"/>
        </w:rPr>
        <w:t xml:space="preserve"> in terms of the obligations it creates.  While it is </w:t>
      </w:r>
      <w:r w:rsidR="00C50485">
        <w:rPr>
          <w:rFonts w:ascii="Times New Roman" w:hAnsi="Times New Roman" w:cs="Times New Roman"/>
          <w:sz w:val="24"/>
          <w:szCs w:val="24"/>
        </w:rPr>
        <w:t xml:space="preserve">incumbent on </w:t>
      </w:r>
      <w:r w:rsidR="00286E7A">
        <w:rPr>
          <w:rFonts w:ascii="Times New Roman" w:hAnsi="Times New Roman" w:cs="Times New Roman"/>
          <w:sz w:val="24"/>
          <w:szCs w:val="24"/>
        </w:rPr>
        <w:t xml:space="preserve">a </w:t>
      </w:r>
      <w:r w:rsidR="00C50485">
        <w:rPr>
          <w:rFonts w:ascii="Times New Roman" w:hAnsi="Times New Roman" w:cs="Times New Roman"/>
          <w:sz w:val="24"/>
          <w:szCs w:val="24"/>
        </w:rPr>
        <w:t>consultee to offer an opinion on an incapacitated par</w:t>
      </w:r>
      <w:r w:rsidR="00286E7A">
        <w:rPr>
          <w:rFonts w:ascii="Times New Roman" w:hAnsi="Times New Roman" w:cs="Times New Roman"/>
          <w:sz w:val="24"/>
          <w:szCs w:val="24"/>
        </w:rPr>
        <w:t xml:space="preserve">ticipant’s wishes and feelings, </w:t>
      </w:r>
      <w:r w:rsidR="00C50485">
        <w:rPr>
          <w:rFonts w:ascii="Times New Roman" w:hAnsi="Times New Roman" w:cs="Times New Roman"/>
          <w:sz w:val="24"/>
          <w:szCs w:val="24"/>
        </w:rPr>
        <w:t xml:space="preserve">the Act </w:t>
      </w:r>
      <w:r w:rsidR="00985211">
        <w:rPr>
          <w:rFonts w:ascii="Times New Roman" w:hAnsi="Times New Roman" w:cs="Times New Roman"/>
          <w:sz w:val="24"/>
          <w:szCs w:val="24"/>
        </w:rPr>
        <w:t xml:space="preserve">itself </w:t>
      </w:r>
      <w:r w:rsidR="00C50485">
        <w:rPr>
          <w:rFonts w:ascii="Times New Roman" w:hAnsi="Times New Roman" w:cs="Times New Roman"/>
          <w:sz w:val="24"/>
          <w:szCs w:val="24"/>
        </w:rPr>
        <w:t xml:space="preserve">does not specifically direct </w:t>
      </w:r>
      <w:r w:rsidR="00C9354E">
        <w:rPr>
          <w:rFonts w:ascii="Times New Roman" w:hAnsi="Times New Roman" w:cs="Times New Roman"/>
          <w:sz w:val="24"/>
          <w:szCs w:val="24"/>
        </w:rPr>
        <w:t xml:space="preserve">a </w:t>
      </w:r>
      <w:r w:rsidR="00C50485">
        <w:rPr>
          <w:rFonts w:ascii="Times New Roman" w:hAnsi="Times New Roman" w:cs="Times New Roman"/>
          <w:sz w:val="24"/>
          <w:szCs w:val="24"/>
        </w:rPr>
        <w:t>researcher to consider things from</w:t>
      </w:r>
      <w:r w:rsidR="00985211">
        <w:rPr>
          <w:rFonts w:ascii="Times New Roman" w:hAnsi="Times New Roman" w:cs="Times New Roman"/>
          <w:sz w:val="24"/>
          <w:szCs w:val="24"/>
        </w:rPr>
        <w:t xml:space="preserve"> that perspective</w:t>
      </w:r>
      <w:r w:rsidR="00017B69">
        <w:rPr>
          <w:rFonts w:ascii="Times New Roman" w:hAnsi="Times New Roman" w:cs="Times New Roman"/>
          <w:sz w:val="24"/>
          <w:szCs w:val="24"/>
        </w:rPr>
        <w:t>.</w:t>
      </w:r>
      <w:r w:rsidR="00C9354E" w:rsidRPr="00BB10C6">
        <w:rPr>
          <w:rStyle w:val="FootnoteReference"/>
          <w:rFonts w:ascii="Times New Roman" w:hAnsi="Times New Roman" w:cs="Times New Roman"/>
          <w:sz w:val="24"/>
          <w:szCs w:val="24"/>
        </w:rPr>
        <w:footnoteReference w:id="126"/>
      </w:r>
      <w:r w:rsidR="00017B69" w:rsidRPr="00BB10C6">
        <w:rPr>
          <w:rFonts w:ascii="Times New Roman" w:hAnsi="Times New Roman" w:cs="Times New Roman"/>
          <w:sz w:val="24"/>
          <w:szCs w:val="24"/>
        </w:rPr>
        <w:t xml:space="preserve">  </w:t>
      </w:r>
      <w:r w:rsidR="00BB10C6">
        <w:rPr>
          <w:rFonts w:ascii="Times New Roman" w:hAnsi="Times New Roman" w:cs="Times New Roman"/>
          <w:sz w:val="24"/>
          <w:szCs w:val="24"/>
        </w:rPr>
        <w:t>It is left to the CO</w:t>
      </w:r>
      <w:r w:rsidR="00017B69">
        <w:rPr>
          <w:rFonts w:ascii="Times New Roman" w:hAnsi="Times New Roman" w:cs="Times New Roman"/>
          <w:sz w:val="24"/>
          <w:szCs w:val="24"/>
        </w:rPr>
        <w:t xml:space="preserve">P to clarify </w:t>
      </w:r>
      <w:r w:rsidR="004473D1">
        <w:rPr>
          <w:rFonts w:ascii="Times New Roman" w:hAnsi="Times New Roman" w:cs="Times New Roman"/>
          <w:sz w:val="24"/>
          <w:szCs w:val="24"/>
        </w:rPr>
        <w:t>that researchers have a continuing obligation to consider the person’s wishes and feelings</w:t>
      </w:r>
      <w:r w:rsidR="00017B69">
        <w:rPr>
          <w:rFonts w:ascii="Times New Roman" w:hAnsi="Times New Roman" w:cs="Times New Roman"/>
          <w:sz w:val="24"/>
          <w:szCs w:val="24"/>
        </w:rPr>
        <w:t>,</w:t>
      </w:r>
      <w:r w:rsidR="00985211">
        <w:rPr>
          <w:rFonts w:ascii="Times New Roman" w:hAnsi="Times New Roman" w:cs="Times New Roman"/>
          <w:sz w:val="24"/>
          <w:szCs w:val="24"/>
        </w:rPr>
        <w:t xml:space="preserve"> but</w:t>
      </w:r>
      <w:r w:rsidR="0015179A">
        <w:rPr>
          <w:rFonts w:ascii="Times New Roman" w:hAnsi="Times New Roman" w:cs="Times New Roman"/>
          <w:sz w:val="24"/>
          <w:szCs w:val="24"/>
        </w:rPr>
        <w:t xml:space="preserve"> we have already highlighted that </w:t>
      </w:r>
      <w:r w:rsidR="00985211">
        <w:rPr>
          <w:rFonts w:ascii="Times New Roman" w:hAnsi="Times New Roman" w:cs="Times New Roman"/>
          <w:sz w:val="24"/>
          <w:szCs w:val="24"/>
        </w:rPr>
        <w:t xml:space="preserve">is inappropriate </w:t>
      </w:r>
      <w:r w:rsidR="00017B69">
        <w:rPr>
          <w:rFonts w:ascii="Times New Roman" w:hAnsi="Times New Roman" w:cs="Times New Roman"/>
          <w:sz w:val="24"/>
          <w:szCs w:val="24"/>
        </w:rPr>
        <w:t>where the matter is of such crucial importance.</w:t>
      </w:r>
      <w:r w:rsidR="00C9354E">
        <w:rPr>
          <w:rStyle w:val="FootnoteReference"/>
          <w:rFonts w:ascii="Times New Roman" w:hAnsi="Times New Roman" w:cs="Times New Roman"/>
          <w:sz w:val="24"/>
          <w:szCs w:val="24"/>
        </w:rPr>
        <w:footnoteReference w:id="127"/>
      </w:r>
      <w:r w:rsidR="00B6187C">
        <w:rPr>
          <w:rFonts w:ascii="Times New Roman" w:hAnsi="Times New Roman" w:cs="Times New Roman"/>
          <w:sz w:val="24"/>
          <w:szCs w:val="24"/>
        </w:rPr>
        <w:t xml:space="preserve">  An impression is thereby created from the terms of the MCA that researchers have </w:t>
      </w:r>
      <w:r w:rsidR="004473D1">
        <w:rPr>
          <w:rFonts w:ascii="Times New Roman" w:hAnsi="Times New Roman" w:cs="Times New Roman"/>
          <w:sz w:val="24"/>
          <w:szCs w:val="24"/>
        </w:rPr>
        <w:t xml:space="preserve">no specific duty to consider things from the perspective of the </w:t>
      </w:r>
      <w:r w:rsidR="00B6187C">
        <w:rPr>
          <w:rFonts w:ascii="Times New Roman" w:hAnsi="Times New Roman" w:cs="Times New Roman"/>
          <w:sz w:val="24"/>
          <w:szCs w:val="24"/>
        </w:rPr>
        <w:t>participant,</w:t>
      </w:r>
      <w:r w:rsidR="004473D1">
        <w:rPr>
          <w:rFonts w:ascii="Times New Roman" w:hAnsi="Times New Roman" w:cs="Times New Roman"/>
          <w:sz w:val="24"/>
          <w:szCs w:val="24"/>
        </w:rPr>
        <w:t xml:space="preserve"> as this is a role that is to be performed exclusively</w:t>
      </w:r>
      <w:r w:rsidR="008F1F2D">
        <w:rPr>
          <w:rFonts w:ascii="Times New Roman" w:hAnsi="Times New Roman" w:cs="Times New Roman"/>
          <w:sz w:val="24"/>
          <w:szCs w:val="24"/>
        </w:rPr>
        <w:t xml:space="preserve"> by the consultee</w:t>
      </w:r>
      <w:r w:rsidR="00017B69">
        <w:rPr>
          <w:rFonts w:ascii="Times New Roman" w:hAnsi="Times New Roman" w:cs="Times New Roman"/>
          <w:sz w:val="24"/>
          <w:szCs w:val="24"/>
        </w:rPr>
        <w:t xml:space="preserve">.  It </w:t>
      </w:r>
      <w:r w:rsidR="008F1F2D">
        <w:rPr>
          <w:rFonts w:ascii="Times New Roman" w:hAnsi="Times New Roman" w:cs="Times New Roman"/>
          <w:sz w:val="24"/>
          <w:szCs w:val="24"/>
        </w:rPr>
        <w:t>would be reg</w:t>
      </w:r>
      <w:r w:rsidR="00017B69">
        <w:rPr>
          <w:rFonts w:ascii="Times New Roman" w:hAnsi="Times New Roman" w:cs="Times New Roman"/>
          <w:sz w:val="24"/>
          <w:szCs w:val="24"/>
        </w:rPr>
        <w:t xml:space="preserve">rettable if this misunderstanding become </w:t>
      </w:r>
      <w:r w:rsidR="00017B69">
        <w:rPr>
          <w:rFonts w:ascii="Times New Roman" w:hAnsi="Times New Roman" w:cs="Times New Roman"/>
          <w:sz w:val="24"/>
          <w:szCs w:val="24"/>
        </w:rPr>
        <w:lastRenderedPageBreak/>
        <w:t>widespread</w:t>
      </w:r>
      <w:r w:rsidR="0015179A">
        <w:rPr>
          <w:rFonts w:ascii="Times New Roman" w:hAnsi="Times New Roman" w:cs="Times New Roman"/>
          <w:sz w:val="24"/>
          <w:szCs w:val="24"/>
        </w:rPr>
        <w:t xml:space="preserve">, </w:t>
      </w:r>
      <w:r w:rsidR="00E37843">
        <w:rPr>
          <w:rFonts w:ascii="Times New Roman" w:hAnsi="Times New Roman" w:cs="Times New Roman"/>
          <w:sz w:val="24"/>
          <w:szCs w:val="24"/>
        </w:rPr>
        <w:t xml:space="preserve">as </w:t>
      </w:r>
      <w:r w:rsidR="00133FB0">
        <w:rPr>
          <w:rFonts w:ascii="Times New Roman" w:hAnsi="Times New Roman" w:cs="Times New Roman"/>
          <w:sz w:val="24"/>
          <w:szCs w:val="24"/>
        </w:rPr>
        <w:t xml:space="preserve">it is dangerous to rely on the consultee system </w:t>
      </w:r>
      <w:r w:rsidR="0015179A">
        <w:rPr>
          <w:rFonts w:ascii="Times New Roman" w:hAnsi="Times New Roman" w:cs="Times New Roman"/>
          <w:sz w:val="24"/>
          <w:szCs w:val="24"/>
        </w:rPr>
        <w:t>to fill this void. If r</w:t>
      </w:r>
      <w:r w:rsidR="00FD6440" w:rsidRPr="00F24300">
        <w:rPr>
          <w:rFonts w:ascii="Times New Roman" w:hAnsi="Times New Roman" w:cs="Times New Roman"/>
          <w:sz w:val="24"/>
          <w:szCs w:val="24"/>
        </w:rPr>
        <w:t>esearcher</w:t>
      </w:r>
      <w:r w:rsidR="0015179A">
        <w:rPr>
          <w:rFonts w:ascii="Times New Roman" w:hAnsi="Times New Roman" w:cs="Times New Roman"/>
          <w:sz w:val="24"/>
          <w:szCs w:val="24"/>
        </w:rPr>
        <w:t xml:space="preserve">s </w:t>
      </w:r>
      <w:r w:rsidR="00952988">
        <w:rPr>
          <w:rFonts w:ascii="Times New Roman" w:hAnsi="Times New Roman" w:cs="Times New Roman"/>
          <w:sz w:val="24"/>
          <w:szCs w:val="24"/>
        </w:rPr>
        <w:t xml:space="preserve">inadvertently </w:t>
      </w:r>
      <w:r w:rsidR="00AA1CD1" w:rsidRPr="00F24300">
        <w:rPr>
          <w:rFonts w:ascii="Times New Roman" w:hAnsi="Times New Roman" w:cs="Times New Roman"/>
          <w:sz w:val="24"/>
          <w:szCs w:val="24"/>
        </w:rPr>
        <w:t>lose</w:t>
      </w:r>
      <w:r w:rsidR="008A2F48" w:rsidRPr="00F24300">
        <w:rPr>
          <w:rFonts w:ascii="Times New Roman" w:hAnsi="Times New Roman" w:cs="Times New Roman"/>
          <w:sz w:val="24"/>
          <w:szCs w:val="24"/>
        </w:rPr>
        <w:t xml:space="preserve"> sight of </w:t>
      </w:r>
      <w:r w:rsidR="00FD6440" w:rsidRPr="00F24300">
        <w:rPr>
          <w:rFonts w:ascii="Times New Roman" w:hAnsi="Times New Roman" w:cs="Times New Roman"/>
          <w:sz w:val="24"/>
          <w:szCs w:val="24"/>
        </w:rPr>
        <w:t xml:space="preserve">these key elements, </w:t>
      </w:r>
      <w:r w:rsidR="008A2F48" w:rsidRPr="00F24300">
        <w:rPr>
          <w:rFonts w:ascii="Times New Roman" w:hAnsi="Times New Roman" w:cs="Times New Roman"/>
          <w:sz w:val="24"/>
          <w:szCs w:val="24"/>
        </w:rPr>
        <w:t>or at least attach less importance to</w:t>
      </w:r>
      <w:r w:rsidR="0015179A">
        <w:rPr>
          <w:rFonts w:ascii="Times New Roman" w:hAnsi="Times New Roman" w:cs="Times New Roman"/>
          <w:sz w:val="24"/>
          <w:szCs w:val="24"/>
        </w:rPr>
        <w:t xml:space="preserve"> them, this is problematic</w:t>
      </w:r>
      <w:r w:rsidR="003F4723">
        <w:rPr>
          <w:rFonts w:ascii="Times New Roman" w:hAnsi="Times New Roman" w:cs="Times New Roman"/>
          <w:sz w:val="24"/>
          <w:szCs w:val="24"/>
        </w:rPr>
        <w:t xml:space="preserve">. This is because, </w:t>
      </w:r>
      <w:r w:rsidR="0015179A">
        <w:rPr>
          <w:rFonts w:ascii="Times New Roman" w:hAnsi="Times New Roman" w:cs="Times New Roman"/>
          <w:sz w:val="24"/>
          <w:szCs w:val="24"/>
        </w:rPr>
        <w:t xml:space="preserve">more often than not, it is </w:t>
      </w:r>
      <w:r w:rsidR="009B203F">
        <w:rPr>
          <w:rFonts w:ascii="Times New Roman" w:hAnsi="Times New Roman" w:cs="Times New Roman"/>
          <w:sz w:val="24"/>
          <w:szCs w:val="24"/>
        </w:rPr>
        <w:t xml:space="preserve">a researcher and not a consultee who may be best </w:t>
      </w:r>
      <w:r w:rsidR="006A1D7B" w:rsidRPr="00F24300">
        <w:rPr>
          <w:rFonts w:ascii="Times New Roman" w:hAnsi="Times New Roman" w:cs="Times New Roman"/>
          <w:sz w:val="24"/>
          <w:szCs w:val="24"/>
        </w:rPr>
        <w:t xml:space="preserve">placed to consider how aspects of a particular project </w:t>
      </w:r>
      <w:r w:rsidR="0029198C" w:rsidRPr="00F24300">
        <w:rPr>
          <w:rFonts w:ascii="Times New Roman" w:hAnsi="Times New Roman" w:cs="Times New Roman"/>
          <w:sz w:val="24"/>
          <w:szCs w:val="24"/>
        </w:rPr>
        <w:t>m</w:t>
      </w:r>
      <w:r w:rsidR="00F24300" w:rsidRPr="00F24300">
        <w:rPr>
          <w:rFonts w:ascii="Times New Roman" w:hAnsi="Times New Roman" w:cs="Times New Roman"/>
          <w:sz w:val="24"/>
          <w:szCs w:val="24"/>
        </w:rPr>
        <w:t xml:space="preserve">ay impact upon the personal </w:t>
      </w:r>
      <w:r w:rsidR="0029198C" w:rsidRPr="00F24300">
        <w:rPr>
          <w:rFonts w:ascii="Times New Roman" w:hAnsi="Times New Roman" w:cs="Times New Roman"/>
          <w:sz w:val="24"/>
          <w:szCs w:val="24"/>
        </w:rPr>
        <w:t xml:space="preserve">circumstances of an </w:t>
      </w:r>
      <w:r w:rsidR="003F4723">
        <w:rPr>
          <w:rFonts w:ascii="Times New Roman" w:hAnsi="Times New Roman" w:cs="Times New Roman"/>
          <w:sz w:val="24"/>
          <w:szCs w:val="24"/>
        </w:rPr>
        <w:t xml:space="preserve">individual, and to provide her with the help and support she needs to make a decision for herself.  The MCA’s entire system of research regulation needs to emphasise this more explicitly. </w:t>
      </w:r>
    </w:p>
    <w:p w14:paraId="0C17745C" w14:textId="77777777" w:rsidR="003F4723" w:rsidRDefault="003F4723" w:rsidP="00953531">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7345DC">
        <w:rPr>
          <w:rFonts w:ascii="Times New Roman" w:hAnsi="Times New Roman" w:cs="Times New Roman"/>
          <w:color w:val="FF0000"/>
          <w:sz w:val="24"/>
          <w:szCs w:val="24"/>
        </w:rPr>
        <w:t>We have insuf</w:t>
      </w:r>
      <w:r w:rsidR="00C0012E">
        <w:rPr>
          <w:rFonts w:ascii="Times New Roman" w:hAnsi="Times New Roman" w:cs="Times New Roman"/>
          <w:color w:val="FF0000"/>
          <w:sz w:val="24"/>
          <w:szCs w:val="24"/>
        </w:rPr>
        <w:t xml:space="preserve">ficient space here to provide a comprehensive discussion </w:t>
      </w:r>
      <w:r w:rsidR="007345DC">
        <w:rPr>
          <w:rFonts w:ascii="Times New Roman" w:hAnsi="Times New Roman" w:cs="Times New Roman"/>
          <w:color w:val="FF0000"/>
          <w:sz w:val="24"/>
          <w:szCs w:val="24"/>
        </w:rPr>
        <w:t>regarding how to optimise supported decision-making. Howev</w:t>
      </w:r>
      <w:r w:rsidR="00240786">
        <w:rPr>
          <w:rFonts w:ascii="Times New Roman" w:hAnsi="Times New Roman" w:cs="Times New Roman"/>
          <w:color w:val="FF0000"/>
          <w:sz w:val="24"/>
          <w:szCs w:val="24"/>
        </w:rPr>
        <w:t xml:space="preserve">er, one possible starting point is the judgment of </w:t>
      </w:r>
      <w:r w:rsidR="007345DC">
        <w:rPr>
          <w:rFonts w:ascii="Times New Roman" w:hAnsi="Times New Roman" w:cs="Times New Roman"/>
          <w:color w:val="FF0000"/>
          <w:sz w:val="24"/>
          <w:szCs w:val="24"/>
        </w:rPr>
        <w:t xml:space="preserve">Baker J in </w:t>
      </w:r>
      <w:r w:rsidR="00F052D2">
        <w:rPr>
          <w:rFonts w:ascii="Times New Roman" w:hAnsi="Times New Roman" w:cs="Times New Roman"/>
          <w:i/>
          <w:color w:val="FF0000"/>
          <w:sz w:val="24"/>
          <w:szCs w:val="24"/>
        </w:rPr>
        <w:t>CC v KK</w:t>
      </w:r>
      <w:r w:rsidR="00F052D2" w:rsidRPr="00F052D2">
        <w:rPr>
          <w:rFonts w:ascii="Times New Roman" w:hAnsi="Times New Roman" w:cs="Times New Roman"/>
          <w:color w:val="FF0000"/>
          <w:sz w:val="24"/>
          <w:szCs w:val="24"/>
        </w:rPr>
        <w:t>.</w:t>
      </w:r>
      <w:r w:rsidR="008134D2">
        <w:rPr>
          <w:rStyle w:val="FootnoteReference"/>
          <w:rFonts w:ascii="Times New Roman" w:hAnsi="Times New Roman" w:cs="Times New Roman"/>
          <w:color w:val="FF0000"/>
          <w:sz w:val="24"/>
          <w:szCs w:val="24"/>
        </w:rPr>
        <w:footnoteReference w:id="128"/>
      </w:r>
      <w:r w:rsidR="008134D2">
        <w:rPr>
          <w:rFonts w:ascii="Times New Roman" w:hAnsi="Times New Roman" w:cs="Times New Roman"/>
          <w:color w:val="FF0000"/>
          <w:sz w:val="24"/>
          <w:szCs w:val="24"/>
        </w:rPr>
        <w:t xml:space="preserve"> One of the issues to be decided in the case was whether the applicant had capacity to make decisions about where she should live. Baker J warned that assessing </w:t>
      </w:r>
      <w:r w:rsidR="007345DC">
        <w:rPr>
          <w:rFonts w:ascii="Times New Roman" w:hAnsi="Times New Roman" w:cs="Times New Roman"/>
          <w:color w:val="FF0000"/>
          <w:sz w:val="24"/>
          <w:szCs w:val="24"/>
        </w:rPr>
        <w:t xml:space="preserve">capacity from a “blank canvas” </w:t>
      </w:r>
      <w:r w:rsidR="008134D2">
        <w:rPr>
          <w:rFonts w:ascii="Times New Roman" w:hAnsi="Times New Roman" w:cs="Times New Roman"/>
          <w:color w:val="FF0000"/>
          <w:sz w:val="24"/>
          <w:szCs w:val="24"/>
        </w:rPr>
        <w:t>was inappropriate and stressed that a</w:t>
      </w:r>
      <w:r w:rsidR="007345DC">
        <w:rPr>
          <w:rFonts w:ascii="Times New Roman" w:hAnsi="Times New Roman" w:cs="Times New Roman"/>
          <w:color w:val="FF0000"/>
          <w:sz w:val="24"/>
          <w:szCs w:val="24"/>
        </w:rPr>
        <w:t xml:space="preserve"> person under consideration needs to be provided with relevant information and detailed optio</w:t>
      </w:r>
      <w:r w:rsidR="008134D2">
        <w:rPr>
          <w:rFonts w:ascii="Times New Roman" w:hAnsi="Times New Roman" w:cs="Times New Roman"/>
          <w:color w:val="FF0000"/>
          <w:sz w:val="24"/>
          <w:szCs w:val="24"/>
        </w:rPr>
        <w:t>ns</w:t>
      </w:r>
      <w:r w:rsidR="00FF6F0C">
        <w:rPr>
          <w:rFonts w:ascii="Times New Roman" w:hAnsi="Times New Roman" w:cs="Times New Roman"/>
          <w:color w:val="FF0000"/>
          <w:sz w:val="24"/>
          <w:szCs w:val="24"/>
        </w:rPr>
        <w:t xml:space="preserve"> so that their capacity to weigh up those options can be fairly assessed.</w:t>
      </w:r>
      <w:r w:rsidR="00FF6F0C">
        <w:rPr>
          <w:rStyle w:val="FootnoteReference"/>
          <w:rFonts w:ascii="Times New Roman" w:hAnsi="Times New Roman" w:cs="Times New Roman"/>
          <w:color w:val="FF0000"/>
          <w:sz w:val="24"/>
          <w:szCs w:val="24"/>
        </w:rPr>
        <w:footnoteReference w:id="129"/>
      </w:r>
      <w:r w:rsidR="00FF6F0C">
        <w:rPr>
          <w:rFonts w:ascii="Times New Roman" w:hAnsi="Times New Roman" w:cs="Times New Roman"/>
          <w:color w:val="FF0000"/>
          <w:sz w:val="24"/>
          <w:szCs w:val="24"/>
        </w:rPr>
        <w:t xml:space="preserve"> </w:t>
      </w:r>
      <w:r w:rsidR="00240786">
        <w:rPr>
          <w:rFonts w:ascii="Times New Roman" w:hAnsi="Times New Roman" w:cs="Times New Roman"/>
          <w:color w:val="FF0000"/>
          <w:sz w:val="24"/>
          <w:szCs w:val="24"/>
        </w:rPr>
        <w:t>Equally, it is not a requirement that a person has to demonstrate an ability to understand and we</w:t>
      </w:r>
      <w:r w:rsidR="003F6A67">
        <w:rPr>
          <w:rFonts w:ascii="Times New Roman" w:hAnsi="Times New Roman" w:cs="Times New Roman"/>
          <w:color w:val="FF0000"/>
          <w:sz w:val="24"/>
          <w:szCs w:val="24"/>
        </w:rPr>
        <w:t xml:space="preserve">igh up every nuance and detail, as long as </w:t>
      </w:r>
      <w:r w:rsidR="006D25BD">
        <w:rPr>
          <w:rFonts w:ascii="Times New Roman" w:hAnsi="Times New Roman" w:cs="Times New Roman"/>
          <w:color w:val="FF0000"/>
          <w:sz w:val="24"/>
          <w:szCs w:val="24"/>
        </w:rPr>
        <w:t xml:space="preserve">she </w:t>
      </w:r>
      <w:r w:rsidR="00240786">
        <w:rPr>
          <w:rFonts w:ascii="Times New Roman" w:hAnsi="Times New Roman" w:cs="Times New Roman"/>
          <w:color w:val="FF0000"/>
          <w:sz w:val="24"/>
          <w:szCs w:val="24"/>
        </w:rPr>
        <w:t>understand</w:t>
      </w:r>
      <w:r w:rsidR="006D25BD">
        <w:rPr>
          <w:rFonts w:ascii="Times New Roman" w:hAnsi="Times New Roman" w:cs="Times New Roman"/>
          <w:color w:val="FF0000"/>
          <w:sz w:val="24"/>
          <w:szCs w:val="24"/>
        </w:rPr>
        <w:t>s</w:t>
      </w:r>
      <w:r w:rsidR="00240786">
        <w:rPr>
          <w:rFonts w:ascii="Times New Roman" w:hAnsi="Times New Roman" w:cs="Times New Roman"/>
          <w:color w:val="FF0000"/>
          <w:sz w:val="24"/>
          <w:szCs w:val="24"/>
        </w:rPr>
        <w:t xml:space="preserve"> the salient</w:t>
      </w:r>
      <w:r w:rsidR="00FF6F0C">
        <w:rPr>
          <w:rFonts w:ascii="Times New Roman" w:hAnsi="Times New Roman" w:cs="Times New Roman"/>
          <w:color w:val="FF0000"/>
          <w:sz w:val="24"/>
          <w:szCs w:val="24"/>
        </w:rPr>
        <w:t xml:space="preserve"> factors</w:t>
      </w:r>
      <w:r w:rsidR="00240786">
        <w:rPr>
          <w:rFonts w:ascii="Times New Roman" w:hAnsi="Times New Roman" w:cs="Times New Roman"/>
          <w:color w:val="FF0000"/>
          <w:sz w:val="24"/>
          <w:szCs w:val="24"/>
        </w:rPr>
        <w:t>.</w:t>
      </w:r>
      <w:r w:rsidR="004474E0">
        <w:rPr>
          <w:rStyle w:val="FootnoteReference"/>
          <w:rFonts w:ascii="Times New Roman" w:hAnsi="Times New Roman" w:cs="Times New Roman"/>
          <w:color w:val="FF0000"/>
          <w:sz w:val="24"/>
          <w:szCs w:val="24"/>
        </w:rPr>
        <w:footnoteReference w:id="130"/>
      </w:r>
      <w:r w:rsidR="004474E0">
        <w:rPr>
          <w:rFonts w:ascii="Times New Roman" w:hAnsi="Times New Roman" w:cs="Times New Roman"/>
          <w:color w:val="FF0000"/>
          <w:sz w:val="24"/>
          <w:szCs w:val="24"/>
        </w:rPr>
        <w:t xml:space="preserve"> If </w:t>
      </w:r>
      <w:r w:rsidR="008134D2">
        <w:rPr>
          <w:rFonts w:ascii="Times New Roman" w:hAnsi="Times New Roman" w:cs="Times New Roman"/>
          <w:color w:val="FF0000"/>
          <w:sz w:val="24"/>
          <w:szCs w:val="24"/>
        </w:rPr>
        <w:t xml:space="preserve">support is </w:t>
      </w:r>
      <w:r w:rsidR="00FF6F0C">
        <w:rPr>
          <w:rFonts w:ascii="Times New Roman" w:hAnsi="Times New Roman" w:cs="Times New Roman"/>
          <w:color w:val="FF0000"/>
          <w:sz w:val="24"/>
          <w:szCs w:val="24"/>
        </w:rPr>
        <w:t xml:space="preserve">provided to help a person </w:t>
      </w:r>
      <w:r w:rsidR="008134D2">
        <w:rPr>
          <w:rFonts w:ascii="Times New Roman" w:hAnsi="Times New Roman" w:cs="Times New Roman"/>
          <w:color w:val="FF0000"/>
          <w:sz w:val="24"/>
          <w:szCs w:val="24"/>
        </w:rPr>
        <w:t>achieve this, it may</w:t>
      </w:r>
      <w:r w:rsidR="003F6A67">
        <w:rPr>
          <w:rFonts w:ascii="Times New Roman" w:hAnsi="Times New Roman" w:cs="Times New Roman"/>
          <w:color w:val="FF0000"/>
          <w:sz w:val="24"/>
          <w:szCs w:val="24"/>
        </w:rPr>
        <w:t xml:space="preserve"> change the outlook of </w:t>
      </w:r>
      <w:r w:rsidR="008134D2">
        <w:rPr>
          <w:rFonts w:ascii="Times New Roman" w:hAnsi="Times New Roman" w:cs="Times New Roman"/>
          <w:color w:val="FF0000"/>
          <w:sz w:val="24"/>
          <w:szCs w:val="24"/>
        </w:rPr>
        <w:t xml:space="preserve">a number of capacity assessments.  For example, on the facts, Baker J </w:t>
      </w:r>
      <w:r w:rsidR="00240786">
        <w:rPr>
          <w:rFonts w:ascii="Times New Roman" w:hAnsi="Times New Roman" w:cs="Times New Roman"/>
          <w:color w:val="FF0000"/>
          <w:sz w:val="24"/>
          <w:szCs w:val="24"/>
        </w:rPr>
        <w:t>suggest</w:t>
      </w:r>
      <w:r w:rsidR="008134D2">
        <w:rPr>
          <w:rFonts w:ascii="Times New Roman" w:hAnsi="Times New Roman" w:cs="Times New Roman"/>
          <w:color w:val="FF0000"/>
          <w:sz w:val="24"/>
          <w:szCs w:val="24"/>
        </w:rPr>
        <w:t>ed</w:t>
      </w:r>
      <w:r w:rsidR="00FF6F0C">
        <w:rPr>
          <w:rFonts w:ascii="Times New Roman" w:hAnsi="Times New Roman" w:cs="Times New Roman"/>
          <w:color w:val="FF0000"/>
          <w:sz w:val="24"/>
          <w:szCs w:val="24"/>
        </w:rPr>
        <w:t xml:space="preserve"> that some </w:t>
      </w:r>
      <w:r w:rsidR="00240786">
        <w:rPr>
          <w:rFonts w:ascii="Times New Roman" w:hAnsi="Times New Roman" w:cs="Times New Roman"/>
          <w:color w:val="FF0000"/>
          <w:sz w:val="24"/>
          <w:szCs w:val="24"/>
        </w:rPr>
        <w:t>steps</w:t>
      </w:r>
      <w:r w:rsidR="008134D2">
        <w:rPr>
          <w:rFonts w:ascii="Times New Roman" w:hAnsi="Times New Roman" w:cs="Times New Roman"/>
          <w:color w:val="FF0000"/>
          <w:sz w:val="24"/>
          <w:szCs w:val="24"/>
        </w:rPr>
        <w:t xml:space="preserve"> that the local authority </w:t>
      </w:r>
      <w:r w:rsidR="00FF6F0C">
        <w:rPr>
          <w:rFonts w:ascii="Times New Roman" w:hAnsi="Times New Roman" w:cs="Times New Roman"/>
          <w:color w:val="FF0000"/>
          <w:sz w:val="24"/>
          <w:szCs w:val="24"/>
        </w:rPr>
        <w:t xml:space="preserve">may wish to </w:t>
      </w:r>
      <w:r w:rsidR="008134D2">
        <w:rPr>
          <w:rFonts w:ascii="Times New Roman" w:hAnsi="Times New Roman" w:cs="Times New Roman"/>
          <w:color w:val="FF0000"/>
          <w:sz w:val="24"/>
          <w:szCs w:val="24"/>
        </w:rPr>
        <w:t xml:space="preserve">consider taking </w:t>
      </w:r>
      <w:r w:rsidR="00FF6F0C">
        <w:rPr>
          <w:rFonts w:ascii="Times New Roman" w:hAnsi="Times New Roman" w:cs="Times New Roman"/>
          <w:color w:val="FF0000"/>
          <w:sz w:val="24"/>
          <w:szCs w:val="24"/>
        </w:rPr>
        <w:t xml:space="preserve">could </w:t>
      </w:r>
      <w:r w:rsidR="00240786">
        <w:rPr>
          <w:rFonts w:ascii="Times New Roman" w:hAnsi="Times New Roman" w:cs="Times New Roman"/>
          <w:color w:val="FF0000"/>
          <w:sz w:val="24"/>
          <w:szCs w:val="24"/>
        </w:rPr>
        <w:t xml:space="preserve">involve a series of overnight trial visits, with all the necessary support, to enable the </w:t>
      </w:r>
      <w:r w:rsidR="00FF6F0C">
        <w:rPr>
          <w:rFonts w:ascii="Times New Roman" w:hAnsi="Times New Roman" w:cs="Times New Roman"/>
          <w:color w:val="FF0000"/>
          <w:sz w:val="24"/>
          <w:szCs w:val="24"/>
        </w:rPr>
        <w:t xml:space="preserve">applicant </w:t>
      </w:r>
      <w:r w:rsidR="00240786">
        <w:rPr>
          <w:rFonts w:ascii="Times New Roman" w:hAnsi="Times New Roman" w:cs="Times New Roman"/>
          <w:color w:val="FF0000"/>
          <w:sz w:val="24"/>
          <w:szCs w:val="24"/>
        </w:rPr>
        <w:t>to reach a</w:t>
      </w:r>
      <w:r w:rsidR="004474E0">
        <w:rPr>
          <w:rFonts w:ascii="Times New Roman" w:hAnsi="Times New Roman" w:cs="Times New Roman"/>
          <w:color w:val="FF0000"/>
          <w:sz w:val="24"/>
          <w:szCs w:val="24"/>
        </w:rPr>
        <w:t xml:space="preserve"> decision about whether </w:t>
      </w:r>
      <w:r w:rsidR="00240786">
        <w:rPr>
          <w:rFonts w:ascii="Times New Roman" w:hAnsi="Times New Roman" w:cs="Times New Roman"/>
          <w:color w:val="FF0000"/>
          <w:sz w:val="24"/>
          <w:szCs w:val="24"/>
        </w:rPr>
        <w:t>she wished to move bac</w:t>
      </w:r>
      <w:r w:rsidR="008134D2">
        <w:rPr>
          <w:rFonts w:ascii="Times New Roman" w:hAnsi="Times New Roman" w:cs="Times New Roman"/>
          <w:color w:val="FF0000"/>
          <w:sz w:val="24"/>
          <w:szCs w:val="24"/>
        </w:rPr>
        <w:t xml:space="preserve">k home or </w:t>
      </w:r>
      <w:r w:rsidR="004474E0">
        <w:rPr>
          <w:rFonts w:ascii="Times New Roman" w:hAnsi="Times New Roman" w:cs="Times New Roman"/>
          <w:color w:val="FF0000"/>
          <w:sz w:val="24"/>
          <w:szCs w:val="24"/>
        </w:rPr>
        <w:t>if</w:t>
      </w:r>
      <w:r w:rsidR="008134D2">
        <w:rPr>
          <w:rFonts w:ascii="Times New Roman" w:hAnsi="Times New Roman" w:cs="Times New Roman"/>
          <w:color w:val="FF0000"/>
          <w:sz w:val="24"/>
          <w:szCs w:val="24"/>
        </w:rPr>
        <w:t xml:space="preserve"> she would prefer to remain in a nursing home.</w:t>
      </w:r>
      <w:r w:rsidR="004474E0">
        <w:rPr>
          <w:rStyle w:val="FootnoteReference"/>
          <w:rFonts w:ascii="Times New Roman" w:hAnsi="Times New Roman" w:cs="Times New Roman"/>
          <w:color w:val="FF0000"/>
          <w:sz w:val="24"/>
          <w:szCs w:val="24"/>
        </w:rPr>
        <w:footnoteReference w:id="131"/>
      </w:r>
      <w:r>
        <w:rPr>
          <w:rFonts w:ascii="Times New Roman" w:hAnsi="Times New Roman" w:cs="Times New Roman"/>
          <w:color w:val="FF0000"/>
          <w:sz w:val="24"/>
          <w:szCs w:val="24"/>
        </w:rPr>
        <w:t xml:space="preserve"> Even though </w:t>
      </w:r>
      <w:r w:rsidRPr="003F4723">
        <w:rPr>
          <w:rFonts w:ascii="Times New Roman" w:hAnsi="Times New Roman" w:cs="Times New Roman"/>
          <w:i/>
          <w:color w:val="FF0000"/>
          <w:sz w:val="24"/>
          <w:szCs w:val="24"/>
        </w:rPr>
        <w:t>CC</w:t>
      </w:r>
      <w:r>
        <w:rPr>
          <w:rFonts w:ascii="Times New Roman" w:hAnsi="Times New Roman" w:cs="Times New Roman"/>
          <w:color w:val="FF0000"/>
          <w:sz w:val="24"/>
          <w:szCs w:val="24"/>
        </w:rPr>
        <w:t xml:space="preserve"> did not </w:t>
      </w:r>
      <w:r w:rsidR="004474E0">
        <w:rPr>
          <w:rFonts w:ascii="Times New Roman" w:hAnsi="Times New Roman" w:cs="Times New Roman"/>
          <w:color w:val="FF0000"/>
          <w:sz w:val="24"/>
          <w:szCs w:val="24"/>
        </w:rPr>
        <w:t>concern research, the key message is the same: it is crucial to take all practicable steps to enable a person to make a decision for herself.</w:t>
      </w:r>
      <w:r w:rsidR="003F6A67">
        <w:rPr>
          <w:rStyle w:val="FootnoteReference"/>
          <w:rFonts w:ascii="Times New Roman" w:hAnsi="Times New Roman" w:cs="Times New Roman"/>
          <w:color w:val="FF0000"/>
          <w:sz w:val="24"/>
          <w:szCs w:val="24"/>
        </w:rPr>
        <w:footnoteReference w:id="132"/>
      </w:r>
      <w:r w:rsidR="004474E0">
        <w:rPr>
          <w:rFonts w:ascii="Times New Roman" w:hAnsi="Times New Roman" w:cs="Times New Roman"/>
          <w:color w:val="FF0000"/>
          <w:sz w:val="24"/>
          <w:szCs w:val="24"/>
        </w:rPr>
        <w:t xml:space="preserve"> </w:t>
      </w:r>
    </w:p>
    <w:p w14:paraId="0C02D263" w14:textId="0916168A" w:rsidR="003C0211" w:rsidRPr="007345DC" w:rsidRDefault="003F4723" w:rsidP="00953531">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4474E0">
        <w:rPr>
          <w:rFonts w:ascii="Times New Roman" w:hAnsi="Times New Roman" w:cs="Times New Roman"/>
          <w:color w:val="FF0000"/>
          <w:sz w:val="24"/>
          <w:szCs w:val="24"/>
        </w:rPr>
        <w:t xml:space="preserve">Researchers, then, should be encouraged to provide potential participants with relevant information about a project in a way that is </w:t>
      </w:r>
      <w:r w:rsidR="00FF6F0C">
        <w:rPr>
          <w:rFonts w:ascii="Times New Roman" w:hAnsi="Times New Roman" w:cs="Times New Roman"/>
          <w:color w:val="FF0000"/>
          <w:sz w:val="24"/>
          <w:szCs w:val="24"/>
        </w:rPr>
        <w:t xml:space="preserve">comprehensible </w:t>
      </w:r>
      <w:r w:rsidR="004474E0">
        <w:rPr>
          <w:rFonts w:ascii="Times New Roman" w:hAnsi="Times New Roman" w:cs="Times New Roman"/>
          <w:color w:val="FF0000"/>
          <w:sz w:val="24"/>
          <w:szCs w:val="24"/>
        </w:rPr>
        <w:t>to that individual. Tailored s</w:t>
      </w:r>
      <w:r w:rsidR="003F6A67">
        <w:rPr>
          <w:rFonts w:ascii="Times New Roman" w:hAnsi="Times New Roman" w:cs="Times New Roman"/>
          <w:color w:val="FF0000"/>
          <w:sz w:val="24"/>
          <w:szCs w:val="24"/>
        </w:rPr>
        <w:t xml:space="preserve">teps must also </w:t>
      </w:r>
      <w:r w:rsidR="004474E0">
        <w:rPr>
          <w:rFonts w:ascii="Times New Roman" w:hAnsi="Times New Roman" w:cs="Times New Roman"/>
          <w:color w:val="FF0000"/>
          <w:sz w:val="24"/>
          <w:szCs w:val="24"/>
        </w:rPr>
        <w:t>be taken to assist that person to understand the key points of the project</w:t>
      </w:r>
      <w:r w:rsidR="00964661">
        <w:rPr>
          <w:rFonts w:ascii="Times New Roman" w:hAnsi="Times New Roman" w:cs="Times New Roman"/>
          <w:color w:val="FF0000"/>
          <w:sz w:val="24"/>
          <w:szCs w:val="24"/>
        </w:rPr>
        <w:t xml:space="preserve">, and to encourage her to enter into a </w:t>
      </w:r>
      <w:r w:rsidR="006D25BD">
        <w:rPr>
          <w:rFonts w:ascii="Times New Roman" w:hAnsi="Times New Roman" w:cs="Times New Roman"/>
          <w:color w:val="FF0000"/>
          <w:sz w:val="24"/>
          <w:szCs w:val="24"/>
        </w:rPr>
        <w:t xml:space="preserve">dialogue </w:t>
      </w:r>
      <w:r w:rsidR="00964661">
        <w:rPr>
          <w:rFonts w:ascii="Times New Roman" w:hAnsi="Times New Roman" w:cs="Times New Roman"/>
          <w:color w:val="FF0000"/>
          <w:sz w:val="24"/>
          <w:szCs w:val="24"/>
        </w:rPr>
        <w:t>about what the research is intended to achieve.</w:t>
      </w:r>
      <w:r>
        <w:rPr>
          <w:rFonts w:ascii="Times New Roman" w:hAnsi="Times New Roman" w:cs="Times New Roman"/>
          <w:color w:val="FF0000"/>
          <w:sz w:val="24"/>
          <w:szCs w:val="24"/>
        </w:rPr>
        <w:t xml:space="preserve">  This could include, </w:t>
      </w:r>
      <w:r w:rsidRPr="003F4723">
        <w:rPr>
          <w:rFonts w:ascii="Times New Roman" w:hAnsi="Times New Roman" w:cs="Times New Roman"/>
          <w:i/>
          <w:color w:val="FF0000"/>
          <w:sz w:val="24"/>
          <w:szCs w:val="24"/>
        </w:rPr>
        <w:t>inter alia</w:t>
      </w:r>
      <w:r>
        <w:rPr>
          <w:rFonts w:ascii="Times New Roman" w:hAnsi="Times New Roman" w:cs="Times New Roman"/>
          <w:color w:val="FF0000"/>
          <w:sz w:val="24"/>
          <w:szCs w:val="24"/>
        </w:rPr>
        <w:t xml:space="preserve">, techniques such as the provision of easy read materials, visual aids </w:t>
      </w:r>
      <w:r>
        <w:rPr>
          <w:rFonts w:ascii="Times New Roman" w:hAnsi="Times New Roman" w:cs="Times New Roman"/>
          <w:color w:val="FF0000"/>
          <w:sz w:val="24"/>
          <w:szCs w:val="24"/>
        </w:rPr>
        <w:lastRenderedPageBreak/>
        <w:t>and flash</w:t>
      </w:r>
      <w:r w:rsidR="00D24744">
        <w:rPr>
          <w:rFonts w:ascii="Times New Roman" w:hAnsi="Times New Roman" w:cs="Times New Roman"/>
          <w:color w:val="FF0000"/>
          <w:sz w:val="24"/>
          <w:szCs w:val="24"/>
        </w:rPr>
        <w:t xml:space="preserve"> </w:t>
      </w:r>
      <w:r>
        <w:rPr>
          <w:rFonts w:ascii="Times New Roman" w:hAnsi="Times New Roman" w:cs="Times New Roman"/>
          <w:color w:val="FF0000"/>
          <w:sz w:val="24"/>
          <w:szCs w:val="24"/>
        </w:rPr>
        <w:t>cards to assist in comprehension.</w:t>
      </w:r>
      <w:r w:rsidR="00E37843">
        <w:rPr>
          <w:rFonts w:ascii="Times New Roman" w:hAnsi="Times New Roman" w:cs="Times New Roman"/>
          <w:color w:val="FF0000"/>
          <w:sz w:val="24"/>
          <w:szCs w:val="24"/>
        </w:rPr>
        <w:t xml:space="preserve">  We are by no means </w:t>
      </w:r>
      <w:r w:rsidR="00964661">
        <w:rPr>
          <w:rFonts w:ascii="Times New Roman" w:hAnsi="Times New Roman" w:cs="Times New Roman"/>
          <w:color w:val="FF0000"/>
          <w:sz w:val="24"/>
          <w:szCs w:val="24"/>
        </w:rPr>
        <w:t xml:space="preserve">claiming that this is a definitive formula to ameliorate the difficulties </w:t>
      </w:r>
      <w:r w:rsidR="006D25BD">
        <w:rPr>
          <w:rFonts w:ascii="Times New Roman" w:hAnsi="Times New Roman" w:cs="Times New Roman"/>
          <w:color w:val="FF0000"/>
          <w:sz w:val="24"/>
          <w:szCs w:val="24"/>
        </w:rPr>
        <w:t xml:space="preserve">associated </w:t>
      </w:r>
      <w:r w:rsidR="00964661">
        <w:rPr>
          <w:rFonts w:ascii="Times New Roman" w:hAnsi="Times New Roman" w:cs="Times New Roman"/>
          <w:color w:val="FF0000"/>
          <w:sz w:val="24"/>
          <w:szCs w:val="24"/>
        </w:rPr>
        <w:t>with implementing a supported decision-making model in practice</w:t>
      </w:r>
      <w:r w:rsidR="006D25BD">
        <w:rPr>
          <w:rFonts w:ascii="Times New Roman" w:hAnsi="Times New Roman" w:cs="Times New Roman"/>
          <w:color w:val="FF0000"/>
          <w:sz w:val="24"/>
          <w:szCs w:val="24"/>
        </w:rPr>
        <w:t xml:space="preserve">, but what we propose are at least some suggestions </w:t>
      </w:r>
      <w:r w:rsidR="00964661">
        <w:rPr>
          <w:rFonts w:ascii="Times New Roman" w:hAnsi="Times New Roman" w:cs="Times New Roman"/>
          <w:color w:val="FF0000"/>
          <w:sz w:val="24"/>
          <w:szCs w:val="24"/>
        </w:rPr>
        <w:t xml:space="preserve">that could be employed to assist a person, </w:t>
      </w:r>
      <w:r w:rsidR="006D25BD">
        <w:rPr>
          <w:rFonts w:ascii="Times New Roman" w:hAnsi="Times New Roman" w:cs="Times New Roman"/>
          <w:color w:val="FF0000"/>
          <w:sz w:val="24"/>
          <w:szCs w:val="24"/>
        </w:rPr>
        <w:t xml:space="preserve">where possible, to make her own </w:t>
      </w:r>
      <w:r w:rsidR="004474E0">
        <w:rPr>
          <w:rFonts w:ascii="Times New Roman" w:hAnsi="Times New Roman" w:cs="Times New Roman"/>
          <w:color w:val="FF0000"/>
          <w:sz w:val="24"/>
          <w:szCs w:val="24"/>
        </w:rPr>
        <w:t xml:space="preserve">decision about participation </w:t>
      </w:r>
      <w:r w:rsidR="006D25BD">
        <w:rPr>
          <w:rFonts w:ascii="Times New Roman" w:hAnsi="Times New Roman" w:cs="Times New Roman"/>
          <w:color w:val="FF0000"/>
          <w:sz w:val="24"/>
          <w:szCs w:val="24"/>
        </w:rPr>
        <w:t>in research.</w:t>
      </w:r>
    </w:p>
    <w:p w14:paraId="7F159C52" w14:textId="3F76A209" w:rsidR="00822753" w:rsidRDefault="003C0211" w:rsidP="008227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198C" w:rsidRPr="00F24300">
        <w:rPr>
          <w:rFonts w:ascii="Times New Roman" w:hAnsi="Times New Roman" w:cs="Times New Roman"/>
          <w:sz w:val="24"/>
          <w:szCs w:val="24"/>
        </w:rPr>
        <w:t xml:space="preserve">The final question we </w:t>
      </w:r>
      <w:r w:rsidR="00F24300" w:rsidRPr="00F24300">
        <w:rPr>
          <w:rFonts w:ascii="Times New Roman" w:hAnsi="Times New Roman" w:cs="Times New Roman"/>
          <w:sz w:val="24"/>
          <w:szCs w:val="24"/>
        </w:rPr>
        <w:t xml:space="preserve">now </w:t>
      </w:r>
      <w:r w:rsidR="0029198C" w:rsidRPr="00F24300">
        <w:rPr>
          <w:rFonts w:ascii="Times New Roman" w:hAnsi="Times New Roman" w:cs="Times New Roman"/>
          <w:sz w:val="24"/>
          <w:szCs w:val="24"/>
        </w:rPr>
        <w:t xml:space="preserve">address is whether the additional requirement of needing to gain approval from an </w:t>
      </w:r>
      <w:r w:rsidR="00FC2C41">
        <w:rPr>
          <w:rFonts w:ascii="Times New Roman" w:hAnsi="Times New Roman" w:cs="Times New Roman"/>
          <w:sz w:val="24"/>
          <w:szCs w:val="24"/>
        </w:rPr>
        <w:t xml:space="preserve">MCA </w:t>
      </w:r>
      <w:r w:rsidR="0029198C" w:rsidRPr="00F24300">
        <w:rPr>
          <w:rFonts w:ascii="Times New Roman" w:hAnsi="Times New Roman" w:cs="Times New Roman"/>
          <w:sz w:val="24"/>
          <w:szCs w:val="24"/>
        </w:rPr>
        <w:t>REC adds anything more of valu</w:t>
      </w:r>
      <w:r w:rsidR="00F24300" w:rsidRPr="00F24300">
        <w:rPr>
          <w:rFonts w:ascii="Times New Roman" w:hAnsi="Times New Roman" w:cs="Times New Roman"/>
          <w:sz w:val="24"/>
          <w:szCs w:val="24"/>
        </w:rPr>
        <w:t xml:space="preserve">e to the </w:t>
      </w:r>
      <w:r w:rsidR="0029198C" w:rsidRPr="00F24300">
        <w:rPr>
          <w:rFonts w:ascii="Times New Roman" w:hAnsi="Times New Roman" w:cs="Times New Roman"/>
          <w:sz w:val="24"/>
          <w:szCs w:val="24"/>
        </w:rPr>
        <w:t>approval process.</w:t>
      </w:r>
    </w:p>
    <w:p w14:paraId="4533126E" w14:textId="77777777" w:rsidR="00964661" w:rsidRDefault="00964661" w:rsidP="00964661">
      <w:pPr>
        <w:spacing w:after="0" w:line="240" w:lineRule="auto"/>
        <w:jc w:val="both"/>
        <w:rPr>
          <w:rFonts w:ascii="Times New Roman" w:hAnsi="Times New Roman" w:cs="Times New Roman"/>
          <w:sz w:val="24"/>
          <w:szCs w:val="24"/>
        </w:rPr>
      </w:pPr>
    </w:p>
    <w:p w14:paraId="1672676E" w14:textId="77777777" w:rsidR="00F24300" w:rsidRPr="00175F86" w:rsidRDefault="00F24300" w:rsidP="002B74FD">
      <w:pPr>
        <w:spacing w:after="0" w:line="360" w:lineRule="auto"/>
        <w:jc w:val="both"/>
        <w:rPr>
          <w:rFonts w:ascii="Times New Roman" w:hAnsi="Times New Roman" w:cs="Times New Roman"/>
          <w:b/>
          <w:i/>
          <w:sz w:val="24"/>
          <w:szCs w:val="24"/>
        </w:rPr>
      </w:pPr>
      <w:r w:rsidRPr="00175F86">
        <w:rPr>
          <w:rFonts w:ascii="Times New Roman" w:hAnsi="Times New Roman" w:cs="Times New Roman"/>
          <w:b/>
          <w:i/>
          <w:sz w:val="24"/>
          <w:szCs w:val="24"/>
        </w:rPr>
        <w:t>iii) MCA RECs</w:t>
      </w:r>
    </w:p>
    <w:p w14:paraId="3DF6B137" w14:textId="70D4E5C2" w:rsidR="00A74A5A" w:rsidRDefault="00597D01" w:rsidP="00B362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MCA REC retains overall responsibility for the </w:t>
      </w:r>
      <w:r w:rsidR="000852A2">
        <w:rPr>
          <w:rFonts w:ascii="Times New Roman" w:hAnsi="Times New Roman" w:cs="Times New Roman"/>
          <w:sz w:val="24"/>
          <w:szCs w:val="24"/>
        </w:rPr>
        <w:t xml:space="preserve">final </w:t>
      </w:r>
      <w:r>
        <w:rPr>
          <w:rFonts w:ascii="Times New Roman" w:hAnsi="Times New Roman" w:cs="Times New Roman"/>
          <w:sz w:val="24"/>
          <w:szCs w:val="24"/>
        </w:rPr>
        <w:t>author</w:t>
      </w:r>
      <w:r w:rsidR="00FC2C41">
        <w:rPr>
          <w:rFonts w:ascii="Times New Roman" w:hAnsi="Times New Roman" w:cs="Times New Roman"/>
          <w:sz w:val="24"/>
          <w:szCs w:val="24"/>
        </w:rPr>
        <w:t xml:space="preserve">isation of any project involving incapacitated participants </w:t>
      </w:r>
      <w:r w:rsidR="000852A2">
        <w:rPr>
          <w:rFonts w:ascii="Times New Roman" w:hAnsi="Times New Roman" w:cs="Times New Roman"/>
          <w:sz w:val="24"/>
          <w:szCs w:val="24"/>
        </w:rPr>
        <w:t>and i</w:t>
      </w:r>
      <w:r w:rsidR="00845899">
        <w:rPr>
          <w:rFonts w:ascii="Times New Roman" w:hAnsi="Times New Roman" w:cs="Times New Roman"/>
          <w:sz w:val="24"/>
          <w:szCs w:val="24"/>
        </w:rPr>
        <w:t xml:space="preserve">ts seal of approval is </w:t>
      </w:r>
      <w:r w:rsidR="00310C81">
        <w:rPr>
          <w:rFonts w:ascii="Times New Roman" w:hAnsi="Times New Roman" w:cs="Times New Roman"/>
          <w:sz w:val="24"/>
          <w:szCs w:val="24"/>
        </w:rPr>
        <w:t xml:space="preserve">needed to render any </w:t>
      </w:r>
      <w:r w:rsidR="00E37843">
        <w:rPr>
          <w:rFonts w:ascii="Times New Roman" w:hAnsi="Times New Roman" w:cs="Times New Roman"/>
          <w:sz w:val="24"/>
          <w:szCs w:val="24"/>
        </w:rPr>
        <w:t xml:space="preserve">intrusive </w:t>
      </w:r>
      <w:r w:rsidR="00310C81">
        <w:rPr>
          <w:rFonts w:ascii="Times New Roman" w:hAnsi="Times New Roman" w:cs="Times New Roman"/>
          <w:sz w:val="24"/>
          <w:szCs w:val="24"/>
        </w:rPr>
        <w:t>research</w:t>
      </w:r>
      <w:r w:rsidR="00FC2C41">
        <w:rPr>
          <w:rFonts w:ascii="Times New Roman" w:hAnsi="Times New Roman" w:cs="Times New Roman"/>
          <w:sz w:val="24"/>
          <w:szCs w:val="24"/>
        </w:rPr>
        <w:t xml:space="preserve"> lawful</w:t>
      </w:r>
      <w:r w:rsidR="000852A2">
        <w:rPr>
          <w:rFonts w:ascii="Times New Roman" w:hAnsi="Times New Roman" w:cs="Times New Roman"/>
          <w:sz w:val="24"/>
          <w:szCs w:val="24"/>
        </w:rPr>
        <w:t>.</w:t>
      </w:r>
      <w:r w:rsidR="000A1402">
        <w:rPr>
          <w:rStyle w:val="FootnoteReference"/>
          <w:rFonts w:ascii="Times New Roman" w:hAnsi="Times New Roman" w:cs="Times New Roman"/>
          <w:sz w:val="24"/>
          <w:szCs w:val="24"/>
        </w:rPr>
        <w:footnoteReference w:id="133"/>
      </w:r>
      <w:r w:rsidR="000852A2">
        <w:rPr>
          <w:rFonts w:ascii="Times New Roman" w:hAnsi="Times New Roman" w:cs="Times New Roman"/>
          <w:sz w:val="24"/>
          <w:szCs w:val="24"/>
        </w:rPr>
        <w:t xml:space="preserve">  This oversight serves multiple functions</w:t>
      </w:r>
      <w:r w:rsidR="00A06B71">
        <w:rPr>
          <w:rFonts w:ascii="Times New Roman" w:hAnsi="Times New Roman" w:cs="Times New Roman"/>
          <w:sz w:val="24"/>
          <w:szCs w:val="24"/>
        </w:rPr>
        <w:t>, such as promoting integrity in research, maintaining high standards of e</w:t>
      </w:r>
      <w:r w:rsidR="00835C5E">
        <w:rPr>
          <w:rFonts w:ascii="Times New Roman" w:hAnsi="Times New Roman" w:cs="Times New Roman"/>
          <w:sz w:val="24"/>
          <w:szCs w:val="24"/>
        </w:rPr>
        <w:t xml:space="preserve">thical practice </w:t>
      </w:r>
      <w:r w:rsidR="00845899">
        <w:rPr>
          <w:rFonts w:ascii="Times New Roman" w:hAnsi="Times New Roman" w:cs="Times New Roman"/>
          <w:sz w:val="24"/>
          <w:szCs w:val="24"/>
        </w:rPr>
        <w:t xml:space="preserve">and assessing </w:t>
      </w:r>
      <w:r w:rsidR="00A06B71">
        <w:rPr>
          <w:rFonts w:ascii="Times New Roman" w:hAnsi="Times New Roman" w:cs="Times New Roman"/>
          <w:sz w:val="24"/>
          <w:szCs w:val="24"/>
        </w:rPr>
        <w:t>whether or not a researcher has discharged all her obligations under the legislation</w:t>
      </w:r>
      <w:r w:rsidR="00835C5E">
        <w:rPr>
          <w:rFonts w:ascii="Times New Roman" w:hAnsi="Times New Roman" w:cs="Times New Roman"/>
          <w:sz w:val="24"/>
          <w:szCs w:val="24"/>
        </w:rPr>
        <w:t xml:space="preserve">.  </w:t>
      </w:r>
      <w:r w:rsidR="003535C4">
        <w:rPr>
          <w:rFonts w:ascii="Times New Roman" w:hAnsi="Times New Roman" w:cs="Times New Roman"/>
          <w:sz w:val="24"/>
          <w:szCs w:val="24"/>
        </w:rPr>
        <w:t xml:space="preserve">A MCA REC </w:t>
      </w:r>
      <w:r w:rsidR="000F41F0">
        <w:rPr>
          <w:rFonts w:ascii="Times New Roman" w:hAnsi="Times New Roman" w:cs="Times New Roman"/>
          <w:sz w:val="24"/>
          <w:szCs w:val="24"/>
        </w:rPr>
        <w:t>may also review</w:t>
      </w:r>
      <w:r w:rsidR="000A1402">
        <w:rPr>
          <w:rFonts w:ascii="Times New Roman" w:hAnsi="Times New Roman" w:cs="Times New Roman"/>
          <w:sz w:val="24"/>
          <w:szCs w:val="24"/>
        </w:rPr>
        <w:t xml:space="preserve"> any considerations pertaining to capacity</w:t>
      </w:r>
      <w:r w:rsidR="00845899">
        <w:rPr>
          <w:rFonts w:ascii="Times New Roman" w:hAnsi="Times New Roman" w:cs="Times New Roman"/>
          <w:sz w:val="24"/>
          <w:szCs w:val="24"/>
        </w:rPr>
        <w:t xml:space="preserve">, and </w:t>
      </w:r>
      <w:r w:rsidR="000F41F0">
        <w:rPr>
          <w:rFonts w:ascii="Times New Roman" w:hAnsi="Times New Roman" w:cs="Times New Roman"/>
          <w:sz w:val="24"/>
          <w:szCs w:val="24"/>
        </w:rPr>
        <w:t xml:space="preserve">on occasion </w:t>
      </w:r>
      <w:r w:rsidR="003535C4">
        <w:rPr>
          <w:rFonts w:ascii="Times New Roman" w:hAnsi="Times New Roman" w:cs="Times New Roman"/>
          <w:sz w:val="24"/>
          <w:szCs w:val="24"/>
        </w:rPr>
        <w:t>provide advice</w:t>
      </w:r>
      <w:r w:rsidR="00845899">
        <w:rPr>
          <w:rFonts w:ascii="Times New Roman" w:hAnsi="Times New Roman" w:cs="Times New Roman"/>
          <w:sz w:val="24"/>
          <w:szCs w:val="24"/>
        </w:rPr>
        <w:t xml:space="preserve"> to a researcher on </w:t>
      </w:r>
      <w:r w:rsidR="003535C4">
        <w:rPr>
          <w:rFonts w:ascii="Times New Roman" w:hAnsi="Times New Roman" w:cs="Times New Roman"/>
          <w:sz w:val="24"/>
          <w:szCs w:val="24"/>
        </w:rPr>
        <w:t>arrangements for appointing a consultee</w:t>
      </w:r>
      <w:r w:rsidR="00845899">
        <w:rPr>
          <w:rFonts w:ascii="Times New Roman" w:hAnsi="Times New Roman" w:cs="Times New Roman"/>
          <w:sz w:val="24"/>
          <w:szCs w:val="24"/>
        </w:rPr>
        <w:t xml:space="preserve">.  Given the enhanced vulnerability </w:t>
      </w:r>
      <w:r w:rsidR="000852A2">
        <w:rPr>
          <w:rFonts w:ascii="Times New Roman" w:hAnsi="Times New Roman" w:cs="Times New Roman"/>
          <w:sz w:val="24"/>
          <w:szCs w:val="24"/>
        </w:rPr>
        <w:t>of incapacitated participant</w:t>
      </w:r>
      <w:r w:rsidR="002B0352">
        <w:rPr>
          <w:rFonts w:ascii="Times New Roman" w:hAnsi="Times New Roman" w:cs="Times New Roman"/>
          <w:sz w:val="24"/>
          <w:szCs w:val="24"/>
        </w:rPr>
        <w:t xml:space="preserve">s, the need for specialist </w:t>
      </w:r>
      <w:r w:rsidR="000F41F0">
        <w:rPr>
          <w:rFonts w:ascii="Times New Roman" w:hAnsi="Times New Roman" w:cs="Times New Roman"/>
          <w:sz w:val="24"/>
          <w:szCs w:val="24"/>
        </w:rPr>
        <w:t>M</w:t>
      </w:r>
      <w:r w:rsidR="000852A2">
        <w:rPr>
          <w:rFonts w:ascii="Times New Roman" w:hAnsi="Times New Roman" w:cs="Times New Roman"/>
          <w:sz w:val="24"/>
          <w:szCs w:val="24"/>
        </w:rPr>
        <w:t>CA REC supervision</w:t>
      </w:r>
      <w:r w:rsidR="00A77D4A">
        <w:rPr>
          <w:rFonts w:ascii="Times New Roman" w:hAnsi="Times New Roman" w:cs="Times New Roman"/>
          <w:sz w:val="24"/>
          <w:szCs w:val="24"/>
        </w:rPr>
        <w:t xml:space="preserve"> was </w:t>
      </w:r>
      <w:r w:rsidR="002B0352">
        <w:rPr>
          <w:rFonts w:ascii="Times New Roman" w:hAnsi="Times New Roman" w:cs="Times New Roman"/>
          <w:sz w:val="24"/>
          <w:szCs w:val="24"/>
        </w:rPr>
        <w:t xml:space="preserve">introduced to inject an enhanced </w:t>
      </w:r>
      <w:r w:rsidR="00845899">
        <w:rPr>
          <w:rFonts w:ascii="Times New Roman" w:hAnsi="Times New Roman" w:cs="Times New Roman"/>
          <w:sz w:val="24"/>
          <w:szCs w:val="24"/>
        </w:rPr>
        <w:t>layer of</w:t>
      </w:r>
      <w:r w:rsidR="00344F91">
        <w:rPr>
          <w:rFonts w:ascii="Times New Roman" w:hAnsi="Times New Roman" w:cs="Times New Roman"/>
          <w:sz w:val="24"/>
          <w:szCs w:val="24"/>
        </w:rPr>
        <w:t xml:space="preserve"> </w:t>
      </w:r>
      <w:r w:rsidR="002B0352">
        <w:rPr>
          <w:rFonts w:ascii="Times New Roman" w:hAnsi="Times New Roman" w:cs="Times New Roman"/>
          <w:sz w:val="24"/>
          <w:szCs w:val="24"/>
        </w:rPr>
        <w:t xml:space="preserve">independent </w:t>
      </w:r>
      <w:r w:rsidR="00344F91">
        <w:rPr>
          <w:rFonts w:ascii="Times New Roman" w:hAnsi="Times New Roman" w:cs="Times New Roman"/>
          <w:sz w:val="24"/>
          <w:szCs w:val="24"/>
        </w:rPr>
        <w:t>objective scrutiny</w:t>
      </w:r>
      <w:r w:rsidR="002B0352">
        <w:rPr>
          <w:rFonts w:ascii="Times New Roman" w:hAnsi="Times New Roman" w:cs="Times New Roman"/>
          <w:sz w:val="24"/>
          <w:szCs w:val="24"/>
        </w:rPr>
        <w:t xml:space="preserve"> to the approval process.</w:t>
      </w:r>
      <w:r w:rsidR="000A1402">
        <w:rPr>
          <w:rStyle w:val="FootnoteReference"/>
          <w:rFonts w:ascii="Times New Roman" w:hAnsi="Times New Roman" w:cs="Times New Roman"/>
          <w:sz w:val="24"/>
          <w:szCs w:val="24"/>
        </w:rPr>
        <w:footnoteReference w:id="134"/>
      </w:r>
      <w:r w:rsidR="002B0352">
        <w:rPr>
          <w:rFonts w:ascii="Times New Roman" w:hAnsi="Times New Roman" w:cs="Times New Roman"/>
          <w:sz w:val="24"/>
          <w:szCs w:val="24"/>
        </w:rPr>
        <w:t xml:space="preserve">  In theory, this may seem </w:t>
      </w:r>
      <w:r w:rsidR="000F41F0">
        <w:rPr>
          <w:rFonts w:ascii="Times New Roman" w:hAnsi="Times New Roman" w:cs="Times New Roman"/>
          <w:sz w:val="24"/>
          <w:szCs w:val="24"/>
        </w:rPr>
        <w:t>like a sensible</w:t>
      </w:r>
      <w:r w:rsidR="000A1402">
        <w:rPr>
          <w:rFonts w:ascii="Times New Roman" w:hAnsi="Times New Roman" w:cs="Times New Roman"/>
          <w:sz w:val="24"/>
          <w:szCs w:val="24"/>
        </w:rPr>
        <w:t xml:space="preserve"> attitude</w:t>
      </w:r>
      <w:r w:rsidR="00691333">
        <w:rPr>
          <w:rFonts w:ascii="Times New Roman" w:hAnsi="Times New Roman" w:cs="Times New Roman"/>
          <w:sz w:val="24"/>
          <w:szCs w:val="24"/>
        </w:rPr>
        <w:t>, but its effectiveness should not</w:t>
      </w:r>
      <w:r w:rsidR="00A74A5A">
        <w:rPr>
          <w:rFonts w:ascii="Times New Roman" w:hAnsi="Times New Roman" w:cs="Times New Roman"/>
          <w:sz w:val="24"/>
          <w:szCs w:val="24"/>
        </w:rPr>
        <w:t xml:space="preserve"> go unchallenged</w:t>
      </w:r>
      <w:r w:rsidR="00691333">
        <w:rPr>
          <w:rFonts w:ascii="Times New Roman" w:hAnsi="Times New Roman" w:cs="Times New Roman"/>
          <w:sz w:val="24"/>
          <w:szCs w:val="24"/>
        </w:rPr>
        <w:t>.</w:t>
      </w:r>
      <w:r w:rsidR="00A74A5A">
        <w:rPr>
          <w:rFonts w:ascii="Times New Roman" w:hAnsi="Times New Roman" w:cs="Times New Roman"/>
          <w:sz w:val="24"/>
          <w:szCs w:val="24"/>
        </w:rPr>
        <w:t xml:space="preserve">  </w:t>
      </w:r>
      <w:r w:rsidR="005E4017">
        <w:rPr>
          <w:rFonts w:ascii="Times New Roman" w:hAnsi="Times New Roman" w:cs="Times New Roman"/>
          <w:sz w:val="24"/>
          <w:szCs w:val="24"/>
        </w:rPr>
        <w:t>I</w:t>
      </w:r>
      <w:r w:rsidR="00344F91">
        <w:rPr>
          <w:rFonts w:ascii="Times New Roman" w:hAnsi="Times New Roman" w:cs="Times New Roman"/>
          <w:sz w:val="24"/>
          <w:szCs w:val="24"/>
        </w:rPr>
        <w:t>t h</w:t>
      </w:r>
      <w:r w:rsidR="000F41F0">
        <w:rPr>
          <w:rFonts w:ascii="Times New Roman" w:hAnsi="Times New Roman" w:cs="Times New Roman"/>
          <w:sz w:val="24"/>
          <w:szCs w:val="24"/>
        </w:rPr>
        <w:t xml:space="preserve">as been common practice for some time now to </w:t>
      </w:r>
      <w:r w:rsidR="003C0211">
        <w:rPr>
          <w:rFonts w:ascii="Times New Roman" w:hAnsi="Times New Roman" w:cs="Times New Roman"/>
          <w:sz w:val="24"/>
          <w:szCs w:val="24"/>
        </w:rPr>
        <w:t xml:space="preserve">obtain </w:t>
      </w:r>
      <w:r w:rsidR="000F41F0">
        <w:rPr>
          <w:rFonts w:ascii="Times New Roman" w:hAnsi="Times New Roman" w:cs="Times New Roman"/>
          <w:sz w:val="24"/>
          <w:szCs w:val="24"/>
        </w:rPr>
        <w:t xml:space="preserve">approval </w:t>
      </w:r>
      <w:r w:rsidR="00A77D4A">
        <w:rPr>
          <w:rFonts w:ascii="Times New Roman" w:hAnsi="Times New Roman" w:cs="Times New Roman"/>
          <w:sz w:val="24"/>
          <w:szCs w:val="24"/>
        </w:rPr>
        <w:t>from an appropriate ethics c</w:t>
      </w:r>
      <w:r w:rsidR="000F41F0">
        <w:rPr>
          <w:rFonts w:ascii="Times New Roman" w:hAnsi="Times New Roman" w:cs="Times New Roman"/>
          <w:sz w:val="24"/>
          <w:szCs w:val="24"/>
        </w:rPr>
        <w:t xml:space="preserve">ommittee </w:t>
      </w:r>
      <w:r w:rsidR="005E4AD8">
        <w:rPr>
          <w:rFonts w:ascii="Times New Roman" w:hAnsi="Times New Roman" w:cs="Times New Roman"/>
          <w:sz w:val="24"/>
          <w:szCs w:val="24"/>
        </w:rPr>
        <w:t xml:space="preserve">before </w:t>
      </w:r>
      <w:r w:rsidR="00344F91">
        <w:rPr>
          <w:rFonts w:ascii="Times New Roman" w:hAnsi="Times New Roman" w:cs="Times New Roman"/>
          <w:sz w:val="24"/>
          <w:szCs w:val="24"/>
        </w:rPr>
        <w:t>any type of research involving human participants</w:t>
      </w:r>
      <w:r w:rsidR="005E4AD8">
        <w:rPr>
          <w:rFonts w:ascii="Times New Roman" w:hAnsi="Times New Roman" w:cs="Times New Roman"/>
          <w:sz w:val="24"/>
          <w:szCs w:val="24"/>
        </w:rPr>
        <w:t xml:space="preserve"> takes place</w:t>
      </w:r>
      <w:r w:rsidR="00344F91">
        <w:rPr>
          <w:rFonts w:ascii="Times New Roman" w:hAnsi="Times New Roman" w:cs="Times New Roman"/>
          <w:sz w:val="24"/>
          <w:szCs w:val="24"/>
        </w:rPr>
        <w:t>,</w:t>
      </w:r>
      <w:r w:rsidR="005E4AD8">
        <w:rPr>
          <w:rFonts w:ascii="Times New Roman" w:hAnsi="Times New Roman" w:cs="Times New Roman"/>
          <w:sz w:val="24"/>
          <w:szCs w:val="24"/>
        </w:rPr>
        <w:t xml:space="preserve"> </w:t>
      </w:r>
      <w:r w:rsidR="00344F91">
        <w:rPr>
          <w:rFonts w:ascii="Times New Roman" w:hAnsi="Times New Roman" w:cs="Times New Roman"/>
          <w:sz w:val="24"/>
          <w:szCs w:val="24"/>
        </w:rPr>
        <w:t>whether capacitous or</w:t>
      </w:r>
      <w:r w:rsidR="000F41F0">
        <w:rPr>
          <w:rFonts w:ascii="Times New Roman" w:hAnsi="Times New Roman" w:cs="Times New Roman"/>
          <w:sz w:val="24"/>
          <w:szCs w:val="24"/>
        </w:rPr>
        <w:t xml:space="preserve"> not.</w:t>
      </w:r>
      <w:r w:rsidR="000A1402">
        <w:rPr>
          <w:rStyle w:val="FootnoteReference"/>
          <w:rFonts w:ascii="Times New Roman" w:hAnsi="Times New Roman" w:cs="Times New Roman"/>
          <w:sz w:val="24"/>
          <w:szCs w:val="24"/>
        </w:rPr>
        <w:footnoteReference w:id="135"/>
      </w:r>
      <w:r w:rsidR="000F41F0">
        <w:rPr>
          <w:rFonts w:ascii="Times New Roman" w:hAnsi="Times New Roman" w:cs="Times New Roman"/>
          <w:sz w:val="24"/>
          <w:szCs w:val="24"/>
        </w:rPr>
        <w:t xml:space="preserve">  </w:t>
      </w:r>
      <w:r w:rsidR="00344F91">
        <w:rPr>
          <w:rFonts w:ascii="Times New Roman" w:hAnsi="Times New Roman" w:cs="Times New Roman"/>
          <w:sz w:val="24"/>
          <w:szCs w:val="24"/>
        </w:rPr>
        <w:t>The NHS has</w:t>
      </w:r>
      <w:r w:rsidR="000F41F0">
        <w:rPr>
          <w:rFonts w:ascii="Times New Roman" w:hAnsi="Times New Roman" w:cs="Times New Roman"/>
          <w:sz w:val="24"/>
          <w:szCs w:val="24"/>
        </w:rPr>
        <w:t xml:space="preserve"> its own</w:t>
      </w:r>
      <w:r w:rsidR="005E4AD8">
        <w:rPr>
          <w:rFonts w:ascii="Times New Roman" w:hAnsi="Times New Roman" w:cs="Times New Roman"/>
          <w:sz w:val="24"/>
          <w:szCs w:val="24"/>
        </w:rPr>
        <w:t xml:space="preserve"> </w:t>
      </w:r>
      <w:r w:rsidR="00A77D4A">
        <w:rPr>
          <w:rFonts w:ascii="Times New Roman" w:hAnsi="Times New Roman" w:cs="Times New Roman"/>
          <w:sz w:val="24"/>
          <w:szCs w:val="24"/>
        </w:rPr>
        <w:t>ethics c</w:t>
      </w:r>
      <w:r w:rsidR="00344F91">
        <w:rPr>
          <w:rFonts w:ascii="Times New Roman" w:hAnsi="Times New Roman" w:cs="Times New Roman"/>
          <w:sz w:val="24"/>
          <w:szCs w:val="24"/>
        </w:rPr>
        <w:t>omm</w:t>
      </w:r>
      <w:r w:rsidR="004E5016">
        <w:rPr>
          <w:rFonts w:ascii="Times New Roman" w:hAnsi="Times New Roman" w:cs="Times New Roman"/>
          <w:sz w:val="24"/>
          <w:szCs w:val="24"/>
        </w:rPr>
        <w:t xml:space="preserve">ittees, so too have </w:t>
      </w:r>
      <w:r w:rsidR="00301F94">
        <w:rPr>
          <w:rFonts w:ascii="Times New Roman" w:hAnsi="Times New Roman" w:cs="Times New Roman"/>
          <w:sz w:val="24"/>
          <w:szCs w:val="24"/>
        </w:rPr>
        <w:t xml:space="preserve">other </w:t>
      </w:r>
      <w:r w:rsidR="004E5016">
        <w:rPr>
          <w:rFonts w:ascii="Times New Roman" w:hAnsi="Times New Roman" w:cs="Times New Roman"/>
          <w:sz w:val="24"/>
          <w:szCs w:val="24"/>
        </w:rPr>
        <w:t>organisations</w:t>
      </w:r>
      <w:r w:rsidR="000F41F0">
        <w:rPr>
          <w:rFonts w:ascii="Times New Roman" w:hAnsi="Times New Roman" w:cs="Times New Roman"/>
          <w:sz w:val="24"/>
          <w:szCs w:val="24"/>
        </w:rPr>
        <w:t>.</w:t>
      </w:r>
      <w:r w:rsidR="000A1402">
        <w:rPr>
          <w:rStyle w:val="FootnoteReference"/>
          <w:rFonts w:ascii="Times New Roman" w:hAnsi="Times New Roman" w:cs="Times New Roman"/>
          <w:sz w:val="24"/>
          <w:szCs w:val="24"/>
        </w:rPr>
        <w:footnoteReference w:id="136"/>
      </w:r>
      <w:r w:rsidR="007934C8">
        <w:rPr>
          <w:rFonts w:ascii="Times New Roman" w:hAnsi="Times New Roman" w:cs="Times New Roman"/>
          <w:sz w:val="24"/>
          <w:szCs w:val="24"/>
        </w:rPr>
        <w:t xml:space="preserve">  With this in mind, imagine hypothetically that the specific provisions of the MCA</w:t>
      </w:r>
      <w:r w:rsidR="004337A8">
        <w:rPr>
          <w:rFonts w:ascii="Times New Roman" w:hAnsi="Times New Roman" w:cs="Times New Roman"/>
          <w:sz w:val="24"/>
          <w:szCs w:val="24"/>
        </w:rPr>
        <w:t xml:space="preserve"> were not enacted; if that were the case, </w:t>
      </w:r>
      <w:r w:rsidR="007934C8">
        <w:rPr>
          <w:rFonts w:ascii="Times New Roman" w:hAnsi="Times New Roman" w:cs="Times New Roman"/>
          <w:sz w:val="24"/>
          <w:szCs w:val="24"/>
        </w:rPr>
        <w:t xml:space="preserve">a university </w:t>
      </w:r>
      <w:r w:rsidR="00F17548">
        <w:rPr>
          <w:rFonts w:ascii="Times New Roman" w:hAnsi="Times New Roman" w:cs="Times New Roman"/>
          <w:sz w:val="24"/>
          <w:szCs w:val="24"/>
        </w:rPr>
        <w:t xml:space="preserve">social science </w:t>
      </w:r>
      <w:r w:rsidR="007934C8">
        <w:rPr>
          <w:rFonts w:ascii="Times New Roman" w:hAnsi="Times New Roman" w:cs="Times New Roman"/>
          <w:sz w:val="24"/>
          <w:szCs w:val="24"/>
        </w:rPr>
        <w:t xml:space="preserve">researcher </w:t>
      </w:r>
      <w:r w:rsidR="004337A8">
        <w:rPr>
          <w:rFonts w:ascii="Times New Roman" w:hAnsi="Times New Roman" w:cs="Times New Roman"/>
          <w:sz w:val="24"/>
          <w:szCs w:val="24"/>
        </w:rPr>
        <w:t xml:space="preserve">proposing </w:t>
      </w:r>
      <w:r w:rsidR="007934C8">
        <w:rPr>
          <w:rFonts w:ascii="Times New Roman" w:hAnsi="Times New Roman" w:cs="Times New Roman"/>
          <w:sz w:val="24"/>
          <w:szCs w:val="24"/>
        </w:rPr>
        <w:t>a project involving the use of incapacitated participants</w:t>
      </w:r>
      <w:r w:rsidR="004337A8">
        <w:rPr>
          <w:rFonts w:ascii="Times New Roman" w:hAnsi="Times New Roman" w:cs="Times New Roman"/>
          <w:sz w:val="24"/>
          <w:szCs w:val="24"/>
        </w:rPr>
        <w:t xml:space="preserve"> </w:t>
      </w:r>
      <w:r w:rsidR="007934C8">
        <w:rPr>
          <w:rFonts w:ascii="Times New Roman" w:hAnsi="Times New Roman" w:cs="Times New Roman"/>
          <w:sz w:val="24"/>
          <w:szCs w:val="24"/>
        </w:rPr>
        <w:t>would still be obliged by her inst</w:t>
      </w:r>
      <w:r w:rsidR="00F17548">
        <w:rPr>
          <w:rFonts w:ascii="Times New Roman" w:hAnsi="Times New Roman" w:cs="Times New Roman"/>
          <w:sz w:val="24"/>
          <w:szCs w:val="24"/>
        </w:rPr>
        <w:t xml:space="preserve">itution to seek </w:t>
      </w:r>
      <w:r w:rsidR="007934C8">
        <w:rPr>
          <w:rFonts w:ascii="Times New Roman" w:hAnsi="Times New Roman" w:cs="Times New Roman"/>
          <w:sz w:val="24"/>
          <w:szCs w:val="24"/>
        </w:rPr>
        <w:t>approval</w:t>
      </w:r>
      <w:r w:rsidR="00F17548">
        <w:rPr>
          <w:rFonts w:ascii="Times New Roman" w:hAnsi="Times New Roman" w:cs="Times New Roman"/>
          <w:sz w:val="24"/>
          <w:szCs w:val="24"/>
        </w:rPr>
        <w:t xml:space="preserve"> from one </w:t>
      </w:r>
      <w:r w:rsidR="00F17548">
        <w:rPr>
          <w:rFonts w:ascii="Times New Roman" w:hAnsi="Times New Roman" w:cs="Times New Roman"/>
          <w:sz w:val="24"/>
          <w:szCs w:val="24"/>
        </w:rPr>
        <w:lastRenderedPageBreak/>
        <w:t xml:space="preserve">of its own ethics committees </w:t>
      </w:r>
      <w:r w:rsidR="004337A8">
        <w:rPr>
          <w:rFonts w:ascii="Times New Roman" w:hAnsi="Times New Roman" w:cs="Times New Roman"/>
          <w:sz w:val="24"/>
          <w:szCs w:val="24"/>
        </w:rPr>
        <w:t xml:space="preserve">before any work commenced, so a </w:t>
      </w:r>
      <w:r w:rsidR="000F41F0">
        <w:rPr>
          <w:rFonts w:ascii="Times New Roman" w:hAnsi="Times New Roman" w:cs="Times New Roman"/>
          <w:sz w:val="24"/>
          <w:szCs w:val="24"/>
        </w:rPr>
        <w:t xml:space="preserve">natural </w:t>
      </w:r>
      <w:r w:rsidR="004337A8">
        <w:rPr>
          <w:rFonts w:ascii="Times New Roman" w:hAnsi="Times New Roman" w:cs="Times New Roman"/>
          <w:sz w:val="24"/>
          <w:szCs w:val="24"/>
        </w:rPr>
        <w:t>question to ask is: what</w:t>
      </w:r>
      <w:r w:rsidR="002B0352">
        <w:rPr>
          <w:rFonts w:ascii="Times New Roman" w:hAnsi="Times New Roman" w:cs="Times New Roman"/>
          <w:sz w:val="24"/>
          <w:szCs w:val="24"/>
        </w:rPr>
        <w:t xml:space="preserve"> extra, if anything, </w:t>
      </w:r>
      <w:r w:rsidR="004337A8">
        <w:rPr>
          <w:rFonts w:ascii="Times New Roman" w:hAnsi="Times New Roman" w:cs="Times New Roman"/>
          <w:sz w:val="24"/>
          <w:szCs w:val="24"/>
        </w:rPr>
        <w:t xml:space="preserve">is gained by the MCA’s insertion of mandated MCA REC authorisation?  </w:t>
      </w:r>
    </w:p>
    <w:p w14:paraId="3BF9650B" w14:textId="57B085D5" w:rsidR="00835C5E" w:rsidRDefault="00A74A5A" w:rsidP="00B362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37A8">
        <w:rPr>
          <w:rFonts w:ascii="Times New Roman" w:hAnsi="Times New Roman" w:cs="Times New Roman"/>
          <w:sz w:val="24"/>
          <w:szCs w:val="24"/>
        </w:rPr>
        <w:t>One</w:t>
      </w:r>
      <w:r w:rsidR="003F47FB">
        <w:rPr>
          <w:rFonts w:ascii="Times New Roman" w:hAnsi="Times New Roman" w:cs="Times New Roman"/>
          <w:sz w:val="24"/>
          <w:szCs w:val="24"/>
        </w:rPr>
        <w:t xml:space="preserve"> advantage resides in the nature of the obligation created.  While there are some exceptions, t</w:t>
      </w:r>
      <w:r w:rsidR="000A1402">
        <w:rPr>
          <w:rFonts w:ascii="Times New Roman" w:hAnsi="Times New Roman" w:cs="Times New Roman"/>
          <w:sz w:val="24"/>
          <w:szCs w:val="24"/>
        </w:rPr>
        <w:t xml:space="preserve">he majority of more mainstream research on human participants </w:t>
      </w:r>
      <w:r w:rsidR="00E9077D">
        <w:rPr>
          <w:rFonts w:ascii="Times New Roman" w:hAnsi="Times New Roman" w:cs="Times New Roman"/>
          <w:sz w:val="24"/>
          <w:szCs w:val="24"/>
        </w:rPr>
        <w:t xml:space="preserve">is referred to </w:t>
      </w:r>
      <w:r w:rsidR="00301F94">
        <w:rPr>
          <w:rFonts w:ascii="Times New Roman" w:hAnsi="Times New Roman" w:cs="Times New Roman"/>
          <w:sz w:val="24"/>
          <w:szCs w:val="24"/>
        </w:rPr>
        <w:t>ethics c</w:t>
      </w:r>
      <w:r w:rsidR="004337A8">
        <w:rPr>
          <w:rFonts w:ascii="Times New Roman" w:hAnsi="Times New Roman" w:cs="Times New Roman"/>
          <w:sz w:val="24"/>
          <w:szCs w:val="24"/>
        </w:rPr>
        <w:t>ommittee</w:t>
      </w:r>
      <w:r w:rsidR="00E9077D">
        <w:rPr>
          <w:rFonts w:ascii="Times New Roman" w:hAnsi="Times New Roman" w:cs="Times New Roman"/>
          <w:sz w:val="24"/>
          <w:szCs w:val="24"/>
        </w:rPr>
        <w:t>s</w:t>
      </w:r>
      <w:r w:rsidR="00210C94">
        <w:rPr>
          <w:rFonts w:ascii="Times New Roman" w:hAnsi="Times New Roman" w:cs="Times New Roman"/>
          <w:sz w:val="24"/>
          <w:szCs w:val="24"/>
        </w:rPr>
        <w:t xml:space="preserve"> </w:t>
      </w:r>
      <w:r w:rsidR="004337A8">
        <w:rPr>
          <w:rFonts w:ascii="Times New Roman" w:hAnsi="Times New Roman" w:cs="Times New Roman"/>
          <w:sz w:val="24"/>
          <w:szCs w:val="24"/>
        </w:rPr>
        <w:t>on the basis of good practice</w:t>
      </w:r>
      <w:r w:rsidR="00D2216E">
        <w:rPr>
          <w:rFonts w:ascii="Times New Roman" w:hAnsi="Times New Roman" w:cs="Times New Roman"/>
          <w:sz w:val="24"/>
          <w:szCs w:val="24"/>
        </w:rPr>
        <w:t>, rather than being a specific legal requirement.</w:t>
      </w:r>
      <w:r w:rsidR="000A1402">
        <w:rPr>
          <w:rStyle w:val="FootnoteReference"/>
          <w:rFonts w:ascii="Times New Roman" w:hAnsi="Times New Roman" w:cs="Times New Roman"/>
          <w:sz w:val="24"/>
          <w:szCs w:val="24"/>
        </w:rPr>
        <w:footnoteReference w:id="137"/>
      </w:r>
      <w:r w:rsidR="00D2216E">
        <w:rPr>
          <w:rFonts w:ascii="Times New Roman" w:hAnsi="Times New Roman" w:cs="Times New Roman"/>
          <w:sz w:val="24"/>
          <w:szCs w:val="24"/>
        </w:rPr>
        <w:t xml:space="preserve"> Thus, in the hypothetical scenario presented above, without any legal direction </w:t>
      </w:r>
      <w:r w:rsidR="00835C5E">
        <w:rPr>
          <w:rFonts w:ascii="Times New Roman" w:hAnsi="Times New Roman" w:cs="Times New Roman"/>
          <w:sz w:val="24"/>
          <w:szCs w:val="24"/>
        </w:rPr>
        <w:t xml:space="preserve">from </w:t>
      </w:r>
      <w:r w:rsidR="00D2216E">
        <w:rPr>
          <w:rFonts w:ascii="Times New Roman" w:hAnsi="Times New Roman" w:cs="Times New Roman"/>
          <w:sz w:val="24"/>
          <w:szCs w:val="24"/>
        </w:rPr>
        <w:t>t</w:t>
      </w:r>
      <w:r w:rsidR="00210C94">
        <w:rPr>
          <w:rFonts w:ascii="Times New Roman" w:hAnsi="Times New Roman" w:cs="Times New Roman"/>
          <w:sz w:val="24"/>
          <w:szCs w:val="24"/>
        </w:rPr>
        <w:t xml:space="preserve">he MCA, a university researcher wishing to use </w:t>
      </w:r>
      <w:r w:rsidR="00D2216E">
        <w:rPr>
          <w:rFonts w:ascii="Times New Roman" w:hAnsi="Times New Roman" w:cs="Times New Roman"/>
          <w:sz w:val="24"/>
          <w:szCs w:val="24"/>
        </w:rPr>
        <w:t xml:space="preserve">incapacitated participants </w:t>
      </w:r>
      <w:r w:rsidR="00210C94">
        <w:rPr>
          <w:rFonts w:ascii="Times New Roman" w:hAnsi="Times New Roman" w:cs="Times New Roman"/>
          <w:sz w:val="24"/>
          <w:szCs w:val="24"/>
        </w:rPr>
        <w:t xml:space="preserve">in a routine project </w:t>
      </w:r>
      <w:r w:rsidR="00D2216E">
        <w:rPr>
          <w:rFonts w:ascii="Times New Roman" w:hAnsi="Times New Roman" w:cs="Times New Roman"/>
          <w:sz w:val="24"/>
          <w:szCs w:val="24"/>
        </w:rPr>
        <w:t>would only be bound by a professional obli</w:t>
      </w:r>
      <w:r w:rsidR="00A05805">
        <w:rPr>
          <w:rFonts w:ascii="Times New Roman" w:hAnsi="Times New Roman" w:cs="Times New Roman"/>
          <w:sz w:val="24"/>
          <w:szCs w:val="24"/>
        </w:rPr>
        <w:t>gation to seek ethical approval</w:t>
      </w:r>
      <w:r w:rsidR="00210C94">
        <w:rPr>
          <w:rFonts w:ascii="Times New Roman" w:hAnsi="Times New Roman" w:cs="Times New Roman"/>
          <w:sz w:val="24"/>
          <w:szCs w:val="24"/>
        </w:rPr>
        <w:t xml:space="preserve">, </w:t>
      </w:r>
      <w:r w:rsidR="00A05805">
        <w:rPr>
          <w:rFonts w:ascii="Times New Roman" w:hAnsi="Times New Roman" w:cs="Times New Roman"/>
          <w:sz w:val="24"/>
          <w:szCs w:val="24"/>
        </w:rPr>
        <w:t xml:space="preserve">not </w:t>
      </w:r>
      <w:r w:rsidR="00D2216E">
        <w:rPr>
          <w:rFonts w:ascii="Times New Roman" w:hAnsi="Times New Roman" w:cs="Times New Roman"/>
          <w:sz w:val="24"/>
          <w:szCs w:val="24"/>
        </w:rPr>
        <w:t>a legal one.</w:t>
      </w:r>
      <w:r w:rsidR="00691333">
        <w:rPr>
          <w:rFonts w:ascii="Times New Roman" w:hAnsi="Times New Roman" w:cs="Times New Roman"/>
          <w:sz w:val="24"/>
          <w:szCs w:val="24"/>
        </w:rPr>
        <w:t xml:space="preserve">  Admittedly, if she proceeded without</w:t>
      </w:r>
      <w:r>
        <w:rPr>
          <w:rFonts w:ascii="Times New Roman" w:hAnsi="Times New Roman" w:cs="Times New Roman"/>
          <w:sz w:val="24"/>
          <w:szCs w:val="24"/>
        </w:rPr>
        <w:t xml:space="preserve"> it</w:t>
      </w:r>
      <w:r w:rsidR="00BE0F14">
        <w:rPr>
          <w:rFonts w:ascii="Times New Roman" w:hAnsi="Times New Roman" w:cs="Times New Roman"/>
          <w:sz w:val="24"/>
          <w:szCs w:val="24"/>
        </w:rPr>
        <w:t xml:space="preserve">, she may well be subject to professional regulatory </w:t>
      </w:r>
      <w:r w:rsidR="00691333">
        <w:rPr>
          <w:rFonts w:ascii="Times New Roman" w:hAnsi="Times New Roman" w:cs="Times New Roman"/>
          <w:sz w:val="24"/>
          <w:szCs w:val="24"/>
        </w:rPr>
        <w:t>sanction</w:t>
      </w:r>
      <w:r w:rsidR="00BE0F14">
        <w:rPr>
          <w:rFonts w:ascii="Times New Roman" w:hAnsi="Times New Roman" w:cs="Times New Roman"/>
          <w:sz w:val="24"/>
          <w:szCs w:val="24"/>
        </w:rPr>
        <w:t>s</w:t>
      </w:r>
      <w:r w:rsidR="00C25DA5">
        <w:rPr>
          <w:rFonts w:ascii="Times New Roman" w:hAnsi="Times New Roman" w:cs="Times New Roman"/>
          <w:sz w:val="24"/>
          <w:szCs w:val="24"/>
        </w:rPr>
        <w:t xml:space="preserve"> for misconduct in research</w:t>
      </w:r>
      <w:r w:rsidR="00691333">
        <w:rPr>
          <w:rFonts w:ascii="Times New Roman" w:hAnsi="Times New Roman" w:cs="Times New Roman"/>
          <w:sz w:val="24"/>
          <w:szCs w:val="24"/>
        </w:rPr>
        <w:t xml:space="preserve">, but that is different than </w:t>
      </w:r>
      <w:r w:rsidR="00210C94">
        <w:rPr>
          <w:rFonts w:ascii="Times New Roman" w:hAnsi="Times New Roman" w:cs="Times New Roman"/>
          <w:sz w:val="24"/>
          <w:szCs w:val="24"/>
        </w:rPr>
        <w:t xml:space="preserve">characterising her conduct as </w:t>
      </w:r>
      <w:r w:rsidR="00691333">
        <w:rPr>
          <w:rFonts w:ascii="Times New Roman" w:hAnsi="Times New Roman" w:cs="Times New Roman"/>
          <w:sz w:val="24"/>
          <w:szCs w:val="24"/>
        </w:rPr>
        <w:t>be</w:t>
      </w:r>
      <w:r w:rsidR="00210C94">
        <w:rPr>
          <w:rFonts w:ascii="Times New Roman" w:hAnsi="Times New Roman" w:cs="Times New Roman"/>
          <w:sz w:val="24"/>
          <w:szCs w:val="24"/>
        </w:rPr>
        <w:t xml:space="preserve">ing </w:t>
      </w:r>
      <w:r w:rsidR="00691333">
        <w:rPr>
          <w:rFonts w:ascii="Times New Roman" w:hAnsi="Times New Roman" w:cs="Times New Roman"/>
          <w:sz w:val="24"/>
          <w:szCs w:val="24"/>
        </w:rPr>
        <w:t xml:space="preserve">unlawful.  It is here where the </w:t>
      </w:r>
      <w:r w:rsidR="00A05805">
        <w:rPr>
          <w:rFonts w:ascii="Times New Roman" w:hAnsi="Times New Roman" w:cs="Times New Roman"/>
          <w:sz w:val="24"/>
          <w:szCs w:val="24"/>
        </w:rPr>
        <w:t xml:space="preserve">benefit of the MCA’s insistence on </w:t>
      </w:r>
      <w:r w:rsidR="00210C94">
        <w:rPr>
          <w:rFonts w:ascii="Times New Roman" w:hAnsi="Times New Roman" w:cs="Times New Roman"/>
          <w:sz w:val="24"/>
          <w:szCs w:val="24"/>
        </w:rPr>
        <w:t xml:space="preserve">specific </w:t>
      </w:r>
      <w:r w:rsidR="00A05805">
        <w:rPr>
          <w:rFonts w:ascii="Times New Roman" w:hAnsi="Times New Roman" w:cs="Times New Roman"/>
          <w:sz w:val="24"/>
          <w:szCs w:val="24"/>
        </w:rPr>
        <w:t xml:space="preserve">approval from a MCA REC becomes apparent, for </w:t>
      </w:r>
      <w:r w:rsidR="00DB3648">
        <w:rPr>
          <w:rFonts w:ascii="Times New Roman" w:hAnsi="Times New Roman" w:cs="Times New Roman"/>
          <w:sz w:val="24"/>
          <w:szCs w:val="24"/>
        </w:rPr>
        <w:t xml:space="preserve">it sends out a powerful </w:t>
      </w:r>
      <w:r w:rsidR="00210C94">
        <w:rPr>
          <w:rFonts w:ascii="Times New Roman" w:hAnsi="Times New Roman" w:cs="Times New Roman"/>
          <w:sz w:val="24"/>
          <w:szCs w:val="24"/>
        </w:rPr>
        <w:t xml:space="preserve">symbolic </w:t>
      </w:r>
      <w:r w:rsidR="003F47FB">
        <w:rPr>
          <w:rFonts w:ascii="Times New Roman" w:hAnsi="Times New Roman" w:cs="Times New Roman"/>
          <w:sz w:val="24"/>
          <w:szCs w:val="24"/>
        </w:rPr>
        <w:t xml:space="preserve">message in </w:t>
      </w:r>
      <w:r w:rsidR="00A05805">
        <w:rPr>
          <w:rFonts w:ascii="Times New Roman" w:hAnsi="Times New Roman" w:cs="Times New Roman"/>
          <w:sz w:val="24"/>
          <w:szCs w:val="24"/>
        </w:rPr>
        <w:t xml:space="preserve">identifying </w:t>
      </w:r>
      <w:r w:rsidR="00FC3AE2">
        <w:rPr>
          <w:rFonts w:ascii="Times New Roman" w:hAnsi="Times New Roman" w:cs="Times New Roman"/>
          <w:sz w:val="24"/>
          <w:szCs w:val="24"/>
        </w:rPr>
        <w:t xml:space="preserve">that </w:t>
      </w:r>
      <w:r w:rsidR="00BE0F14">
        <w:rPr>
          <w:rFonts w:ascii="Times New Roman" w:hAnsi="Times New Roman" w:cs="Times New Roman"/>
          <w:sz w:val="24"/>
          <w:szCs w:val="24"/>
        </w:rPr>
        <w:t xml:space="preserve">intrusive </w:t>
      </w:r>
      <w:r w:rsidR="00FC3AE2">
        <w:rPr>
          <w:rFonts w:ascii="Times New Roman" w:hAnsi="Times New Roman" w:cs="Times New Roman"/>
          <w:sz w:val="24"/>
          <w:szCs w:val="24"/>
        </w:rPr>
        <w:t xml:space="preserve">research involving </w:t>
      </w:r>
      <w:r w:rsidR="00A05805">
        <w:rPr>
          <w:rFonts w:ascii="Times New Roman" w:hAnsi="Times New Roman" w:cs="Times New Roman"/>
          <w:sz w:val="24"/>
          <w:szCs w:val="24"/>
        </w:rPr>
        <w:t xml:space="preserve">vulnerable </w:t>
      </w:r>
      <w:r w:rsidR="00FC3AE2">
        <w:rPr>
          <w:rFonts w:ascii="Times New Roman" w:hAnsi="Times New Roman" w:cs="Times New Roman"/>
          <w:sz w:val="24"/>
          <w:szCs w:val="24"/>
        </w:rPr>
        <w:t xml:space="preserve">incapacitated </w:t>
      </w:r>
      <w:r w:rsidR="00A05805">
        <w:rPr>
          <w:rFonts w:ascii="Times New Roman" w:hAnsi="Times New Roman" w:cs="Times New Roman"/>
          <w:sz w:val="24"/>
          <w:szCs w:val="24"/>
        </w:rPr>
        <w:t xml:space="preserve">participants </w:t>
      </w:r>
      <w:proofErr w:type="gramStart"/>
      <w:r w:rsidR="00A05805">
        <w:rPr>
          <w:rFonts w:ascii="Times New Roman" w:hAnsi="Times New Roman" w:cs="Times New Roman"/>
          <w:sz w:val="24"/>
          <w:szCs w:val="24"/>
        </w:rPr>
        <w:t>is deserved</w:t>
      </w:r>
      <w:proofErr w:type="gramEnd"/>
      <w:r w:rsidR="00A05805">
        <w:rPr>
          <w:rFonts w:ascii="Times New Roman" w:hAnsi="Times New Roman" w:cs="Times New Roman"/>
          <w:sz w:val="24"/>
          <w:szCs w:val="24"/>
        </w:rPr>
        <w:t xml:space="preserve"> of </w:t>
      </w:r>
      <w:r w:rsidR="00210C94">
        <w:rPr>
          <w:rFonts w:ascii="Times New Roman" w:hAnsi="Times New Roman" w:cs="Times New Roman"/>
          <w:sz w:val="24"/>
          <w:szCs w:val="24"/>
        </w:rPr>
        <w:t xml:space="preserve">a </w:t>
      </w:r>
      <w:r w:rsidR="00A05805">
        <w:rPr>
          <w:rFonts w:ascii="Times New Roman" w:hAnsi="Times New Roman" w:cs="Times New Roman"/>
          <w:sz w:val="24"/>
          <w:szCs w:val="24"/>
        </w:rPr>
        <w:t xml:space="preserve">special </w:t>
      </w:r>
      <w:r w:rsidR="00835C5E">
        <w:rPr>
          <w:rFonts w:ascii="Times New Roman" w:hAnsi="Times New Roman" w:cs="Times New Roman"/>
          <w:sz w:val="24"/>
          <w:szCs w:val="24"/>
        </w:rPr>
        <w:t>legal</w:t>
      </w:r>
      <w:r w:rsidR="00210C94">
        <w:rPr>
          <w:rFonts w:ascii="Times New Roman" w:hAnsi="Times New Roman" w:cs="Times New Roman"/>
          <w:sz w:val="24"/>
          <w:szCs w:val="24"/>
        </w:rPr>
        <w:t xml:space="preserve"> status</w:t>
      </w:r>
      <w:r w:rsidR="00A05805">
        <w:rPr>
          <w:rFonts w:ascii="Times New Roman" w:hAnsi="Times New Roman" w:cs="Times New Roman"/>
          <w:sz w:val="24"/>
          <w:szCs w:val="24"/>
        </w:rPr>
        <w:t>.</w:t>
      </w:r>
      <w:r w:rsidR="00FC3AE2">
        <w:rPr>
          <w:rFonts w:ascii="Times New Roman" w:hAnsi="Times New Roman" w:cs="Times New Roman"/>
          <w:sz w:val="24"/>
          <w:szCs w:val="24"/>
        </w:rPr>
        <w:t xml:space="preserve">  A</w:t>
      </w:r>
      <w:r w:rsidR="005E6693">
        <w:rPr>
          <w:rFonts w:ascii="Times New Roman" w:hAnsi="Times New Roman" w:cs="Times New Roman"/>
          <w:sz w:val="24"/>
          <w:szCs w:val="24"/>
        </w:rPr>
        <w:t xml:space="preserve"> possible deterrent effect is as well brought </w:t>
      </w:r>
      <w:r w:rsidR="00210C94">
        <w:rPr>
          <w:rFonts w:ascii="Times New Roman" w:hAnsi="Times New Roman" w:cs="Times New Roman"/>
          <w:sz w:val="24"/>
          <w:szCs w:val="24"/>
        </w:rPr>
        <w:t xml:space="preserve">to the fore </w:t>
      </w:r>
      <w:r w:rsidR="005E6693">
        <w:rPr>
          <w:rFonts w:ascii="Times New Roman" w:hAnsi="Times New Roman" w:cs="Times New Roman"/>
          <w:sz w:val="24"/>
          <w:szCs w:val="24"/>
        </w:rPr>
        <w:t>because the consequences of failing to gain e</w:t>
      </w:r>
      <w:r w:rsidR="00835C5E">
        <w:rPr>
          <w:rFonts w:ascii="Times New Roman" w:hAnsi="Times New Roman" w:cs="Times New Roman"/>
          <w:sz w:val="24"/>
          <w:szCs w:val="24"/>
        </w:rPr>
        <w:t xml:space="preserve">thical approval are potentially </w:t>
      </w:r>
      <w:r w:rsidR="005E6693">
        <w:rPr>
          <w:rFonts w:ascii="Times New Roman" w:hAnsi="Times New Roman" w:cs="Times New Roman"/>
          <w:sz w:val="24"/>
          <w:szCs w:val="24"/>
        </w:rPr>
        <w:t>more serious</w:t>
      </w:r>
      <w:r w:rsidR="00210C94">
        <w:rPr>
          <w:rFonts w:ascii="Times New Roman" w:hAnsi="Times New Roman" w:cs="Times New Roman"/>
          <w:sz w:val="24"/>
          <w:szCs w:val="24"/>
        </w:rPr>
        <w:t xml:space="preserve"> where that omission would lead to not only unprofessional, but also to </w:t>
      </w:r>
      <w:r w:rsidR="00835C5E">
        <w:rPr>
          <w:rFonts w:ascii="Times New Roman" w:hAnsi="Times New Roman" w:cs="Times New Roman"/>
          <w:sz w:val="24"/>
          <w:szCs w:val="24"/>
        </w:rPr>
        <w:t xml:space="preserve">unlawful, </w:t>
      </w:r>
      <w:r w:rsidR="005E6693">
        <w:rPr>
          <w:rFonts w:ascii="Times New Roman" w:hAnsi="Times New Roman" w:cs="Times New Roman"/>
          <w:sz w:val="24"/>
          <w:szCs w:val="24"/>
        </w:rPr>
        <w:t>activity.  Where a resea</w:t>
      </w:r>
      <w:r w:rsidR="00835C5E">
        <w:rPr>
          <w:rFonts w:ascii="Times New Roman" w:hAnsi="Times New Roman" w:cs="Times New Roman"/>
          <w:sz w:val="24"/>
          <w:szCs w:val="24"/>
        </w:rPr>
        <w:t xml:space="preserve">rcher is </w:t>
      </w:r>
      <w:r w:rsidR="005E6693">
        <w:rPr>
          <w:rFonts w:ascii="Times New Roman" w:hAnsi="Times New Roman" w:cs="Times New Roman"/>
          <w:sz w:val="24"/>
          <w:szCs w:val="24"/>
        </w:rPr>
        <w:t xml:space="preserve">aware of this, it is </w:t>
      </w:r>
      <w:r w:rsidR="004D2105">
        <w:rPr>
          <w:rFonts w:ascii="Times New Roman" w:hAnsi="Times New Roman" w:cs="Times New Roman"/>
          <w:sz w:val="24"/>
          <w:szCs w:val="24"/>
        </w:rPr>
        <w:t xml:space="preserve">perhaps </w:t>
      </w:r>
      <w:r w:rsidR="005E6693">
        <w:rPr>
          <w:rFonts w:ascii="Times New Roman" w:hAnsi="Times New Roman" w:cs="Times New Roman"/>
          <w:sz w:val="24"/>
          <w:szCs w:val="24"/>
        </w:rPr>
        <w:t xml:space="preserve">likely to induce </w:t>
      </w:r>
      <w:r w:rsidR="00CF6FB3">
        <w:rPr>
          <w:rFonts w:ascii="Times New Roman" w:hAnsi="Times New Roman" w:cs="Times New Roman"/>
          <w:sz w:val="24"/>
          <w:szCs w:val="24"/>
        </w:rPr>
        <w:t xml:space="preserve">a greater incentive to comply with the </w:t>
      </w:r>
      <w:r w:rsidR="00210C94">
        <w:rPr>
          <w:rFonts w:ascii="Times New Roman" w:hAnsi="Times New Roman" w:cs="Times New Roman"/>
          <w:sz w:val="24"/>
          <w:szCs w:val="24"/>
        </w:rPr>
        <w:t xml:space="preserve">legal requirement imposed by the </w:t>
      </w:r>
      <w:r w:rsidR="005E4017">
        <w:rPr>
          <w:rFonts w:ascii="Times New Roman" w:hAnsi="Times New Roman" w:cs="Times New Roman"/>
          <w:sz w:val="24"/>
          <w:szCs w:val="24"/>
        </w:rPr>
        <w:t>MCA, thereby</w:t>
      </w:r>
      <w:r w:rsidR="006710D1">
        <w:rPr>
          <w:rFonts w:ascii="Times New Roman" w:hAnsi="Times New Roman" w:cs="Times New Roman"/>
          <w:sz w:val="24"/>
          <w:szCs w:val="24"/>
        </w:rPr>
        <w:t xml:space="preserve"> ensuring </w:t>
      </w:r>
      <w:r w:rsidR="005E4017">
        <w:rPr>
          <w:rFonts w:ascii="Times New Roman" w:hAnsi="Times New Roman" w:cs="Times New Roman"/>
          <w:sz w:val="24"/>
          <w:szCs w:val="24"/>
        </w:rPr>
        <w:t xml:space="preserve">that projects will be subject to a greater degree of </w:t>
      </w:r>
      <w:r w:rsidR="004D2105">
        <w:rPr>
          <w:rFonts w:ascii="Times New Roman" w:hAnsi="Times New Roman" w:cs="Times New Roman"/>
          <w:sz w:val="24"/>
          <w:szCs w:val="24"/>
        </w:rPr>
        <w:t xml:space="preserve">specialist </w:t>
      </w:r>
      <w:r w:rsidR="005E4017">
        <w:rPr>
          <w:rFonts w:ascii="Times New Roman" w:hAnsi="Times New Roman" w:cs="Times New Roman"/>
          <w:sz w:val="24"/>
          <w:szCs w:val="24"/>
        </w:rPr>
        <w:t>scrutiny.</w:t>
      </w:r>
      <w:r w:rsidR="00FC3AE2">
        <w:rPr>
          <w:rFonts w:ascii="Times New Roman" w:hAnsi="Times New Roman" w:cs="Times New Roman"/>
          <w:sz w:val="24"/>
          <w:szCs w:val="24"/>
        </w:rPr>
        <w:t xml:space="preserve">  Accordingly, it </w:t>
      </w:r>
      <w:r w:rsidR="00DB3648">
        <w:rPr>
          <w:rFonts w:ascii="Times New Roman" w:hAnsi="Times New Roman" w:cs="Times New Roman"/>
          <w:sz w:val="24"/>
          <w:szCs w:val="24"/>
        </w:rPr>
        <w:t>seem</w:t>
      </w:r>
      <w:r w:rsidR="00FC3AE2">
        <w:rPr>
          <w:rFonts w:ascii="Times New Roman" w:hAnsi="Times New Roman" w:cs="Times New Roman"/>
          <w:sz w:val="24"/>
          <w:szCs w:val="24"/>
        </w:rPr>
        <w:t>s</w:t>
      </w:r>
      <w:r w:rsidR="00DB3648">
        <w:rPr>
          <w:rFonts w:ascii="Times New Roman" w:hAnsi="Times New Roman" w:cs="Times New Roman"/>
          <w:sz w:val="24"/>
          <w:szCs w:val="24"/>
        </w:rPr>
        <w:t xml:space="preserve"> plausible to suggest that the obligation to gain ap</w:t>
      </w:r>
      <w:r w:rsidR="007A5826">
        <w:rPr>
          <w:rFonts w:ascii="Times New Roman" w:hAnsi="Times New Roman" w:cs="Times New Roman"/>
          <w:sz w:val="24"/>
          <w:szCs w:val="24"/>
        </w:rPr>
        <w:t xml:space="preserve">proval from a MCA REC has the potential to positively influence the way </w:t>
      </w:r>
      <w:r w:rsidR="004D2105">
        <w:rPr>
          <w:rFonts w:ascii="Times New Roman" w:hAnsi="Times New Roman" w:cs="Times New Roman"/>
          <w:sz w:val="24"/>
          <w:szCs w:val="24"/>
        </w:rPr>
        <w:t xml:space="preserve">people think about research and </w:t>
      </w:r>
      <w:r w:rsidR="007A5826">
        <w:rPr>
          <w:rFonts w:ascii="Times New Roman" w:hAnsi="Times New Roman" w:cs="Times New Roman"/>
          <w:sz w:val="24"/>
          <w:szCs w:val="24"/>
        </w:rPr>
        <w:t>incapacitated</w:t>
      </w:r>
      <w:r w:rsidR="004D2105">
        <w:rPr>
          <w:rFonts w:ascii="Times New Roman" w:hAnsi="Times New Roman" w:cs="Times New Roman"/>
          <w:sz w:val="24"/>
          <w:szCs w:val="24"/>
        </w:rPr>
        <w:t xml:space="preserve"> participants</w:t>
      </w:r>
      <w:r w:rsidR="007A5826">
        <w:rPr>
          <w:rFonts w:ascii="Times New Roman" w:hAnsi="Times New Roman" w:cs="Times New Roman"/>
          <w:sz w:val="24"/>
          <w:szCs w:val="24"/>
        </w:rPr>
        <w:t xml:space="preserve">, </w:t>
      </w:r>
      <w:r w:rsidR="000A1402">
        <w:rPr>
          <w:rFonts w:ascii="Times New Roman" w:hAnsi="Times New Roman" w:cs="Times New Roman"/>
          <w:sz w:val="24"/>
          <w:szCs w:val="24"/>
        </w:rPr>
        <w:t xml:space="preserve">particularly </w:t>
      </w:r>
      <w:r w:rsidR="007A5826">
        <w:rPr>
          <w:rFonts w:ascii="Times New Roman" w:hAnsi="Times New Roman" w:cs="Times New Roman"/>
          <w:sz w:val="24"/>
          <w:szCs w:val="24"/>
        </w:rPr>
        <w:t>because it</w:t>
      </w:r>
      <w:r w:rsidR="005E4017">
        <w:rPr>
          <w:rFonts w:ascii="Times New Roman" w:hAnsi="Times New Roman" w:cs="Times New Roman"/>
          <w:sz w:val="24"/>
          <w:szCs w:val="24"/>
        </w:rPr>
        <w:t xml:space="preserve"> signifies that especial measures</w:t>
      </w:r>
      <w:r w:rsidR="00955CAA">
        <w:rPr>
          <w:rFonts w:ascii="Times New Roman" w:hAnsi="Times New Roman" w:cs="Times New Roman"/>
          <w:sz w:val="24"/>
          <w:szCs w:val="24"/>
        </w:rPr>
        <w:t xml:space="preserve"> must be adhered to </w:t>
      </w:r>
      <w:r w:rsidR="005E4017">
        <w:rPr>
          <w:rFonts w:ascii="Times New Roman" w:hAnsi="Times New Roman" w:cs="Times New Roman"/>
          <w:sz w:val="24"/>
          <w:szCs w:val="24"/>
        </w:rPr>
        <w:t xml:space="preserve">in the approval </w:t>
      </w:r>
      <w:r w:rsidR="007A5826">
        <w:rPr>
          <w:rFonts w:ascii="Times New Roman" w:hAnsi="Times New Roman" w:cs="Times New Roman"/>
          <w:sz w:val="24"/>
          <w:szCs w:val="24"/>
        </w:rPr>
        <w:t>process</w:t>
      </w:r>
      <w:r w:rsidR="005E4017">
        <w:rPr>
          <w:rFonts w:ascii="Times New Roman" w:hAnsi="Times New Roman" w:cs="Times New Roman"/>
          <w:sz w:val="24"/>
          <w:szCs w:val="24"/>
        </w:rPr>
        <w:t xml:space="preserve">.  The theory behind its inclusion therefore </w:t>
      </w:r>
      <w:r w:rsidR="00955CAA">
        <w:rPr>
          <w:rFonts w:ascii="Times New Roman" w:hAnsi="Times New Roman" w:cs="Times New Roman"/>
          <w:sz w:val="24"/>
          <w:szCs w:val="24"/>
        </w:rPr>
        <w:t xml:space="preserve">may have some merit, but nonetheless </w:t>
      </w:r>
      <w:r w:rsidR="00835C5E">
        <w:rPr>
          <w:rFonts w:ascii="Times New Roman" w:hAnsi="Times New Roman" w:cs="Times New Roman"/>
          <w:sz w:val="24"/>
          <w:szCs w:val="24"/>
        </w:rPr>
        <w:t xml:space="preserve">there </w:t>
      </w:r>
      <w:r w:rsidR="000A1402">
        <w:rPr>
          <w:rFonts w:ascii="Times New Roman" w:hAnsi="Times New Roman" w:cs="Times New Roman"/>
          <w:sz w:val="24"/>
          <w:szCs w:val="24"/>
        </w:rPr>
        <w:t xml:space="preserve">are </w:t>
      </w:r>
      <w:r w:rsidR="00DB3648">
        <w:rPr>
          <w:rFonts w:ascii="Times New Roman" w:hAnsi="Times New Roman" w:cs="Times New Roman"/>
          <w:sz w:val="24"/>
          <w:szCs w:val="24"/>
        </w:rPr>
        <w:t>other co</w:t>
      </w:r>
      <w:r w:rsidR="000A1402">
        <w:rPr>
          <w:rFonts w:ascii="Times New Roman" w:hAnsi="Times New Roman" w:cs="Times New Roman"/>
          <w:sz w:val="24"/>
          <w:szCs w:val="24"/>
        </w:rPr>
        <w:t>ncerns.</w:t>
      </w:r>
    </w:p>
    <w:p w14:paraId="69A63D92" w14:textId="206F1F0D" w:rsidR="006F33B7" w:rsidRDefault="00B665AD" w:rsidP="00B362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insistence upon approval</w:t>
      </w:r>
      <w:r w:rsidR="004D2105">
        <w:rPr>
          <w:rFonts w:ascii="Times New Roman" w:hAnsi="Times New Roman" w:cs="Times New Roman"/>
          <w:sz w:val="24"/>
          <w:szCs w:val="24"/>
        </w:rPr>
        <w:t xml:space="preserve"> </w:t>
      </w:r>
      <w:r w:rsidR="00BD32B1">
        <w:rPr>
          <w:rFonts w:ascii="Times New Roman" w:hAnsi="Times New Roman" w:cs="Times New Roman"/>
          <w:sz w:val="24"/>
          <w:szCs w:val="24"/>
        </w:rPr>
        <w:t xml:space="preserve">from a specific </w:t>
      </w:r>
      <w:r>
        <w:rPr>
          <w:rFonts w:ascii="Times New Roman" w:hAnsi="Times New Roman" w:cs="Times New Roman"/>
          <w:sz w:val="24"/>
          <w:szCs w:val="24"/>
        </w:rPr>
        <w:t>MCA REC</w:t>
      </w:r>
      <w:r w:rsidR="00BD32B1">
        <w:rPr>
          <w:rFonts w:ascii="Times New Roman" w:hAnsi="Times New Roman" w:cs="Times New Roman"/>
          <w:sz w:val="24"/>
          <w:szCs w:val="24"/>
        </w:rPr>
        <w:t xml:space="preserve">, instead of </w:t>
      </w:r>
      <w:r>
        <w:rPr>
          <w:rFonts w:ascii="Times New Roman" w:hAnsi="Times New Roman" w:cs="Times New Roman"/>
          <w:sz w:val="24"/>
          <w:szCs w:val="24"/>
        </w:rPr>
        <w:t>a</w:t>
      </w:r>
      <w:r w:rsidR="00BD32B1">
        <w:rPr>
          <w:rFonts w:ascii="Times New Roman" w:hAnsi="Times New Roman" w:cs="Times New Roman"/>
          <w:sz w:val="24"/>
          <w:szCs w:val="24"/>
        </w:rPr>
        <w:t xml:space="preserve"> </w:t>
      </w:r>
      <w:r w:rsidR="004D2105">
        <w:rPr>
          <w:rFonts w:ascii="Times New Roman" w:hAnsi="Times New Roman" w:cs="Times New Roman"/>
          <w:sz w:val="24"/>
          <w:szCs w:val="24"/>
        </w:rPr>
        <w:t>more general ethics c</w:t>
      </w:r>
      <w:r>
        <w:rPr>
          <w:rFonts w:ascii="Times New Roman" w:hAnsi="Times New Roman" w:cs="Times New Roman"/>
          <w:sz w:val="24"/>
          <w:szCs w:val="24"/>
        </w:rPr>
        <w:t xml:space="preserve">ommittee, is presumably based on the fact that the former will have </w:t>
      </w:r>
      <w:r w:rsidR="00857E04">
        <w:rPr>
          <w:rFonts w:ascii="Times New Roman" w:hAnsi="Times New Roman" w:cs="Times New Roman"/>
          <w:sz w:val="24"/>
          <w:szCs w:val="24"/>
        </w:rPr>
        <w:t>the opportunity to develop</w:t>
      </w:r>
      <w:r w:rsidR="00E12FC9">
        <w:rPr>
          <w:rFonts w:ascii="Times New Roman" w:hAnsi="Times New Roman" w:cs="Times New Roman"/>
          <w:sz w:val="24"/>
          <w:szCs w:val="24"/>
        </w:rPr>
        <w:t xml:space="preserve"> </w:t>
      </w:r>
      <w:r>
        <w:rPr>
          <w:rFonts w:ascii="Times New Roman" w:hAnsi="Times New Roman" w:cs="Times New Roman"/>
          <w:sz w:val="24"/>
          <w:szCs w:val="24"/>
        </w:rPr>
        <w:t xml:space="preserve">specialist expertise in dealing with proposals that seek to </w:t>
      </w:r>
      <w:r w:rsidR="004D2105">
        <w:rPr>
          <w:rFonts w:ascii="Times New Roman" w:hAnsi="Times New Roman" w:cs="Times New Roman"/>
          <w:sz w:val="24"/>
          <w:szCs w:val="24"/>
        </w:rPr>
        <w:t xml:space="preserve">involve </w:t>
      </w:r>
      <w:r w:rsidR="009515E9">
        <w:rPr>
          <w:rFonts w:ascii="Times New Roman" w:hAnsi="Times New Roman" w:cs="Times New Roman"/>
          <w:sz w:val="24"/>
          <w:szCs w:val="24"/>
        </w:rPr>
        <w:t>incapacitated participants. MCA REC members will</w:t>
      </w:r>
      <w:r w:rsidR="004D2105">
        <w:rPr>
          <w:rFonts w:ascii="Times New Roman" w:hAnsi="Times New Roman" w:cs="Times New Roman"/>
          <w:sz w:val="24"/>
          <w:szCs w:val="24"/>
        </w:rPr>
        <w:t xml:space="preserve"> receive customised training that will assist them in </w:t>
      </w:r>
      <w:r w:rsidR="00BD32B1">
        <w:rPr>
          <w:rFonts w:ascii="Times New Roman" w:hAnsi="Times New Roman" w:cs="Times New Roman"/>
          <w:sz w:val="24"/>
          <w:szCs w:val="24"/>
        </w:rPr>
        <w:t>assessing whether the requirements for approval have been adequately met</w:t>
      </w:r>
      <w:r w:rsidR="004D2105">
        <w:rPr>
          <w:rFonts w:ascii="Times New Roman" w:hAnsi="Times New Roman" w:cs="Times New Roman"/>
          <w:sz w:val="24"/>
          <w:szCs w:val="24"/>
        </w:rPr>
        <w:t xml:space="preserve">.  Nevertheless, </w:t>
      </w:r>
      <w:r w:rsidR="00BD32B1">
        <w:rPr>
          <w:rFonts w:ascii="Times New Roman" w:hAnsi="Times New Roman" w:cs="Times New Roman"/>
          <w:sz w:val="24"/>
          <w:szCs w:val="24"/>
        </w:rPr>
        <w:t>the composition of a particular committee may</w:t>
      </w:r>
      <w:r w:rsidR="004D2105">
        <w:rPr>
          <w:rFonts w:ascii="Times New Roman" w:hAnsi="Times New Roman" w:cs="Times New Roman"/>
          <w:sz w:val="24"/>
          <w:szCs w:val="24"/>
        </w:rPr>
        <w:t xml:space="preserve"> impact upon outcomes</w:t>
      </w:r>
      <w:r w:rsidR="009E198C">
        <w:rPr>
          <w:rFonts w:ascii="Times New Roman" w:hAnsi="Times New Roman" w:cs="Times New Roman"/>
          <w:sz w:val="24"/>
          <w:szCs w:val="24"/>
        </w:rPr>
        <w:t>.  M</w:t>
      </w:r>
      <w:r w:rsidR="00BD32B1">
        <w:rPr>
          <w:rFonts w:ascii="Times New Roman" w:hAnsi="Times New Roman" w:cs="Times New Roman"/>
          <w:sz w:val="24"/>
          <w:szCs w:val="24"/>
        </w:rPr>
        <w:t>embership</w:t>
      </w:r>
      <w:r w:rsidR="009E60E0">
        <w:rPr>
          <w:rFonts w:ascii="Times New Roman" w:hAnsi="Times New Roman" w:cs="Times New Roman"/>
          <w:sz w:val="24"/>
          <w:szCs w:val="24"/>
        </w:rPr>
        <w:t xml:space="preserve"> of a MCA REC should </w:t>
      </w:r>
      <w:r w:rsidR="009E198C">
        <w:rPr>
          <w:rFonts w:ascii="Times New Roman" w:hAnsi="Times New Roman" w:cs="Times New Roman"/>
          <w:sz w:val="24"/>
          <w:szCs w:val="24"/>
        </w:rPr>
        <w:t xml:space="preserve">include </w:t>
      </w:r>
      <w:r w:rsidR="00BD32B1">
        <w:rPr>
          <w:rFonts w:ascii="Times New Roman" w:hAnsi="Times New Roman" w:cs="Times New Roman"/>
          <w:sz w:val="24"/>
          <w:szCs w:val="24"/>
        </w:rPr>
        <w:t xml:space="preserve">a range of individuals from a variety of different backgrounds, including </w:t>
      </w:r>
      <w:r w:rsidR="00BD32B1">
        <w:rPr>
          <w:rFonts w:ascii="Times New Roman" w:hAnsi="Times New Roman" w:cs="Times New Roman"/>
          <w:sz w:val="24"/>
          <w:szCs w:val="24"/>
        </w:rPr>
        <w:lastRenderedPageBreak/>
        <w:t>both professional people and lay representatives</w:t>
      </w:r>
      <w:r w:rsidR="009E198C">
        <w:rPr>
          <w:rFonts w:ascii="Times New Roman" w:hAnsi="Times New Roman" w:cs="Times New Roman"/>
          <w:sz w:val="24"/>
          <w:szCs w:val="24"/>
        </w:rPr>
        <w:t>.</w:t>
      </w:r>
      <w:r w:rsidR="009E198C">
        <w:rPr>
          <w:rStyle w:val="FootnoteReference"/>
          <w:rFonts w:ascii="Times New Roman" w:hAnsi="Times New Roman" w:cs="Times New Roman"/>
          <w:sz w:val="24"/>
          <w:szCs w:val="24"/>
        </w:rPr>
        <w:footnoteReference w:id="138"/>
      </w:r>
      <w:r w:rsidR="009E198C">
        <w:rPr>
          <w:rFonts w:ascii="Times New Roman" w:hAnsi="Times New Roman" w:cs="Times New Roman"/>
          <w:sz w:val="24"/>
          <w:szCs w:val="24"/>
        </w:rPr>
        <w:t xml:space="preserve">  T</w:t>
      </w:r>
      <w:r w:rsidR="009E60E0">
        <w:rPr>
          <w:rFonts w:ascii="Times New Roman" w:hAnsi="Times New Roman" w:cs="Times New Roman"/>
          <w:sz w:val="24"/>
          <w:szCs w:val="24"/>
        </w:rPr>
        <w:t xml:space="preserve">his inevitably means </w:t>
      </w:r>
      <w:r w:rsidR="009E198C">
        <w:rPr>
          <w:rFonts w:ascii="Times New Roman" w:hAnsi="Times New Roman" w:cs="Times New Roman"/>
          <w:sz w:val="24"/>
          <w:szCs w:val="24"/>
        </w:rPr>
        <w:t xml:space="preserve">though that they </w:t>
      </w:r>
      <w:r w:rsidR="00454878">
        <w:rPr>
          <w:rFonts w:ascii="Times New Roman" w:hAnsi="Times New Roman" w:cs="Times New Roman"/>
          <w:sz w:val="24"/>
          <w:szCs w:val="24"/>
        </w:rPr>
        <w:t>will have varying degrees of expertise across different fields, depending on the experience of the individuals sitting on them</w:t>
      </w:r>
      <w:r w:rsidR="009515E9">
        <w:rPr>
          <w:rFonts w:ascii="Times New Roman" w:hAnsi="Times New Roman" w:cs="Times New Roman"/>
          <w:sz w:val="24"/>
          <w:szCs w:val="24"/>
        </w:rPr>
        <w:t xml:space="preserve">.  Experts who have worked </w:t>
      </w:r>
      <w:r w:rsidR="00E12FC9">
        <w:rPr>
          <w:rFonts w:ascii="Times New Roman" w:hAnsi="Times New Roman" w:cs="Times New Roman"/>
          <w:sz w:val="24"/>
          <w:szCs w:val="24"/>
        </w:rPr>
        <w:t xml:space="preserve">in psychiatry and mental health will naturally have an important role to play in sitting on such a specialist committee, but the extent to which each separate committee will include members with significant expertise </w:t>
      </w:r>
      <w:r w:rsidR="006F33B7">
        <w:rPr>
          <w:rFonts w:ascii="Times New Roman" w:hAnsi="Times New Roman" w:cs="Times New Roman"/>
          <w:sz w:val="24"/>
          <w:szCs w:val="24"/>
        </w:rPr>
        <w:t xml:space="preserve">in </w:t>
      </w:r>
      <w:r w:rsidR="000B69FE">
        <w:rPr>
          <w:rFonts w:ascii="Times New Roman" w:hAnsi="Times New Roman" w:cs="Times New Roman"/>
          <w:sz w:val="24"/>
          <w:szCs w:val="24"/>
        </w:rPr>
        <w:t>assessing capacity by</w:t>
      </w:r>
      <w:r w:rsidR="00E12FC9">
        <w:rPr>
          <w:rFonts w:ascii="Times New Roman" w:hAnsi="Times New Roman" w:cs="Times New Roman"/>
          <w:sz w:val="24"/>
          <w:szCs w:val="24"/>
        </w:rPr>
        <w:t xml:space="preserve"> reference to the </w:t>
      </w:r>
      <w:r w:rsidR="006F33B7">
        <w:rPr>
          <w:rFonts w:ascii="Times New Roman" w:hAnsi="Times New Roman" w:cs="Times New Roman"/>
          <w:sz w:val="24"/>
          <w:szCs w:val="24"/>
        </w:rPr>
        <w:t xml:space="preserve">legal test is somewhat unknown.  </w:t>
      </w:r>
      <w:r w:rsidR="006F33B7" w:rsidRPr="006F33B7">
        <w:rPr>
          <w:rFonts w:ascii="Times New Roman" w:hAnsi="Times New Roman" w:cs="Times New Roman"/>
          <w:sz w:val="24"/>
          <w:szCs w:val="24"/>
        </w:rPr>
        <w:t>There is no assurance that this important question will receive the same amount of rigorous scrutiny as it would do in a formal court setting.</w:t>
      </w:r>
      <w:r w:rsidR="0088427F">
        <w:rPr>
          <w:rStyle w:val="FootnoteReference"/>
          <w:rFonts w:ascii="Times New Roman" w:hAnsi="Times New Roman" w:cs="Times New Roman"/>
          <w:sz w:val="24"/>
          <w:szCs w:val="24"/>
        </w:rPr>
        <w:footnoteReference w:id="139"/>
      </w:r>
      <w:r w:rsidR="006F33B7" w:rsidRPr="006F33B7">
        <w:rPr>
          <w:rFonts w:ascii="Times New Roman" w:hAnsi="Times New Roman" w:cs="Times New Roman"/>
          <w:sz w:val="24"/>
          <w:szCs w:val="24"/>
        </w:rPr>
        <w:t xml:space="preserve">  This problem is not confined to th</w:t>
      </w:r>
      <w:r w:rsidR="0088427F">
        <w:rPr>
          <w:rFonts w:ascii="Times New Roman" w:hAnsi="Times New Roman" w:cs="Times New Roman"/>
          <w:sz w:val="24"/>
          <w:szCs w:val="24"/>
        </w:rPr>
        <w:t xml:space="preserve">e question of capacity, because </w:t>
      </w:r>
      <w:r w:rsidR="006F33B7" w:rsidRPr="006F33B7">
        <w:rPr>
          <w:rFonts w:ascii="Times New Roman" w:hAnsi="Times New Roman" w:cs="Times New Roman"/>
          <w:sz w:val="24"/>
          <w:szCs w:val="24"/>
        </w:rPr>
        <w:t xml:space="preserve">if a particular MCA REC happens to have an experienced lawyer well versed in interpreting statutes amongst its membership, there may well be closer examination of the </w:t>
      </w:r>
      <w:r w:rsidR="006F33B7">
        <w:rPr>
          <w:rFonts w:ascii="Times New Roman" w:hAnsi="Times New Roman" w:cs="Times New Roman"/>
          <w:sz w:val="24"/>
          <w:szCs w:val="24"/>
        </w:rPr>
        <w:t xml:space="preserve">myriad </w:t>
      </w:r>
      <w:r w:rsidR="006F33B7" w:rsidRPr="006F33B7">
        <w:rPr>
          <w:rFonts w:ascii="Times New Roman" w:hAnsi="Times New Roman" w:cs="Times New Roman"/>
          <w:sz w:val="24"/>
          <w:szCs w:val="24"/>
        </w:rPr>
        <w:t xml:space="preserve">of different meanings that could be ascribed to the thresholds for approval than would be present in other MCA RECs that do not possess the same personnel.  </w:t>
      </w:r>
      <w:r w:rsidR="00E12FC9">
        <w:rPr>
          <w:rFonts w:ascii="Times New Roman" w:hAnsi="Times New Roman" w:cs="Times New Roman"/>
          <w:sz w:val="24"/>
          <w:szCs w:val="24"/>
        </w:rPr>
        <w:t xml:space="preserve"> </w:t>
      </w:r>
    </w:p>
    <w:p w14:paraId="2994FD6E" w14:textId="778014E4" w:rsidR="00835C5E" w:rsidRDefault="006F33B7" w:rsidP="00B362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5A41">
        <w:rPr>
          <w:rFonts w:ascii="Times New Roman" w:hAnsi="Times New Roman" w:cs="Times New Roman"/>
          <w:sz w:val="24"/>
          <w:szCs w:val="24"/>
        </w:rPr>
        <w:t xml:space="preserve">The logistics of the approval process </w:t>
      </w:r>
      <w:r w:rsidR="009E198C">
        <w:rPr>
          <w:rFonts w:ascii="Times New Roman" w:hAnsi="Times New Roman" w:cs="Times New Roman"/>
          <w:sz w:val="24"/>
          <w:szCs w:val="24"/>
        </w:rPr>
        <w:t xml:space="preserve">may </w:t>
      </w:r>
      <w:r w:rsidR="00F95A41">
        <w:rPr>
          <w:rFonts w:ascii="Times New Roman" w:hAnsi="Times New Roman" w:cs="Times New Roman"/>
          <w:sz w:val="24"/>
          <w:szCs w:val="24"/>
        </w:rPr>
        <w:t xml:space="preserve">also frustrate matters.  There are circumstances in which an on-going project will be the subject of </w:t>
      </w:r>
      <w:r w:rsidR="00006481">
        <w:rPr>
          <w:rFonts w:ascii="Times New Roman" w:hAnsi="Times New Roman" w:cs="Times New Roman"/>
          <w:sz w:val="24"/>
          <w:szCs w:val="24"/>
        </w:rPr>
        <w:t xml:space="preserve">periodic </w:t>
      </w:r>
      <w:r w:rsidR="00F95A41">
        <w:rPr>
          <w:rFonts w:ascii="Times New Roman" w:hAnsi="Times New Roman" w:cs="Times New Roman"/>
          <w:sz w:val="24"/>
          <w:szCs w:val="24"/>
        </w:rPr>
        <w:t>review from a MCA REC, but more often than no</w:t>
      </w:r>
      <w:r w:rsidR="00006481">
        <w:rPr>
          <w:rFonts w:ascii="Times New Roman" w:hAnsi="Times New Roman" w:cs="Times New Roman"/>
          <w:sz w:val="24"/>
          <w:szCs w:val="24"/>
        </w:rPr>
        <w:t xml:space="preserve">t the </w:t>
      </w:r>
      <w:r w:rsidR="009647A4">
        <w:rPr>
          <w:rFonts w:ascii="Times New Roman" w:hAnsi="Times New Roman" w:cs="Times New Roman"/>
          <w:sz w:val="24"/>
          <w:szCs w:val="24"/>
        </w:rPr>
        <w:t xml:space="preserve">approval </w:t>
      </w:r>
      <w:r w:rsidR="00F95A41">
        <w:rPr>
          <w:rFonts w:ascii="Times New Roman" w:hAnsi="Times New Roman" w:cs="Times New Roman"/>
          <w:sz w:val="24"/>
          <w:szCs w:val="24"/>
        </w:rPr>
        <w:t xml:space="preserve">process is anticipatory and forward-looking in nature.  </w:t>
      </w:r>
      <w:r w:rsidR="00303066">
        <w:rPr>
          <w:rFonts w:ascii="Times New Roman" w:hAnsi="Times New Roman" w:cs="Times New Roman"/>
          <w:sz w:val="24"/>
          <w:szCs w:val="24"/>
        </w:rPr>
        <w:t>Researchers</w:t>
      </w:r>
      <w:r w:rsidR="00F95A41">
        <w:rPr>
          <w:rFonts w:ascii="Times New Roman" w:hAnsi="Times New Roman" w:cs="Times New Roman"/>
          <w:sz w:val="24"/>
          <w:szCs w:val="24"/>
        </w:rPr>
        <w:t xml:space="preserve"> are not supposed to recruit </w:t>
      </w:r>
      <w:r w:rsidR="00303066">
        <w:rPr>
          <w:rFonts w:ascii="Times New Roman" w:hAnsi="Times New Roman" w:cs="Times New Roman"/>
          <w:sz w:val="24"/>
          <w:szCs w:val="24"/>
        </w:rPr>
        <w:t xml:space="preserve">participants beforehand, so any inquiry by </w:t>
      </w:r>
      <w:r w:rsidR="0003188D">
        <w:rPr>
          <w:rFonts w:ascii="Times New Roman" w:hAnsi="Times New Roman" w:cs="Times New Roman"/>
          <w:sz w:val="24"/>
          <w:szCs w:val="24"/>
        </w:rPr>
        <w:t xml:space="preserve">a </w:t>
      </w:r>
      <w:r w:rsidR="00F95A41">
        <w:rPr>
          <w:rFonts w:ascii="Times New Roman" w:hAnsi="Times New Roman" w:cs="Times New Roman"/>
          <w:sz w:val="24"/>
          <w:szCs w:val="24"/>
        </w:rPr>
        <w:t xml:space="preserve">MCA REC is </w:t>
      </w:r>
      <w:r w:rsidR="00303066">
        <w:rPr>
          <w:rFonts w:ascii="Times New Roman" w:hAnsi="Times New Roman" w:cs="Times New Roman"/>
          <w:sz w:val="24"/>
          <w:szCs w:val="24"/>
        </w:rPr>
        <w:t>somewhat</w:t>
      </w:r>
      <w:r w:rsidR="00F95A41">
        <w:rPr>
          <w:rFonts w:ascii="Times New Roman" w:hAnsi="Times New Roman" w:cs="Times New Roman"/>
          <w:sz w:val="24"/>
          <w:szCs w:val="24"/>
        </w:rPr>
        <w:t xml:space="preserve"> limited to exploring the </w:t>
      </w:r>
      <w:r w:rsidR="00303066">
        <w:rPr>
          <w:rFonts w:ascii="Times New Roman" w:hAnsi="Times New Roman" w:cs="Times New Roman"/>
          <w:sz w:val="24"/>
          <w:szCs w:val="24"/>
        </w:rPr>
        <w:t>procedures</w:t>
      </w:r>
      <w:r w:rsidR="00F95A41">
        <w:rPr>
          <w:rFonts w:ascii="Times New Roman" w:hAnsi="Times New Roman" w:cs="Times New Roman"/>
          <w:sz w:val="24"/>
          <w:szCs w:val="24"/>
        </w:rPr>
        <w:t xml:space="preserve"> that have been put in place for </w:t>
      </w:r>
      <w:r w:rsidR="00303066">
        <w:rPr>
          <w:rFonts w:ascii="Times New Roman" w:hAnsi="Times New Roman" w:cs="Times New Roman"/>
          <w:sz w:val="24"/>
          <w:szCs w:val="24"/>
        </w:rPr>
        <w:t>ensuring</w:t>
      </w:r>
      <w:r w:rsidR="00F95A41">
        <w:rPr>
          <w:rFonts w:ascii="Times New Roman" w:hAnsi="Times New Roman" w:cs="Times New Roman"/>
          <w:sz w:val="24"/>
          <w:szCs w:val="24"/>
        </w:rPr>
        <w:t xml:space="preserve"> </w:t>
      </w:r>
      <w:r w:rsidR="0003188D">
        <w:rPr>
          <w:rFonts w:ascii="Times New Roman" w:hAnsi="Times New Roman" w:cs="Times New Roman"/>
          <w:sz w:val="24"/>
          <w:szCs w:val="24"/>
        </w:rPr>
        <w:t xml:space="preserve">that </w:t>
      </w:r>
      <w:r w:rsidR="00F95A41">
        <w:rPr>
          <w:rFonts w:ascii="Times New Roman" w:hAnsi="Times New Roman" w:cs="Times New Roman"/>
          <w:sz w:val="24"/>
          <w:szCs w:val="24"/>
        </w:rPr>
        <w:t>capacity assessments are carried out</w:t>
      </w:r>
      <w:r w:rsidR="00303066">
        <w:rPr>
          <w:rFonts w:ascii="Times New Roman" w:hAnsi="Times New Roman" w:cs="Times New Roman"/>
          <w:sz w:val="24"/>
          <w:szCs w:val="24"/>
        </w:rPr>
        <w:t xml:space="preserve"> appropriately</w:t>
      </w:r>
      <w:r w:rsidR="009647A4">
        <w:rPr>
          <w:rFonts w:ascii="Times New Roman" w:hAnsi="Times New Roman" w:cs="Times New Roman"/>
          <w:sz w:val="24"/>
          <w:szCs w:val="24"/>
        </w:rPr>
        <w:t>,</w:t>
      </w:r>
      <w:r w:rsidR="00303066">
        <w:rPr>
          <w:rFonts w:ascii="Times New Roman" w:hAnsi="Times New Roman" w:cs="Times New Roman"/>
          <w:sz w:val="24"/>
          <w:szCs w:val="24"/>
        </w:rPr>
        <w:t xml:space="preserve"> </w:t>
      </w:r>
      <w:r w:rsidR="00F95A41">
        <w:rPr>
          <w:rFonts w:ascii="Times New Roman" w:hAnsi="Times New Roman" w:cs="Times New Roman"/>
          <w:sz w:val="24"/>
          <w:szCs w:val="24"/>
        </w:rPr>
        <w:t xml:space="preserve">and for </w:t>
      </w:r>
      <w:r w:rsidR="00303066">
        <w:rPr>
          <w:rFonts w:ascii="Times New Roman" w:hAnsi="Times New Roman" w:cs="Times New Roman"/>
          <w:sz w:val="24"/>
          <w:szCs w:val="24"/>
        </w:rPr>
        <w:t xml:space="preserve">securing the appointment of </w:t>
      </w:r>
      <w:r w:rsidR="00F95A41">
        <w:rPr>
          <w:rFonts w:ascii="Times New Roman" w:hAnsi="Times New Roman" w:cs="Times New Roman"/>
          <w:sz w:val="24"/>
          <w:szCs w:val="24"/>
        </w:rPr>
        <w:t xml:space="preserve">consultees.  Within this, </w:t>
      </w:r>
      <w:r w:rsidR="00303066">
        <w:rPr>
          <w:rFonts w:ascii="Times New Roman" w:hAnsi="Times New Roman" w:cs="Times New Roman"/>
          <w:sz w:val="24"/>
          <w:szCs w:val="24"/>
        </w:rPr>
        <w:t xml:space="preserve">a MCA REC </w:t>
      </w:r>
      <w:r w:rsidR="00F95A41">
        <w:rPr>
          <w:rFonts w:ascii="Times New Roman" w:hAnsi="Times New Roman" w:cs="Times New Roman"/>
          <w:sz w:val="24"/>
          <w:szCs w:val="24"/>
        </w:rPr>
        <w:t xml:space="preserve">will probably want to check </w:t>
      </w:r>
      <w:r w:rsidR="00303066">
        <w:rPr>
          <w:rFonts w:ascii="Times New Roman" w:hAnsi="Times New Roman" w:cs="Times New Roman"/>
          <w:sz w:val="24"/>
          <w:szCs w:val="24"/>
        </w:rPr>
        <w:t xml:space="preserve">a </w:t>
      </w:r>
      <w:r w:rsidR="00F95A41">
        <w:rPr>
          <w:rFonts w:ascii="Times New Roman" w:hAnsi="Times New Roman" w:cs="Times New Roman"/>
          <w:sz w:val="24"/>
          <w:szCs w:val="24"/>
        </w:rPr>
        <w:t>researcher’</w:t>
      </w:r>
      <w:r w:rsidR="00303066">
        <w:rPr>
          <w:rFonts w:ascii="Times New Roman" w:hAnsi="Times New Roman" w:cs="Times New Roman"/>
          <w:sz w:val="24"/>
          <w:szCs w:val="24"/>
        </w:rPr>
        <w:t>s experience</w:t>
      </w:r>
      <w:r w:rsidR="00F95A41">
        <w:rPr>
          <w:rFonts w:ascii="Times New Roman" w:hAnsi="Times New Roman" w:cs="Times New Roman"/>
          <w:sz w:val="24"/>
          <w:szCs w:val="24"/>
        </w:rPr>
        <w:t xml:space="preserve"> and understanding of</w:t>
      </w:r>
      <w:r w:rsidR="0003188D">
        <w:rPr>
          <w:rFonts w:ascii="Times New Roman" w:hAnsi="Times New Roman" w:cs="Times New Roman"/>
          <w:sz w:val="24"/>
          <w:szCs w:val="24"/>
        </w:rPr>
        <w:t xml:space="preserve"> </w:t>
      </w:r>
      <w:r w:rsidR="00F95A41">
        <w:rPr>
          <w:rFonts w:ascii="Times New Roman" w:hAnsi="Times New Roman" w:cs="Times New Roman"/>
          <w:sz w:val="24"/>
          <w:szCs w:val="24"/>
        </w:rPr>
        <w:t>assessing</w:t>
      </w:r>
      <w:r w:rsidR="0003188D">
        <w:rPr>
          <w:rFonts w:ascii="Times New Roman" w:hAnsi="Times New Roman" w:cs="Times New Roman"/>
          <w:sz w:val="24"/>
          <w:szCs w:val="24"/>
        </w:rPr>
        <w:t xml:space="preserve"> such things as </w:t>
      </w:r>
      <w:r w:rsidR="0088427F">
        <w:rPr>
          <w:rFonts w:ascii="Times New Roman" w:hAnsi="Times New Roman" w:cs="Times New Roman"/>
          <w:sz w:val="24"/>
          <w:szCs w:val="24"/>
        </w:rPr>
        <w:t xml:space="preserve">capacity, but it is unlikely to be able to </w:t>
      </w:r>
      <w:r w:rsidR="00F95A41">
        <w:rPr>
          <w:rFonts w:ascii="Times New Roman" w:hAnsi="Times New Roman" w:cs="Times New Roman"/>
          <w:sz w:val="24"/>
          <w:szCs w:val="24"/>
        </w:rPr>
        <w:t xml:space="preserve">assess </w:t>
      </w:r>
      <w:r w:rsidR="00303066">
        <w:rPr>
          <w:rFonts w:ascii="Times New Roman" w:hAnsi="Times New Roman" w:cs="Times New Roman"/>
          <w:sz w:val="24"/>
          <w:szCs w:val="24"/>
        </w:rPr>
        <w:t xml:space="preserve">individually </w:t>
      </w:r>
      <w:r w:rsidR="00F95A41">
        <w:rPr>
          <w:rFonts w:ascii="Times New Roman" w:hAnsi="Times New Roman" w:cs="Times New Roman"/>
          <w:sz w:val="24"/>
          <w:szCs w:val="24"/>
        </w:rPr>
        <w:t>the capacity of each</w:t>
      </w:r>
      <w:r w:rsidR="00303066">
        <w:rPr>
          <w:rFonts w:ascii="Times New Roman" w:hAnsi="Times New Roman" w:cs="Times New Roman"/>
          <w:sz w:val="24"/>
          <w:szCs w:val="24"/>
        </w:rPr>
        <w:t xml:space="preserve"> </w:t>
      </w:r>
      <w:r w:rsidR="00F95A41">
        <w:rPr>
          <w:rFonts w:ascii="Times New Roman" w:hAnsi="Times New Roman" w:cs="Times New Roman"/>
          <w:sz w:val="24"/>
          <w:szCs w:val="24"/>
        </w:rPr>
        <w:t>participant for</w:t>
      </w:r>
      <w:r w:rsidR="00303066">
        <w:rPr>
          <w:rFonts w:ascii="Times New Roman" w:hAnsi="Times New Roman" w:cs="Times New Roman"/>
          <w:sz w:val="24"/>
          <w:szCs w:val="24"/>
        </w:rPr>
        <w:t xml:space="preserve"> itself</w:t>
      </w:r>
      <w:r w:rsidR="00F95A41">
        <w:rPr>
          <w:rFonts w:ascii="Times New Roman" w:hAnsi="Times New Roman" w:cs="Times New Roman"/>
          <w:sz w:val="24"/>
          <w:szCs w:val="24"/>
        </w:rPr>
        <w:t xml:space="preserve">.  </w:t>
      </w:r>
      <w:r w:rsidR="00303066">
        <w:rPr>
          <w:rFonts w:ascii="Times New Roman" w:hAnsi="Times New Roman" w:cs="Times New Roman"/>
          <w:sz w:val="24"/>
          <w:szCs w:val="24"/>
        </w:rPr>
        <w:t xml:space="preserve">This means that </w:t>
      </w:r>
      <w:r w:rsidR="0003188D">
        <w:rPr>
          <w:rFonts w:ascii="Times New Roman" w:hAnsi="Times New Roman" w:cs="Times New Roman"/>
          <w:sz w:val="24"/>
          <w:szCs w:val="24"/>
        </w:rPr>
        <w:t xml:space="preserve">a MCA REC has to put significant </w:t>
      </w:r>
      <w:r w:rsidR="00303066">
        <w:rPr>
          <w:rFonts w:ascii="Times New Roman" w:hAnsi="Times New Roman" w:cs="Times New Roman"/>
          <w:sz w:val="24"/>
          <w:szCs w:val="24"/>
        </w:rPr>
        <w:t xml:space="preserve">faith in </w:t>
      </w:r>
      <w:r w:rsidR="0003188D">
        <w:rPr>
          <w:rFonts w:ascii="Times New Roman" w:hAnsi="Times New Roman" w:cs="Times New Roman"/>
          <w:sz w:val="24"/>
          <w:szCs w:val="24"/>
        </w:rPr>
        <w:t xml:space="preserve">a </w:t>
      </w:r>
      <w:r w:rsidR="00303066">
        <w:rPr>
          <w:rFonts w:ascii="Times New Roman" w:hAnsi="Times New Roman" w:cs="Times New Roman"/>
          <w:sz w:val="24"/>
          <w:szCs w:val="24"/>
        </w:rPr>
        <w:t>researcher’s ability, and we have already demonstrated that some will experience</w:t>
      </w:r>
      <w:r w:rsidR="0003188D">
        <w:rPr>
          <w:rFonts w:ascii="Times New Roman" w:hAnsi="Times New Roman" w:cs="Times New Roman"/>
          <w:sz w:val="24"/>
          <w:szCs w:val="24"/>
        </w:rPr>
        <w:t xml:space="preserve"> </w:t>
      </w:r>
      <w:r w:rsidR="00303066">
        <w:rPr>
          <w:rFonts w:ascii="Times New Roman" w:hAnsi="Times New Roman" w:cs="Times New Roman"/>
          <w:sz w:val="24"/>
          <w:szCs w:val="24"/>
        </w:rPr>
        <w:t>difficulty in dealing with</w:t>
      </w:r>
      <w:r w:rsidR="00006481">
        <w:rPr>
          <w:rFonts w:ascii="Times New Roman" w:hAnsi="Times New Roman" w:cs="Times New Roman"/>
          <w:sz w:val="24"/>
          <w:szCs w:val="24"/>
        </w:rPr>
        <w:t xml:space="preserve"> complex issues such as </w:t>
      </w:r>
      <w:r w:rsidR="00303066">
        <w:rPr>
          <w:rFonts w:ascii="Times New Roman" w:hAnsi="Times New Roman" w:cs="Times New Roman"/>
          <w:sz w:val="24"/>
          <w:szCs w:val="24"/>
        </w:rPr>
        <w:t xml:space="preserve">capacity, not through any fault of their own, but because it </w:t>
      </w:r>
      <w:r w:rsidR="00006481">
        <w:rPr>
          <w:rFonts w:ascii="Times New Roman" w:hAnsi="Times New Roman" w:cs="Times New Roman"/>
          <w:sz w:val="24"/>
          <w:szCs w:val="24"/>
        </w:rPr>
        <w:t xml:space="preserve">is </w:t>
      </w:r>
      <w:r w:rsidR="00303066">
        <w:rPr>
          <w:rFonts w:ascii="Times New Roman" w:hAnsi="Times New Roman" w:cs="Times New Roman"/>
          <w:sz w:val="24"/>
          <w:szCs w:val="24"/>
        </w:rPr>
        <w:t>a</w:t>
      </w:r>
      <w:r w:rsidR="0088427F">
        <w:rPr>
          <w:rFonts w:ascii="Times New Roman" w:hAnsi="Times New Roman" w:cs="Times New Roman"/>
          <w:sz w:val="24"/>
          <w:szCs w:val="24"/>
        </w:rPr>
        <w:t xml:space="preserve"> nebulous and </w:t>
      </w:r>
      <w:r w:rsidR="00303066">
        <w:rPr>
          <w:rFonts w:ascii="Times New Roman" w:hAnsi="Times New Roman" w:cs="Times New Roman"/>
          <w:sz w:val="24"/>
          <w:szCs w:val="24"/>
        </w:rPr>
        <w:t>participant-specific</w:t>
      </w:r>
      <w:r w:rsidR="0088427F">
        <w:rPr>
          <w:rFonts w:ascii="Times New Roman" w:hAnsi="Times New Roman" w:cs="Times New Roman"/>
          <w:sz w:val="24"/>
          <w:szCs w:val="24"/>
        </w:rPr>
        <w:t xml:space="preserve"> concept</w:t>
      </w:r>
      <w:r w:rsidR="00303066">
        <w:rPr>
          <w:rFonts w:ascii="Times New Roman" w:hAnsi="Times New Roman" w:cs="Times New Roman"/>
          <w:sz w:val="24"/>
          <w:szCs w:val="24"/>
        </w:rPr>
        <w:t>.</w:t>
      </w:r>
      <w:r w:rsidR="0088427F">
        <w:rPr>
          <w:rStyle w:val="FootnoteReference"/>
          <w:rFonts w:ascii="Times New Roman" w:hAnsi="Times New Roman" w:cs="Times New Roman"/>
          <w:sz w:val="24"/>
          <w:szCs w:val="24"/>
        </w:rPr>
        <w:footnoteReference w:id="140"/>
      </w:r>
      <w:r w:rsidR="00857E04">
        <w:rPr>
          <w:rFonts w:ascii="Times New Roman" w:hAnsi="Times New Roman" w:cs="Times New Roman"/>
          <w:sz w:val="24"/>
          <w:szCs w:val="24"/>
        </w:rPr>
        <w:t xml:space="preserve">  The disadvantage </w:t>
      </w:r>
      <w:r w:rsidR="00303066">
        <w:rPr>
          <w:rFonts w:ascii="Times New Roman" w:hAnsi="Times New Roman" w:cs="Times New Roman"/>
          <w:sz w:val="24"/>
          <w:szCs w:val="24"/>
        </w:rPr>
        <w:t xml:space="preserve">of forward-looking </w:t>
      </w:r>
      <w:r>
        <w:rPr>
          <w:rFonts w:ascii="Times New Roman" w:hAnsi="Times New Roman" w:cs="Times New Roman"/>
          <w:sz w:val="24"/>
          <w:szCs w:val="24"/>
        </w:rPr>
        <w:t>scrutiny</w:t>
      </w:r>
      <w:r w:rsidR="0003188D">
        <w:rPr>
          <w:rFonts w:ascii="Times New Roman" w:hAnsi="Times New Roman" w:cs="Times New Roman"/>
          <w:sz w:val="24"/>
          <w:szCs w:val="24"/>
        </w:rPr>
        <w:t xml:space="preserve"> is not exclusive to </w:t>
      </w:r>
      <w:r w:rsidR="00303066">
        <w:rPr>
          <w:rFonts w:ascii="Times New Roman" w:hAnsi="Times New Roman" w:cs="Times New Roman"/>
          <w:sz w:val="24"/>
          <w:szCs w:val="24"/>
        </w:rPr>
        <w:t xml:space="preserve">capacity, but also </w:t>
      </w:r>
      <w:r>
        <w:rPr>
          <w:rFonts w:ascii="Times New Roman" w:hAnsi="Times New Roman" w:cs="Times New Roman"/>
          <w:sz w:val="24"/>
          <w:szCs w:val="24"/>
        </w:rPr>
        <w:t xml:space="preserve">plagues </w:t>
      </w:r>
      <w:r w:rsidR="00303066">
        <w:rPr>
          <w:rFonts w:ascii="Times New Roman" w:hAnsi="Times New Roman" w:cs="Times New Roman"/>
          <w:sz w:val="24"/>
          <w:szCs w:val="24"/>
        </w:rPr>
        <w:t>the further c</w:t>
      </w:r>
      <w:r w:rsidR="00857E04">
        <w:rPr>
          <w:rFonts w:ascii="Times New Roman" w:hAnsi="Times New Roman" w:cs="Times New Roman"/>
          <w:sz w:val="24"/>
          <w:szCs w:val="24"/>
        </w:rPr>
        <w:t>onditions for approval.  W</w:t>
      </w:r>
      <w:r w:rsidR="0003188D">
        <w:rPr>
          <w:rFonts w:ascii="Times New Roman" w:hAnsi="Times New Roman" w:cs="Times New Roman"/>
          <w:sz w:val="24"/>
          <w:szCs w:val="24"/>
        </w:rPr>
        <w:t xml:space="preserve">e have illuminated that </w:t>
      </w:r>
      <w:r w:rsidR="00303066">
        <w:rPr>
          <w:rFonts w:ascii="Times New Roman" w:hAnsi="Times New Roman" w:cs="Times New Roman"/>
          <w:sz w:val="24"/>
          <w:szCs w:val="24"/>
        </w:rPr>
        <w:t xml:space="preserve">many of the </w:t>
      </w:r>
      <w:r>
        <w:rPr>
          <w:rFonts w:ascii="Times New Roman" w:hAnsi="Times New Roman" w:cs="Times New Roman"/>
          <w:sz w:val="24"/>
          <w:szCs w:val="24"/>
        </w:rPr>
        <w:t>factors</w:t>
      </w:r>
      <w:r w:rsidR="00303066">
        <w:rPr>
          <w:rFonts w:ascii="Times New Roman" w:hAnsi="Times New Roman" w:cs="Times New Roman"/>
          <w:sz w:val="24"/>
          <w:szCs w:val="24"/>
        </w:rPr>
        <w:t xml:space="preserve"> that fall to be</w:t>
      </w:r>
      <w:r w:rsidR="00006481">
        <w:rPr>
          <w:rFonts w:ascii="Times New Roman" w:hAnsi="Times New Roman" w:cs="Times New Roman"/>
          <w:sz w:val="24"/>
          <w:szCs w:val="24"/>
        </w:rPr>
        <w:t xml:space="preserve"> examined under those provisions</w:t>
      </w:r>
      <w:r w:rsidR="008A36ED">
        <w:rPr>
          <w:rFonts w:ascii="Times New Roman" w:hAnsi="Times New Roman" w:cs="Times New Roman"/>
          <w:sz w:val="24"/>
          <w:szCs w:val="24"/>
        </w:rPr>
        <w:t xml:space="preserve"> should be recognised as </w:t>
      </w:r>
      <w:r>
        <w:rPr>
          <w:rFonts w:ascii="Times New Roman" w:hAnsi="Times New Roman" w:cs="Times New Roman"/>
          <w:sz w:val="24"/>
          <w:szCs w:val="24"/>
        </w:rPr>
        <w:t xml:space="preserve">inherently </w:t>
      </w:r>
      <w:r w:rsidR="00303066">
        <w:rPr>
          <w:rFonts w:ascii="Times New Roman" w:hAnsi="Times New Roman" w:cs="Times New Roman"/>
          <w:sz w:val="24"/>
          <w:szCs w:val="24"/>
        </w:rPr>
        <w:t>subjec</w:t>
      </w:r>
      <w:r w:rsidR="0003188D">
        <w:rPr>
          <w:rFonts w:ascii="Times New Roman" w:hAnsi="Times New Roman" w:cs="Times New Roman"/>
          <w:sz w:val="24"/>
          <w:szCs w:val="24"/>
        </w:rPr>
        <w:t xml:space="preserve">tive questions.  </w:t>
      </w:r>
      <w:r w:rsidR="009515E9">
        <w:rPr>
          <w:rFonts w:ascii="Times New Roman" w:hAnsi="Times New Roman" w:cs="Times New Roman"/>
          <w:sz w:val="24"/>
          <w:szCs w:val="24"/>
        </w:rPr>
        <w:t>The potential e</w:t>
      </w:r>
      <w:r>
        <w:rPr>
          <w:rFonts w:ascii="Times New Roman" w:hAnsi="Times New Roman" w:cs="Times New Roman"/>
          <w:sz w:val="24"/>
          <w:szCs w:val="24"/>
        </w:rPr>
        <w:t xml:space="preserve">ffect that a project may have on an incapacitated participant </w:t>
      </w:r>
      <w:r w:rsidR="00006481">
        <w:rPr>
          <w:rFonts w:ascii="Times New Roman" w:hAnsi="Times New Roman" w:cs="Times New Roman"/>
          <w:sz w:val="24"/>
          <w:szCs w:val="24"/>
        </w:rPr>
        <w:t xml:space="preserve">must, therefore, </w:t>
      </w:r>
      <w:r>
        <w:rPr>
          <w:rFonts w:ascii="Times New Roman" w:hAnsi="Times New Roman" w:cs="Times New Roman"/>
          <w:sz w:val="24"/>
          <w:szCs w:val="24"/>
        </w:rPr>
        <w:t xml:space="preserve">be considered from the </w:t>
      </w:r>
      <w:r w:rsidR="0003188D">
        <w:rPr>
          <w:rFonts w:ascii="Times New Roman" w:hAnsi="Times New Roman" w:cs="Times New Roman"/>
          <w:sz w:val="24"/>
          <w:szCs w:val="24"/>
        </w:rPr>
        <w:t xml:space="preserve">angle </w:t>
      </w:r>
      <w:r w:rsidR="00006481">
        <w:rPr>
          <w:rFonts w:ascii="Times New Roman" w:hAnsi="Times New Roman" w:cs="Times New Roman"/>
          <w:sz w:val="24"/>
          <w:szCs w:val="24"/>
        </w:rPr>
        <w:t xml:space="preserve">of that individual. Nonetheless, the precise </w:t>
      </w:r>
      <w:r>
        <w:rPr>
          <w:rFonts w:ascii="Times New Roman" w:hAnsi="Times New Roman" w:cs="Times New Roman"/>
          <w:sz w:val="24"/>
          <w:szCs w:val="24"/>
        </w:rPr>
        <w:t>individ</w:t>
      </w:r>
      <w:r w:rsidR="00006481">
        <w:rPr>
          <w:rFonts w:ascii="Times New Roman" w:hAnsi="Times New Roman" w:cs="Times New Roman"/>
          <w:sz w:val="24"/>
          <w:szCs w:val="24"/>
        </w:rPr>
        <w:t xml:space="preserve">ual </w:t>
      </w:r>
      <w:r w:rsidR="00006481">
        <w:rPr>
          <w:rFonts w:ascii="Times New Roman" w:hAnsi="Times New Roman" w:cs="Times New Roman"/>
          <w:sz w:val="24"/>
          <w:szCs w:val="24"/>
        </w:rPr>
        <w:lastRenderedPageBreak/>
        <w:t xml:space="preserve">is often unidentified </w:t>
      </w:r>
      <w:r>
        <w:rPr>
          <w:rFonts w:ascii="Times New Roman" w:hAnsi="Times New Roman" w:cs="Times New Roman"/>
          <w:sz w:val="24"/>
          <w:szCs w:val="24"/>
        </w:rPr>
        <w:t>at the approval stage</w:t>
      </w:r>
      <w:r w:rsidR="00006481">
        <w:rPr>
          <w:rFonts w:ascii="Times New Roman" w:hAnsi="Times New Roman" w:cs="Times New Roman"/>
          <w:sz w:val="24"/>
          <w:szCs w:val="24"/>
        </w:rPr>
        <w:t xml:space="preserve"> and it follows that a </w:t>
      </w:r>
      <w:r>
        <w:rPr>
          <w:rFonts w:ascii="Times New Roman" w:hAnsi="Times New Roman" w:cs="Times New Roman"/>
          <w:sz w:val="24"/>
          <w:szCs w:val="24"/>
        </w:rPr>
        <w:t>MCA REC is precluded from engaging in any rigorous subjective scrutiny.</w:t>
      </w:r>
      <w:r w:rsidR="00857E04">
        <w:rPr>
          <w:rStyle w:val="FootnoteReference"/>
          <w:rFonts w:ascii="Times New Roman" w:hAnsi="Times New Roman" w:cs="Times New Roman"/>
          <w:sz w:val="24"/>
          <w:szCs w:val="24"/>
        </w:rPr>
        <w:footnoteReference w:id="141"/>
      </w:r>
      <w:r w:rsidR="0003188D">
        <w:rPr>
          <w:rFonts w:ascii="Times New Roman" w:hAnsi="Times New Roman" w:cs="Times New Roman"/>
          <w:sz w:val="24"/>
          <w:szCs w:val="24"/>
        </w:rPr>
        <w:t xml:space="preserve">  Based on this, the dichotomy of responsibility between a researcher and a MCA REC becomes even more pronounced.</w:t>
      </w:r>
    </w:p>
    <w:p w14:paraId="53CB344F" w14:textId="773D0373" w:rsidR="0012464E" w:rsidRDefault="0012464E" w:rsidP="00B362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legislation </w:t>
      </w:r>
      <w:r w:rsidR="0088427F">
        <w:rPr>
          <w:rFonts w:ascii="Times New Roman" w:hAnsi="Times New Roman" w:cs="Times New Roman"/>
          <w:sz w:val="24"/>
          <w:szCs w:val="24"/>
        </w:rPr>
        <w:t xml:space="preserve">dictates </w:t>
      </w:r>
      <w:r>
        <w:rPr>
          <w:rFonts w:ascii="Times New Roman" w:hAnsi="Times New Roman" w:cs="Times New Roman"/>
          <w:sz w:val="24"/>
          <w:szCs w:val="24"/>
        </w:rPr>
        <w:t>that the ultimate responsibility for ascert</w:t>
      </w:r>
      <w:r w:rsidR="00422BB3">
        <w:rPr>
          <w:rFonts w:ascii="Times New Roman" w:hAnsi="Times New Roman" w:cs="Times New Roman"/>
          <w:sz w:val="24"/>
          <w:szCs w:val="24"/>
        </w:rPr>
        <w:t xml:space="preserve">aining whether the requirements under section 31 have been met </w:t>
      </w:r>
      <w:r>
        <w:rPr>
          <w:rFonts w:ascii="Times New Roman" w:hAnsi="Times New Roman" w:cs="Times New Roman"/>
          <w:sz w:val="24"/>
          <w:szCs w:val="24"/>
        </w:rPr>
        <w:t xml:space="preserve">rests with </w:t>
      </w:r>
      <w:r w:rsidR="001B0EF8">
        <w:rPr>
          <w:rFonts w:ascii="Times New Roman" w:hAnsi="Times New Roman" w:cs="Times New Roman"/>
          <w:sz w:val="24"/>
          <w:szCs w:val="24"/>
        </w:rPr>
        <w:t xml:space="preserve">a </w:t>
      </w:r>
      <w:r w:rsidR="009E198C">
        <w:rPr>
          <w:rFonts w:ascii="Times New Roman" w:hAnsi="Times New Roman" w:cs="Times New Roman"/>
          <w:sz w:val="24"/>
          <w:szCs w:val="24"/>
        </w:rPr>
        <w:t xml:space="preserve">MCA REC, but prospective researchers would be well advised to carry these requirements in mind when initially designing any project.  </w:t>
      </w:r>
      <w:r w:rsidR="00202DF4">
        <w:rPr>
          <w:rFonts w:ascii="Times New Roman" w:hAnsi="Times New Roman" w:cs="Times New Roman"/>
          <w:sz w:val="24"/>
          <w:szCs w:val="24"/>
        </w:rPr>
        <w:t xml:space="preserve">However, throughout this piece we have demonstrated </w:t>
      </w:r>
      <w:r w:rsidR="001B0EF8">
        <w:rPr>
          <w:rFonts w:ascii="Times New Roman" w:hAnsi="Times New Roman" w:cs="Times New Roman"/>
          <w:sz w:val="24"/>
          <w:szCs w:val="24"/>
        </w:rPr>
        <w:t xml:space="preserve">the </w:t>
      </w:r>
      <w:r w:rsidR="003C0211">
        <w:rPr>
          <w:rFonts w:ascii="Times New Roman" w:hAnsi="Times New Roman" w:cs="Times New Roman"/>
          <w:sz w:val="24"/>
          <w:szCs w:val="24"/>
        </w:rPr>
        <w:t xml:space="preserve">multitude </w:t>
      </w:r>
      <w:r w:rsidR="001B0EF8">
        <w:rPr>
          <w:rFonts w:ascii="Times New Roman" w:hAnsi="Times New Roman" w:cs="Times New Roman"/>
          <w:sz w:val="24"/>
          <w:szCs w:val="24"/>
        </w:rPr>
        <w:t xml:space="preserve">of </w:t>
      </w:r>
      <w:r w:rsidR="00B24F65">
        <w:rPr>
          <w:rFonts w:ascii="Times New Roman" w:hAnsi="Times New Roman" w:cs="Times New Roman"/>
          <w:sz w:val="24"/>
          <w:szCs w:val="24"/>
        </w:rPr>
        <w:t>interpretations</w:t>
      </w:r>
      <w:r w:rsidR="001B0EF8">
        <w:rPr>
          <w:rFonts w:ascii="Times New Roman" w:hAnsi="Times New Roman" w:cs="Times New Roman"/>
          <w:sz w:val="24"/>
          <w:szCs w:val="24"/>
        </w:rPr>
        <w:t xml:space="preserve"> that could, potentially, attach to</w:t>
      </w:r>
      <w:r w:rsidR="00202DF4">
        <w:rPr>
          <w:rFonts w:ascii="Times New Roman" w:hAnsi="Times New Roman" w:cs="Times New Roman"/>
          <w:sz w:val="24"/>
          <w:szCs w:val="24"/>
        </w:rPr>
        <w:t xml:space="preserve"> the approval </w:t>
      </w:r>
      <w:r w:rsidR="00422BB3">
        <w:rPr>
          <w:rFonts w:ascii="Times New Roman" w:hAnsi="Times New Roman" w:cs="Times New Roman"/>
          <w:sz w:val="24"/>
          <w:szCs w:val="24"/>
        </w:rPr>
        <w:t>requirements</w:t>
      </w:r>
      <w:r w:rsidR="00202DF4">
        <w:rPr>
          <w:rFonts w:ascii="Times New Roman" w:hAnsi="Times New Roman" w:cs="Times New Roman"/>
          <w:sz w:val="24"/>
          <w:szCs w:val="24"/>
        </w:rPr>
        <w:t xml:space="preserve"> and </w:t>
      </w:r>
      <w:r w:rsidR="001B0EF8">
        <w:rPr>
          <w:rFonts w:ascii="Times New Roman" w:hAnsi="Times New Roman" w:cs="Times New Roman"/>
          <w:sz w:val="24"/>
          <w:szCs w:val="24"/>
        </w:rPr>
        <w:t xml:space="preserve">there is no </w:t>
      </w:r>
      <w:r w:rsidR="00B24F65">
        <w:rPr>
          <w:rFonts w:ascii="Times New Roman" w:hAnsi="Times New Roman" w:cs="Times New Roman"/>
          <w:sz w:val="24"/>
          <w:szCs w:val="24"/>
        </w:rPr>
        <w:t xml:space="preserve">certainty </w:t>
      </w:r>
      <w:r w:rsidR="001B0EF8">
        <w:rPr>
          <w:rFonts w:ascii="Times New Roman" w:hAnsi="Times New Roman" w:cs="Times New Roman"/>
          <w:sz w:val="24"/>
          <w:szCs w:val="24"/>
        </w:rPr>
        <w:t>that a researcher and a MCA REC will think about these issues in the same way. Some members of a MC</w:t>
      </w:r>
      <w:r w:rsidR="009E198C">
        <w:rPr>
          <w:rFonts w:ascii="Times New Roman" w:hAnsi="Times New Roman" w:cs="Times New Roman"/>
          <w:sz w:val="24"/>
          <w:szCs w:val="24"/>
        </w:rPr>
        <w:t xml:space="preserve">A REC could, for example, treat certain </w:t>
      </w:r>
      <w:r w:rsidR="001B0EF8">
        <w:rPr>
          <w:rFonts w:ascii="Times New Roman" w:hAnsi="Times New Roman" w:cs="Times New Roman"/>
          <w:sz w:val="24"/>
          <w:szCs w:val="24"/>
        </w:rPr>
        <w:t xml:space="preserve">research requirements as being analogous to a best </w:t>
      </w:r>
      <w:proofErr w:type="gramStart"/>
      <w:r w:rsidR="001B0EF8">
        <w:rPr>
          <w:rFonts w:ascii="Times New Roman" w:hAnsi="Times New Roman" w:cs="Times New Roman"/>
          <w:sz w:val="24"/>
          <w:szCs w:val="24"/>
        </w:rPr>
        <w:t>interests</w:t>
      </w:r>
      <w:proofErr w:type="gramEnd"/>
      <w:r w:rsidR="001B0EF8">
        <w:rPr>
          <w:rFonts w:ascii="Times New Roman" w:hAnsi="Times New Roman" w:cs="Times New Roman"/>
          <w:sz w:val="24"/>
          <w:szCs w:val="24"/>
        </w:rPr>
        <w:t xml:space="preserve"> standard</w:t>
      </w:r>
      <w:r w:rsidR="00422BB3">
        <w:rPr>
          <w:rFonts w:ascii="Times New Roman" w:hAnsi="Times New Roman" w:cs="Times New Roman"/>
          <w:sz w:val="24"/>
          <w:szCs w:val="24"/>
        </w:rPr>
        <w:t xml:space="preserve"> </w:t>
      </w:r>
      <w:r w:rsidR="0088427F">
        <w:rPr>
          <w:rFonts w:ascii="Times New Roman" w:hAnsi="Times New Roman" w:cs="Times New Roman"/>
          <w:sz w:val="24"/>
          <w:szCs w:val="24"/>
        </w:rPr>
        <w:t>and review them with that</w:t>
      </w:r>
      <w:r w:rsidR="00422BB3">
        <w:rPr>
          <w:rFonts w:ascii="Times New Roman" w:hAnsi="Times New Roman" w:cs="Times New Roman"/>
          <w:sz w:val="24"/>
          <w:szCs w:val="24"/>
        </w:rPr>
        <w:t xml:space="preserve"> in mind</w:t>
      </w:r>
      <w:r w:rsidR="005D4767">
        <w:rPr>
          <w:rFonts w:ascii="Times New Roman" w:hAnsi="Times New Roman" w:cs="Times New Roman"/>
          <w:sz w:val="24"/>
          <w:szCs w:val="24"/>
        </w:rPr>
        <w:t>. A researcher, on the other hand, could view them</w:t>
      </w:r>
      <w:r w:rsidR="0088427F">
        <w:rPr>
          <w:rFonts w:ascii="Times New Roman" w:hAnsi="Times New Roman" w:cs="Times New Roman"/>
          <w:sz w:val="24"/>
          <w:szCs w:val="24"/>
        </w:rPr>
        <w:t xml:space="preserve"> in an alternative way</w:t>
      </w:r>
      <w:r w:rsidR="009515E9">
        <w:rPr>
          <w:rFonts w:ascii="Times New Roman" w:hAnsi="Times New Roman" w:cs="Times New Roman"/>
          <w:sz w:val="24"/>
          <w:szCs w:val="24"/>
        </w:rPr>
        <w:t xml:space="preserve">, with more exclusive focus on mitigating risk rather than seeking to highlight any benefits. </w:t>
      </w:r>
      <w:r w:rsidR="00422BB3">
        <w:rPr>
          <w:rFonts w:ascii="Times New Roman" w:hAnsi="Times New Roman" w:cs="Times New Roman"/>
          <w:sz w:val="24"/>
          <w:szCs w:val="24"/>
        </w:rPr>
        <w:t>The potentia</w:t>
      </w:r>
      <w:r w:rsidR="0088427F">
        <w:rPr>
          <w:rFonts w:ascii="Times New Roman" w:hAnsi="Times New Roman" w:cs="Times New Roman"/>
          <w:sz w:val="24"/>
          <w:szCs w:val="24"/>
        </w:rPr>
        <w:t xml:space="preserve">l for inconsistency between the various </w:t>
      </w:r>
      <w:r w:rsidR="00422BB3">
        <w:rPr>
          <w:rFonts w:ascii="Times New Roman" w:hAnsi="Times New Roman" w:cs="Times New Roman"/>
          <w:sz w:val="24"/>
          <w:szCs w:val="24"/>
        </w:rPr>
        <w:t>levels of decision-maker is thereby exacerbated.</w:t>
      </w:r>
      <w:r w:rsidR="005D4767">
        <w:rPr>
          <w:rFonts w:ascii="Times New Roman" w:hAnsi="Times New Roman" w:cs="Times New Roman"/>
          <w:sz w:val="24"/>
          <w:szCs w:val="24"/>
        </w:rPr>
        <w:t xml:space="preserve">  </w:t>
      </w:r>
      <w:r w:rsidR="00B24F65">
        <w:rPr>
          <w:rFonts w:ascii="Times New Roman" w:hAnsi="Times New Roman" w:cs="Times New Roman"/>
          <w:sz w:val="24"/>
          <w:szCs w:val="24"/>
        </w:rPr>
        <w:t>Similarl</w:t>
      </w:r>
      <w:r w:rsidR="009E198C">
        <w:rPr>
          <w:rFonts w:ascii="Times New Roman" w:hAnsi="Times New Roman" w:cs="Times New Roman"/>
          <w:sz w:val="24"/>
          <w:szCs w:val="24"/>
        </w:rPr>
        <w:t xml:space="preserve">y, </w:t>
      </w:r>
      <w:r w:rsidR="003C0211">
        <w:rPr>
          <w:rFonts w:ascii="Times New Roman" w:hAnsi="Times New Roman" w:cs="Times New Roman"/>
          <w:sz w:val="24"/>
          <w:szCs w:val="24"/>
        </w:rPr>
        <w:t xml:space="preserve">certain </w:t>
      </w:r>
      <w:r w:rsidR="00955CAA">
        <w:rPr>
          <w:rFonts w:ascii="Times New Roman" w:hAnsi="Times New Roman" w:cs="Times New Roman"/>
          <w:sz w:val="24"/>
          <w:szCs w:val="24"/>
        </w:rPr>
        <w:t xml:space="preserve">MCA RECs may adopt a </w:t>
      </w:r>
      <w:r w:rsidR="00D04054">
        <w:rPr>
          <w:rFonts w:ascii="Times New Roman" w:hAnsi="Times New Roman" w:cs="Times New Roman"/>
          <w:sz w:val="24"/>
          <w:szCs w:val="24"/>
        </w:rPr>
        <w:t xml:space="preserve">lenient </w:t>
      </w:r>
      <w:r w:rsidR="00B24F65">
        <w:rPr>
          <w:rFonts w:ascii="Times New Roman" w:hAnsi="Times New Roman" w:cs="Times New Roman"/>
          <w:sz w:val="24"/>
          <w:szCs w:val="24"/>
        </w:rPr>
        <w:t xml:space="preserve">approach to </w:t>
      </w:r>
      <w:r w:rsidR="00D04054">
        <w:rPr>
          <w:rFonts w:ascii="Times New Roman" w:hAnsi="Times New Roman" w:cs="Times New Roman"/>
          <w:sz w:val="24"/>
          <w:szCs w:val="24"/>
        </w:rPr>
        <w:t xml:space="preserve">assessing the </w:t>
      </w:r>
      <w:r w:rsidR="00B24F65">
        <w:rPr>
          <w:rFonts w:ascii="Times New Roman" w:hAnsi="Times New Roman" w:cs="Times New Roman"/>
          <w:sz w:val="24"/>
          <w:szCs w:val="24"/>
        </w:rPr>
        <w:t>criteria</w:t>
      </w:r>
      <w:r w:rsidR="00D04054">
        <w:rPr>
          <w:rFonts w:ascii="Times New Roman" w:hAnsi="Times New Roman" w:cs="Times New Roman"/>
          <w:sz w:val="24"/>
          <w:szCs w:val="24"/>
        </w:rPr>
        <w:t xml:space="preserve"> for approval, whereas others </w:t>
      </w:r>
      <w:r w:rsidR="00B24F65">
        <w:rPr>
          <w:rFonts w:ascii="Times New Roman" w:hAnsi="Times New Roman" w:cs="Times New Roman"/>
          <w:sz w:val="24"/>
          <w:szCs w:val="24"/>
        </w:rPr>
        <w:t xml:space="preserve">may </w:t>
      </w:r>
      <w:r w:rsidR="00955CAA">
        <w:rPr>
          <w:rFonts w:ascii="Times New Roman" w:hAnsi="Times New Roman" w:cs="Times New Roman"/>
          <w:sz w:val="24"/>
          <w:szCs w:val="24"/>
        </w:rPr>
        <w:t xml:space="preserve">embrace </w:t>
      </w:r>
      <w:r w:rsidR="00B24F65">
        <w:rPr>
          <w:rFonts w:ascii="Times New Roman" w:hAnsi="Times New Roman" w:cs="Times New Roman"/>
          <w:sz w:val="24"/>
          <w:szCs w:val="24"/>
        </w:rPr>
        <w:t>a more hard-line</w:t>
      </w:r>
      <w:r w:rsidR="00D04054">
        <w:rPr>
          <w:rFonts w:ascii="Times New Roman" w:hAnsi="Times New Roman" w:cs="Times New Roman"/>
          <w:sz w:val="24"/>
          <w:szCs w:val="24"/>
        </w:rPr>
        <w:t xml:space="preserve"> stance</w:t>
      </w:r>
      <w:r w:rsidR="005D4767">
        <w:rPr>
          <w:rFonts w:ascii="Times New Roman" w:hAnsi="Times New Roman" w:cs="Times New Roman"/>
          <w:sz w:val="24"/>
          <w:szCs w:val="24"/>
        </w:rPr>
        <w:t>.  T</w:t>
      </w:r>
      <w:r w:rsidR="00D04054">
        <w:rPr>
          <w:rFonts w:ascii="Times New Roman" w:hAnsi="Times New Roman" w:cs="Times New Roman"/>
          <w:sz w:val="24"/>
          <w:szCs w:val="24"/>
        </w:rPr>
        <w:t>his may tempt a researcher to id</w:t>
      </w:r>
      <w:r w:rsidR="00955CAA">
        <w:rPr>
          <w:rFonts w:ascii="Times New Roman" w:hAnsi="Times New Roman" w:cs="Times New Roman"/>
          <w:sz w:val="24"/>
          <w:szCs w:val="24"/>
        </w:rPr>
        <w:t xml:space="preserve">entify what are perceived to be </w:t>
      </w:r>
      <w:r w:rsidR="00D04054">
        <w:rPr>
          <w:rFonts w:ascii="Times New Roman" w:hAnsi="Times New Roman" w:cs="Times New Roman"/>
          <w:sz w:val="24"/>
          <w:szCs w:val="24"/>
        </w:rPr>
        <w:t>more sympathetic MCA RECs when deciding where to send a</w:t>
      </w:r>
      <w:r w:rsidR="003C0211">
        <w:rPr>
          <w:rFonts w:ascii="Times New Roman" w:hAnsi="Times New Roman" w:cs="Times New Roman"/>
          <w:sz w:val="24"/>
          <w:szCs w:val="24"/>
        </w:rPr>
        <w:t xml:space="preserve"> project for approval, but if such cherry-picking becomes </w:t>
      </w:r>
      <w:r w:rsidR="00955CAA">
        <w:rPr>
          <w:rFonts w:ascii="Times New Roman" w:hAnsi="Times New Roman" w:cs="Times New Roman"/>
          <w:sz w:val="24"/>
          <w:szCs w:val="24"/>
        </w:rPr>
        <w:t xml:space="preserve">commonplace </w:t>
      </w:r>
      <w:r w:rsidR="009E198C">
        <w:rPr>
          <w:rFonts w:ascii="Times New Roman" w:hAnsi="Times New Roman" w:cs="Times New Roman"/>
          <w:sz w:val="24"/>
          <w:szCs w:val="24"/>
        </w:rPr>
        <w:t xml:space="preserve">it would be unfortunate, as it could undermine </w:t>
      </w:r>
      <w:r w:rsidR="00D04054">
        <w:rPr>
          <w:rFonts w:ascii="Times New Roman" w:hAnsi="Times New Roman" w:cs="Times New Roman"/>
          <w:sz w:val="24"/>
          <w:szCs w:val="24"/>
        </w:rPr>
        <w:t>the very need to gain ethical approval in the first place.</w:t>
      </w:r>
    </w:p>
    <w:p w14:paraId="35A2A240" w14:textId="0C715D0F" w:rsidR="00B15EC2" w:rsidRDefault="0012464E" w:rsidP="00F24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4054">
        <w:rPr>
          <w:rFonts w:ascii="Times New Roman" w:hAnsi="Times New Roman" w:cs="Times New Roman"/>
          <w:sz w:val="24"/>
          <w:szCs w:val="24"/>
        </w:rPr>
        <w:t xml:space="preserve">Very little is </w:t>
      </w:r>
      <w:r w:rsidR="00B15EC2">
        <w:rPr>
          <w:rFonts w:ascii="Times New Roman" w:hAnsi="Times New Roman" w:cs="Times New Roman"/>
          <w:sz w:val="24"/>
          <w:szCs w:val="24"/>
        </w:rPr>
        <w:t>actually know</w:t>
      </w:r>
      <w:r w:rsidR="009515E9">
        <w:rPr>
          <w:rFonts w:ascii="Times New Roman" w:hAnsi="Times New Roman" w:cs="Times New Roman"/>
          <w:sz w:val="24"/>
          <w:szCs w:val="24"/>
        </w:rPr>
        <w:t>n</w:t>
      </w:r>
      <w:r w:rsidR="00B15EC2">
        <w:rPr>
          <w:rFonts w:ascii="Times New Roman" w:hAnsi="Times New Roman" w:cs="Times New Roman"/>
          <w:sz w:val="24"/>
          <w:szCs w:val="24"/>
        </w:rPr>
        <w:t xml:space="preserve"> about how MCA REC</w:t>
      </w:r>
      <w:r w:rsidR="00955CAA">
        <w:rPr>
          <w:rFonts w:ascii="Times New Roman" w:hAnsi="Times New Roman" w:cs="Times New Roman"/>
          <w:sz w:val="24"/>
          <w:szCs w:val="24"/>
        </w:rPr>
        <w:t>s</w:t>
      </w:r>
      <w:r w:rsidR="00D04054">
        <w:rPr>
          <w:rFonts w:ascii="Times New Roman" w:hAnsi="Times New Roman" w:cs="Times New Roman"/>
          <w:sz w:val="24"/>
          <w:szCs w:val="24"/>
        </w:rPr>
        <w:t xml:space="preserve"> operate, both in terms of the volume and type </w:t>
      </w:r>
      <w:r w:rsidR="00B15EC2">
        <w:rPr>
          <w:rFonts w:ascii="Times New Roman" w:hAnsi="Times New Roman" w:cs="Times New Roman"/>
          <w:sz w:val="24"/>
          <w:szCs w:val="24"/>
        </w:rPr>
        <w:t>of research that they are asked to approve, and of the actual dynamics of their decision-making p</w:t>
      </w:r>
      <w:r w:rsidR="009647A4">
        <w:rPr>
          <w:rFonts w:ascii="Times New Roman" w:hAnsi="Times New Roman" w:cs="Times New Roman"/>
          <w:sz w:val="24"/>
          <w:szCs w:val="24"/>
        </w:rPr>
        <w:t xml:space="preserve">rocesses. In the light of this, </w:t>
      </w:r>
      <w:r w:rsidR="00B15EC2">
        <w:rPr>
          <w:rFonts w:ascii="Times New Roman" w:hAnsi="Times New Roman" w:cs="Times New Roman"/>
          <w:sz w:val="24"/>
          <w:szCs w:val="24"/>
        </w:rPr>
        <w:t xml:space="preserve">McHale’s assertion is </w:t>
      </w:r>
      <w:r w:rsidR="009647A4">
        <w:rPr>
          <w:rFonts w:ascii="Times New Roman" w:hAnsi="Times New Roman" w:cs="Times New Roman"/>
          <w:sz w:val="24"/>
          <w:szCs w:val="24"/>
        </w:rPr>
        <w:t xml:space="preserve">undoubtedly </w:t>
      </w:r>
      <w:r w:rsidR="00B15EC2">
        <w:rPr>
          <w:rFonts w:ascii="Times New Roman" w:hAnsi="Times New Roman" w:cs="Times New Roman"/>
          <w:sz w:val="24"/>
          <w:szCs w:val="24"/>
        </w:rPr>
        <w:t>accurate that this is an area in which further empirical research is required to gain a better understanding of how MCA RECs actually function in practice.</w:t>
      </w:r>
      <w:r w:rsidR="00F326FE">
        <w:rPr>
          <w:rStyle w:val="FootnoteReference"/>
          <w:rFonts w:ascii="Times New Roman" w:hAnsi="Times New Roman" w:cs="Times New Roman"/>
          <w:sz w:val="24"/>
          <w:szCs w:val="24"/>
        </w:rPr>
        <w:footnoteReference w:id="142"/>
      </w:r>
    </w:p>
    <w:p w14:paraId="3B374C23" w14:textId="77777777" w:rsidR="00F24300" w:rsidRDefault="00F24300" w:rsidP="000E35F4">
      <w:pPr>
        <w:spacing w:after="0" w:line="240" w:lineRule="auto"/>
        <w:jc w:val="both"/>
        <w:rPr>
          <w:rFonts w:ascii="Times New Roman" w:hAnsi="Times New Roman" w:cs="Times New Roman"/>
          <w:sz w:val="24"/>
          <w:szCs w:val="24"/>
        </w:rPr>
      </w:pPr>
    </w:p>
    <w:p w14:paraId="5370C137" w14:textId="77777777" w:rsidR="009F0292" w:rsidRPr="00017B69" w:rsidRDefault="004A0BE7" w:rsidP="00017B6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E. </w:t>
      </w:r>
      <w:r w:rsidR="00013B6E">
        <w:rPr>
          <w:rFonts w:ascii="Times New Roman" w:hAnsi="Times New Roman" w:cs="Times New Roman"/>
          <w:b/>
          <w:sz w:val="24"/>
          <w:szCs w:val="24"/>
        </w:rPr>
        <w:t>Conclusions</w:t>
      </w:r>
    </w:p>
    <w:p w14:paraId="27B14767" w14:textId="3D74DDD6" w:rsidR="004B486B" w:rsidRDefault="00EE5982" w:rsidP="00EE59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fact that the MCA sought to address the issue of </w:t>
      </w:r>
      <w:r w:rsidR="008A36ED">
        <w:rPr>
          <w:rFonts w:ascii="Times New Roman" w:hAnsi="Times New Roman" w:cs="Times New Roman"/>
          <w:sz w:val="24"/>
          <w:szCs w:val="24"/>
        </w:rPr>
        <w:t xml:space="preserve">intrusive </w:t>
      </w:r>
      <w:r>
        <w:rPr>
          <w:rFonts w:ascii="Times New Roman" w:hAnsi="Times New Roman" w:cs="Times New Roman"/>
          <w:sz w:val="24"/>
          <w:szCs w:val="24"/>
        </w:rPr>
        <w:t>research involving incapacitated participants is commendable.  Had it overlooked the issue entirely, which was not beyond the realms of possibility, a considerable gap would have cont</w:t>
      </w:r>
      <w:r w:rsidR="00DE1718">
        <w:rPr>
          <w:rFonts w:ascii="Times New Roman" w:hAnsi="Times New Roman" w:cs="Times New Roman"/>
          <w:sz w:val="24"/>
          <w:szCs w:val="24"/>
        </w:rPr>
        <w:t>inued to exist in the law of England and Wales</w:t>
      </w:r>
      <w:r w:rsidR="00EC3630">
        <w:rPr>
          <w:rFonts w:ascii="Times New Roman" w:hAnsi="Times New Roman" w:cs="Times New Roman"/>
          <w:sz w:val="24"/>
          <w:szCs w:val="24"/>
        </w:rPr>
        <w:t>.</w:t>
      </w:r>
      <w:r w:rsidR="00F326FE">
        <w:rPr>
          <w:rStyle w:val="FootnoteReference"/>
          <w:rFonts w:ascii="Times New Roman" w:hAnsi="Times New Roman" w:cs="Times New Roman"/>
          <w:sz w:val="24"/>
          <w:szCs w:val="24"/>
        </w:rPr>
        <w:footnoteReference w:id="143"/>
      </w:r>
      <w:r w:rsidR="00EC3630">
        <w:rPr>
          <w:rFonts w:ascii="Times New Roman" w:hAnsi="Times New Roman" w:cs="Times New Roman"/>
          <w:sz w:val="24"/>
          <w:szCs w:val="24"/>
        </w:rPr>
        <w:t xml:space="preserve">  However, </w:t>
      </w:r>
      <w:r>
        <w:rPr>
          <w:rFonts w:ascii="Times New Roman" w:hAnsi="Times New Roman" w:cs="Times New Roman"/>
          <w:sz w:val="24"/>
          <w:szCs w:val="24"/>
        </w:rPr>
        <w:t xml:space="preserve">some of the problems that we </w:t>
      </w:r>
      <w:r w:rsidR="006C2D2D">
        <w:rPr>
          <w:rFonts w:ascii="Times New Roman" w:hAnsi="Times New Roman" w:cs="Times New Roman"/>
          <w:sz w:val="24"/>
          <w:szCs w:val="24"/>
        </w:rPr>
        <w:t xml:space="preserve">have alluded to </w:t>
      </w:r>
      <w:r w:rsidR="006D56B8">
        <w:rPr>
          <w:rFonts w:ascii="Times New Roman" w:hAnsi="Times New Roman" w:cs="Times New Roman"/>
          <w:sz w:val="24"/>
          <w:szCs w:val="24"/>
        </w:rPr>
        <w:t xml:space="preserve">may have </w:t>
      </w:r>
      <w:r>
        <w:rPr>
          <w:rFonts w:ascii="Times New Roman" w:hAnsi="Times New Roman" w:cs="Times New Roman"/>
          <w:sz w:val="24"/>
          <w:szCs w:val="24"/>
        </w:rPr>
        <w:t>derive</w:t>
      </w:r>
      <w:r w:rsidR="006D56B8">
        <w:rPr>
          <w:rFonts w:ascii="Times New Roman" w:hAnsi="Times New Roman" w:cs="Times New Roman"/>
          <w:sz w:val="24"/>
          <w:szCs w:val="24"/>
        </w:rPr>
        <w:t>d</w:t>
      </w:r>
      <w:r w:rsidR="00EC3630">
        <w:rPr>
          <w:rFonts w:ascii="Times New Roman" w:hAnsi="Times New Roman" w:cs="Times New Roman"/>
          <w:sz w:val="24"/>
          <w:szCs w:val="24"/>
        </w:rPr>
        <w:t xml:space="preserve"> from </w:t>
      </w:r>
      <w:r>
        <w:rPr>
          <w:rFonts w:ascii="Times New Roman" w:hAnsi="Times New Roman" w:cs="Times New Roman"/>
          <w:sz w:val="24"/>
          <w:szCs w:val="24"/>
        </w:rPr>
        <w:lastRenderedPageBreak/>
        <w:t>the main thru</w:t>
      </w:r>
      <w:r w:rsidR="006D56B8">
        <w:rPr>
          <w:rFonts w:ascii="Times New Roman" w:hAnsi="Times New Roman" w:cs="Times New Roman"/>
          <w:sz w:val="24"/>
          <w:szCs w:val="24"/>
        </w:rPr>
        <w:t xml:space="preserve">st of the MCA </w:t>
      </w:r>
      <w:r w:rsidR="00EC3630">
        <w:rPr>
          <w:rFonts w:ascii="Times New Roman" w:hAnsi="Times New Roman" w:cs="Times New Roman"/>
          <w:sz w:val="24"/>
          <w:szCs w:val="24"/>
        </w:rPr>
        <w:t xml:space="preserve">being </w:t>
      </w:r>
      <w:r w:rsidR="006D56B8">
        <w:rPr>
          <w:rFonts w:ascii="Times New Roman" w:hAnsi="Times New Roman" w:cs="Times New Roman"/>
          <w:sz w:val="24"/>
          <w:szCs w:val="24"/>
        </w:rPr>
        <w:t xml:space="preserve">focused on </w:t>
      </w:r>
      <w:r>
        <w:rPr>
          <w:rFonts w:ascii="Times New Roman" w:hAnsi="Times New Roman" w:cs="Times New Roman"/>
          <w:sz w:val="24"/>
          <w:szCs w:val="24"/>
        </w:rPr>
        <w:t>treatment, welfare and financial dec</w:t>
      </w:r>
      <w:r w:rsidR="006D56B8">
        <w:rPr>
          <w:rFonts w:ascii="Times New Roman" w:hAnsi="Times New Roman" w:cs="Times New Roman"/>
          <w:sz w:val="24"/>
          <w:szCs w:val="24"/>
        </w:rPr>
        <w:t>isions as opposed to research.</w:t>
      </w:r>
      <w:r w:rsidR="00F326FE">
        <w:rPr>
          <w:rStyle w:val="FootnoteReference"/>
          <w:rFonts w:ascii="Times New Roman" w:hAnsi="Times New Roman" w:cs="Times New Roman"/>
          <w:sz w:val="24"/>
          <w:szCs w:val="24"/>
        </w:rPr>
        <w:footnoteReference w:id="144"/>
      </w:r>
      <w:r w:rsidR="00C71539">
        <w:t xml:space="preserve">  </w:t>
      </w:r>
      <w:r w:rsidR="00C71539">
        <w:rPr>
          <w:rFonts w:ascii="Times New Roman" w:hAnsi="Times New Roman" w:cs="Times New Roman"/>
          <w:sz w:val="24"/>
          <w:szCs w:val="24"/>
        </w:rPr>
        <w:t>T</w:t>
      </w:r>
      <w:r w:rsidR="00202DF4">
        <w:rPr>
          <w:rFonts w:ascii="Times New Roman" w:hAnsi="Times New Roman" w:cs="Times New Roman"/>
          <w:sz w:val="24"/>
          <w:szCs w:val="24"/>
        </w:rPr>
        <w:t xml:space="preserve">he research </w:t>
      </w:r>
      <w:r w:rsidR="00C71539">
        <w:rPr>
          <w:rFonts w:ascii="Times New Roman" w:hAnsi="Times New Roman" w:cs="Times New Roman"/>
          <w:sz w:val="24"/>
          <w:szCs w:val="24"/>
        </w:rPr>
        <w:t xml:space="preserve">provisions </w:t>
      </w:r>
      <w:r w:rsidR="00EB049F">
        <w:rPr>
          <w:rFonts w:ascii="Times New Roman" w:hAnsi="Times New Roman" w:cs="Times New Roman"/>
          <w:sz w:val="24"/>
          <w:szCs w:val="24"/>
        </w:rPr>
        <w:t xml:space="preserve">operate from the wrong standpoint and arguably continue along a skewed trajectory, perhaps betraying </w:t>
      </w:r>
      <w:r w:rsidR="00F75D73" w:rsidRPr="00F75D73">
        <w:rPr>
          <w:rFonts w:ascii="Times New Roman" w:hAnsi="Times New Roman" w:cs="Times New Roman"/>
          <w:sz w:val="24"/>
          <w:szCs w:val="24"/>
        </w:rPr>
        <w:t>the fa</w:t>
      </w:r>
      <w:r w:rsidR="006C2D2D">
        <w:rPr>
          <w:rFonts w:ascii="Times New Roman" w:hAnsi="Times New Roman" w:cs="Times New Roman"/>
          <w:sz w:val="24"/>
          <w:szCs w:val="24"/>
        </w:rPr>
        <w:t xml:space="preserve">ct that research was </w:t>
      </w:r>
      <w:r w:rsidR="00F75D73" w:rsidRPr="00F75D73">
        <w:rPr>
          <w:rFonts w:ascii="Times New Roman" w:hAnsi="Times New Roman" w:cs="Times New Roman"/>
          <w:sz w:val="24"/>
          <w:szCs w:val="24"/>
        </w:rPr>
        <w:t>very mu</w:t>
      </w:r>
      <w:r w:rsidR="006C2D2D">
        <w:rPr>
          <w:rFonts w:ascii="Times New Roman" w:hAnsi="Times New Roman" w:cs="Times New Roman"/>
          <w:sz w:val="24"/>
          <w:szCs w:val="24"/>
        </w:rPr>
        <w:t xml:space="preserve">ch </w:t>
      </w:r>
      <w:r w:rsidR="00EB049F">
        <w:rPr>
          <w:rFonts w:ascii="Times New Roman" w:hAnsi="Times New Roman" w:cs="Times New Roman"/>
          <w:sz w:val="24"/>
          <w:szCs w:val="24"/>
        </w:rPr>
        <w:t xml:space="preserve">an afterthought.  Insufficient time seems to have been devoted </w:t>
      </w:r>
      <w:r w:rsidR="00F75D73" w:rsidRPr="00F75D73">
        <w:rPr>
          <w:rFonts w:ascii="Times New Roman" w:hAnsi="Times New Roman" w:cs="Times New Roman"/>
          <w:sz w:val="24"/>
          <w:szCs w:val="24"/>
        </w:rPr>
        <w:t>to identifying c</w:t>
      </w:r>
      <w:r w:rsidR="00EB049F">
        <w:rPr>
          <w:rFonts w:ascii="Times New Roman" w:hAnsi="Times New Roman" w:cs="Times New Roman"/>
          <w:sz w:val="24"/>
          <w:szCs w:val="24"/>
        </w:rPr>
        <w:t xml:space="preserve">lear aims and objectives and to creating </w:t>
      </w:r>
      <w:r w:rsidR="00F75D73" w:rsidRPr="00F75D73">
        <w:rPr>
          <w:rFonts w:ascii="Times New Roman" w:hAnsi="Times New Roman" w:cs="Times New Roman"/>
          <w:sz w:val="24"/>
          <w:szCs w:val="24"/>
        </w:rPr>
        <w:t>an effective regime that would adequately meet them</w:t>
      </w:r>
      <w:r w:rsidR="00F75D73">
        <w:rPr>
          <w:rFonts w:ascii="Times New Roman" w:hAnsi="Times New Roman" w:cs="Times New Roman"/>
          <w:sz w:val="24"/>
          <w:szCs w:val="24"/>
        </w:rPr>
        <w:t>.</w:t>
      </w:r>
      <w:r w:rsidR="00F326FE">
        <w:rPr>
          <w:rStyle w:val="FootnoteReference"/>
          <w:rFonts w:ascii="Times New Roman" w:hAnsi="Times New Roman" w:cs="Times New Roman"/>
          <w:sz w:val="24"/>
          <w:szCs w:val="24"/>
        </w:rPr>
        <w:footnoteReference w:id="145"/>
      </w:r>
      <w:r w:rsidR="006C2D2D">
        <w:rPr>
          <w:rFonts w:ascii="Times New Roman" w:hAnsi="Times New Roman" w:cs="Times New Roman"/>
          <w:sz w:val="24"/>
          <w:szCs w:val="24"/>
        </w:rPr>
        <w:t xml:space="preserve">  </w:t>
      </w:r>
      <w:r w:rsidR="00F75D73">
        <w:rPr>
          <w:rFonts w:ascii="Times New Roman" w:hAnsi="Times New Roman" w:cs="Times New Roman"/>
          <w:sz w:val="24"/>
          <w:szCs w:val="24"/>
        </w:rPr>
        <w:t xml:space="preserve">Certainly, the research sections </w:t>
      </w:r>
      <w:r w:rsidR="006D56B8">
        <w:rPr>
          <w:rFonts w:ascii="Times New Roman" w:hAnsi="Times New Roman" w:cs="Times New Roman"/>
          <w:sz w:val="24"/>
          <w:szCs w:val="24"/>
        </w:rPr>
        <w:t>do not appear to sit comfortably with the o</w:t>
      </w:r>
      <w:r w:rsidR="00C56490">
        <w:rPr>
          <w:rFonts w:ascii="Times New Roman" w:hAnsi="Times New Roman" w:cs="Times New Roman"/>
          <w:sz w:val="24"/>
          <w:szCs w:val="24"/>
        </w:rPr>
        <w:t xml:space="preserve">ther </w:t>
      </w:r>
      <w:r w:rsidR="00EC3630">
        <w:rPr>
          <w:rFonts w:ascii="Times New Roman" w:hAnsi="Times New Roman" w:cs="Times New Roman"/>
          <w:sz w:val="24"/>
          <w:szCs w:val="24"/>
        </w:rPr>
        <w:t xml:space="preserve">aspects </w:t>
      </w:r>
      <w:r w:rsidR="00C56490">
        <w:rPr>
          <w:rFonts w:ascii="Times New Roman" w:hAnsi="Times New Roman" w:cs="Times New Roman"/>
          <w:sz w:val="24"/>
          <w:szCs w:val="24"/>
        </w:rPr>
        <w:t xml:space="preserve">of the MCA </w:t>
      </w:r>
      <w:r w:rsidR="006D56B8">
        <w:rPr>
          <w:rFonts w:ascii="Times New Roman" w:hAnsi="Times New Roman" w:cs="Times New Roman"/>
          <w:sz w:val="24"/>
          <w:szCs w:val="24"/>
        </w:rPr>
        <w:t>and,</w:t>
      </w:r>
      <w:r w:rsidR="00EB049F">
        <w:rPr>
          <w:rFonts w:ascii="Times New Roman" w:hAnsi="Times New Roman" w:cs="Times New Roman"/>
          <w:sz w:val="24"/>
          <w:szCs w:val="24"/>
        </w:rPr>
        <w:t xml:space="preserve"> in places, appear to have been </w:t>
      </w:r>
      <w:r w:rsidR="006D56B8">
        <w:rPr>
          <w:rFonts w:ascii="Times New Roman" w:hAnsi="Times New Roman" w:cs="Times New Roman"/>
          <w:sz w:val="24"/>
          <w:szCs w:val="24"/>
        </w:rPr>
        <w:t xml:space="preserve">rather </w:t>
      </w:r>
      <w:r w:rsidR="00610816">
        <w:rPr>
          <w:rFonts w:ascii="Times New Roman" w:hAnsi="Times New Roman" w:cs="Times New Roman"/>
          <w:sz w:val="24"/>
          <w:szCs w:val="24"/>
        </w:rPr>
        <w:t xml:space="preserve">restrictively </w:t>
      </w:r>
      <w:r w:rsidR="009C7ED9">
        <w:rPr>
          <w:rFonts w:ascii="Times New Roman" w:hAnsi="Times New Roman" w:cs="Times New Roman"/>
          <w:sz w:val="24"/>
          <w:szCs w:val="24"/>
        </w:rPr>
        <w:t>drafted.</w:t>
      </w:r>
      <w:r w:rsidR="00257FC0">
        <w:rPr>
          <w:rFonts w:ascii="Times New Roman" w:hAnsi="Times New Roman" w:cs="Times New Roman"/>
          <w:sz w:val="24"/>
          <w:szCs w:val="24"/>
        </w:rPr>
        <w:t xml:space="preserve">  </w:t>
      </w:r>
    </w:p>
    <w:p w14:paraId="2ADAA4A5" w14:textId="4B11D939" w:rsidR="00013B6E" w:rsidRDefault="004B486B" w:rsidP="00E96B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7FC0">
        <w:rPr>
          <w:rFonts w:ascii="Times New Roman" w:hAnsi="Times New Roman" w:cs="Times New Roman"/>
          <w:sz w:val="24"/>
          <w:szCs w:val="24"/>
        </w:rPr>
        <w:t xml:space="preserve">Establishing a separate set of substantive </w:t>
      </w:r>
      <w:r>
        <w:rPr>
          <w:rFonts w:ascii="Times New Roman" w:hAnsi="Times New Roman" w:cs="Times New Roman"/>
          <w:sz w:val="24"/>
          <w:szCs w:val="24"/>
        </w:rPr>
        <w:t xml:space="preserve">tests that must be met in order to gain approval </w:t>
      </w:r>
      <w:r w:rsidR="00257FC0">
        <w:rPr>
          <w:rFonts w:ascii="Times New Roman" w:hAnsi="Times New Roman" w:cs="Times New Roman"/>
          <w:sz w:val="24"/>
          <w:szCs w:val="24"/>
        </w:rPr>
        <w:t xml:space="preserve">does not, in reality, </w:t>
      </w:r>
      <w:r w:rsidR="001D4040">
        <w:rPr>
          <w:rFonts w:ascii="Times New Roman" w:hAnsi="Times New Roman" w:cs="Times New Roman"/>
          <w:sz w:val="24"/>
          <w:szCs w:val="24"/>
        </w:rPr>
        <w:t xml:space="preserve">achieve the objective of providing a fair balance between protection and empowerment. This goal could arguably have been better achieved </w:t>
      </w:r>
      <w:r w:rsidR="00257FC0">
        <w:rPr>
          <w:rFonts w:ascii="Times New Roman" w:hAnsi="Times New Roman" w:cs="Times New Roman"/>
          <w:sz w:val="24"/>
          <w:szCs w:val="24"/>
        </w:rPr>
        <w:t xml:space="preserve">by assessing the existing objective and subjective factors that must </w:t>
      </w:r>
      <w:r w:rsidR="00DE1718">
        <w:rPr>
          <w:rFonts w:ascii="Times New Roman" w:hAnsi="Times New Roman" w:cs="Times New Roman"/>
          <w:sz w:val="24"/>
          <w:szCs w:val="24"/>
        </w:rPr>
        <w:t xml:space="preserve">be </w:t>
      </w:r>
      <w:r w:rsidR="00257FC0">
        <w:rPr>
          <w:rFonts w:ascii="Times New Roman" w:hAnsi="Times New Roman" w:cs="Times New Roman"/>
          <w:sz w:val="24"/>
          <w:szCs w:val="24"/>
        </w:rPr>
        <w:t xml:space="preserve">considered </w:t>
      </w:r>
      <w:r>
        <w:rPr>
          <w:rFonts w:ascii="Times New Roman" w:hAnsi="Times New Roman" w:cs="Times New Roman"/>
          <w:sz w:val="24"/>
          <w:szCs w:val="24"/>
        </w:rPr>
        <w:t xml:space="preserve">under a traditional </w:t>
      </w:r>
      <w:r w:rsidR="00257FC0">
        <w:rPr>
          <w:rFonts w:ascii="Times New Roman" w:hAnsi="Times New Roman" w:cs="Times New Roman"/>
          <w:sz w:val="24"/>
          <w:szCs w:val="24"/>
        </w:rPr>
        <w:t>sectio</w:t>
      </w:r>
      <w:r w:rsidR="001469DB">
        <w:rPr>
          <w:rFonts w:ascii="Times New Roman" w:hAnsi="Times New Roman" w:cs="Times New Roman"/>
          <w:sz w:val="24"/>
          <w:szCs w:val="24"/>
        </w:rPr>
        <w:t>n 4</w:t>
      </w:r>
      <w:r w:rsidR="002131C7">
        <w:rPr>
          <w:rFonts w:ascii="Times New Roman" w:hAnsi="Times New Roman" w:cs="Times New Roman"/>
          <w:sz w:val="24"/>
          <w:szCs w:val="24"/>
        </w:rPr>
        <w:t xml:space="preserve"> MCA </w:t>
      </w:r>
      <w:r w:rsidR="001469DB">
        <w:rPr>
          <w:rFonts w:ascii="Times New Roman" w:hAnsi="Times New Roman" w:cs="Times New Roman"/>
          <w:sz w:val="24"/>
          <w:szCs w:val="24"/>
        </w:rPr>
        <w:t>best interests assessment.  T</w:t>
      </w:r>
      <w:r w:rsidR="00257FC0">
        <w:rPr>
          <w:rFonts w:ascii="Times New Roman" w:hAnsi="Times New Roman" w:cs="Times New Roman"/>
          <w:sz w:val="24"/>
          <w:szCs w:val="24"/>
        </w:rPr>
        <w:t xml:space="preserve">he additional measures introduced that require the appointment of a consultee and the </w:t>
      </w:r>
      <w:r w:rsidR="001469DB">
        <w:rPr>
          <w:rFonts w:ascii="Times New Roman" w:hAnsi="Times New Roman" w:cs="Times New Roman"/>
          <w:sz w:val="24"/>
          <w:szCs w:val="24"/>
        </w:rPr>
        <w:t xml:space="preserve">final </w:t>
      </w:r>
      <w:r w:rsidR="00257FC0">
        <w:rPr>
          <w:rFonts w:ascii="Times New Roman" w:hAnsi="Times New Roman" w:cs="Times New Roman"/>
          <w:sz w:val="24"/>
          <w:szCs w:val="24"/>
        </w:rPr>
        <w:t>approval from a MCA REC</w:t>
      </w:r>
      <w:r w:rsidR="00C71539">
        <w:rPr>
          <w:rFonts w:ascii="Times New Roman" w:hAnsi="Times New Roman" w:cs="Times New Roman"/>
          <w:sz w:val="24"/>
          <w:szCs w:val="24"/>
        </w:rPr>
        <w:t xml:space="preserve"> are also of questionable effectiveness</w:t>
      </w:r>
      <w:r w:rsidR="00257FC0">
        <w:rPr>
          <w:rFonts w:ascii="Times New Roman" w:hAnsi="Times New Roman" w:cs="Times New Roman"/>
          <w:sz w:val="24"/>
          <w:szCs w:val="24"/>
        </w:rPr>
        <w:t xml:space="preserve">.  The idea that a </w:t>
      </w:r>
      <w:r>
        <w:rPr>
          <w:rFonts w:ascii="Times New Roman" w:hAnsi="Times New Roman" w:cs="Times New Roman"/>
          <w:sz w:val="24"/>
          <w:szCs w:val="24"/>
        </w:rPr>
        <w:t xml:space="preserve">third-party </w:t>
      </w:r>
      <w:r w:rsidR="00257FC0">
        <w:rPr>
          <w:rFonts w:ascii="Times New Roman" w:hAnsi="Times New Roman" w:cs="Times New Roman"/>
          <w:sz w:val="24"/>
          <w:szCs w:val="24"/>
        </w:rPr>
        <w:t xml:space="preserve">consultee can act as an </w:t>
      </w:r>
      <w:r w:rsidR="006C2D2D">
        <w:rPr>
          <w:rFonts w:ascii="Times New Roman" w:hAnsi="Times New Roman" w:cs="Times New Roman"/>
          <w:sz w:val="24"/>
          <w:szCs w:val="24"/>
        </w:rPr>
        <w:t xml:space="preserve">effective </w:t>
      </w:r>
      <w:r w:rsidR="0020632A">
        <w:rPr>
          <w:rFonts w:ascii="Times New Roman" w:hAnsi="Times New Roman" w:cs="Times New Roman"/>
          <w:sz w:val="24"/>
          <w:szCs w:val="24"/>
        </w:rPr>
        <w:t>advocate</w:t>
      </w:r>
      <w:r w:rsidR="00257FC0">
        <w:rPr>
          <w:rFonts w:ascii="Times New Roman" w:hAnsi="Times New Roman" w:cs="Times New Roman"/>
          <w:sz w:val="24"/>
          <w:szCs w:val="24"/>
        </w:rPr>
        <w:t xml:space="preserve"> and </w:t>
      </w:r>
      <w:r w:rsidR="0020632A">
        <w:rPr>
          <w:rFonts w:ascii="Times New Roman" w:hAnsi="Times New Roman" w:cs="Times New Roman"/>
          <w:sz w:val="24"/>
          <w:szCs w:val="24"/>
        </w:rPr>
        <w:t xml:space="preserve">thus empower </w:t>
      </w:r>
      <w:r w:rsidR="006C2D2D">
        <w:rPr>
          <w:rFonts w:ascii="Times New Roman" w:hAnsi="Times New Roman" w:cs="Times New Roman"/>
          <w:sz w:val="24"/>
          <w:szCs w:val="24"/>
        </w:rPr>
        <w:t xml:space="preserve">an incapacitated participant by </w:t>
      </w:r>
      <w:r w:rsidR="0020632A">
        <w:rPr>
          <w:rFonts w:ascii="Times New Roman" w:hAnsi="Times New Roman" w:cs="Times New Roman"/>
          <w:sz w:val="24"/>
          <w:szCs w:val="24"/>
        </w:rPr>
        <w:t xml:space="preserve">ensuring that her voice is heard is frustrated by </w:t>
      </w:r>
      <w:r>
        <w:rPr>
          <w:rFonts w:ascii="Times New Roman" w:hAnsi="Times New Roman" w:cs="Times New Roman"/>
          <w:sz w:val="24"/>
          <w:szCs w:val="24"/>
        </w:rPr>
        <w:t xml:space="preserve">its </w:t>
      </w:r>
      <w:r w:rsidR="0020632A">
        <w:rPr>
          <w:rFonts w:ascii="Times New Roman" w:hAnsi="Times New Roman" w:cs="Times New Roman"/>
          <w:sz w:val="24"/>
          <w:szCs w:val="24"/>
        </w:rPr>
        <w:t>impracticalities</w:t>
      </w:r>
      <w:r w:rsidR="001469DB">
        <w:rPr>
          <w:rFonts w:ascii="Times New Roman" w:hAnsi="Times New Roman" w:cs="Times New Roman"/>
          <w:sz w:val="24"/>
          <w:szCs w:val="24"/>
        </w:rPr>
        <w:t>.</w:t>
      </w:r>
      <w:r w:rsidR="006C2D2D">
        <w:rPr>
          <w:rFonts w:ascii="Times New Roman" w:hAnsi="Times New Roman" w:cs="Times New Roman"/>
          <w:sz w:val="24"/>
          <w:szCs w:val="24"/>
        </w:rPr>
        <w:t xml:space="preserve">  A system that promotes co-operation between a researcher and a participant, with a renewed emphasis on seeking positive assent from a participant, may be a more desirable</w:t>
      </w:r>
      <w:r w:rsidR="00E96B06">
        <w:rPr>
          <w:rFonts w:ascii="Times New Roman" w:hAnsi="Times New Roman" w:cs="Times New Roman"/>
          <w:sz w:val="24"/>
          <w:szCs w:val="24"/>
        </w:rPr>
        <w:t xml:space="preserve"> method of guaranteeing greater emphasis on </w:t>
      </w:r>
      <w:r w:rsidR="00DE1718">
        <w:rPr>
          <w:rFonts w:ascii="Times New Roman" w:hAnsi="Times New Roman" w:cs="Times New Roman"/>
          <w:sz w:val="24"/>
          <w:szCs w:val="24"/>
        </w:rPr>
        <w:t xml:space="preserve">supported </w:t>
      </w:r>
      <w:r w:rsidR="006C2D2D">
        <w:rPr>
          <w:rFonts w:ascii="Times New Roman" w:hAnsi="Times New Roman" w:cs="Times New Roman"/>
          <w:sz w:val="24"/>
          <w:szCs w:val="24"/>
        </w:rPr>
        <w:t>decision-making</w:t>
      </w:r>
      <w:r w:rsidR="00E96B06">
        <w:rPr>
          <w:rFonts w:ascii="Times New Roman" w:hAnsi="Times New Roman" w:cs="Times New Roman"/>
          <w:sz w:val="24"/>
          <w:szCs w:val="24"/>
        </w:rPr>
        <w:t>.</w:t>
      </w:r>
      <w:r w:rsidR="00F326FE">
        <w:rPr>
          <w:rStyle w:val="FootnoteReference"/>
          <w:rFonts w:ascii="Times New Roman" w:hAnsi="Times New Roman" w:cs="Times New Roman"/>
          <w:sz w:val="24"/>
          <w:szCs w:val="24"/>
        </w:rPr>
        <w:footnoteReference w:id="146"/>
      </w:r>
      <w:r w:rsidR="00E96B06">
        <w:rPr>
          <w:rFonts w:ascii="Times New Roman" w:hAnsi="Times New Roman" w:cs="Times New Roman"/>
          <w:sz w:val="24"/>
          <w:szCs w:val="24"/>
        </w:rPr>
        <w:t xml:space="preserve">  </w:t>
      </w:r>
      <w:r w:rsidR="001469DB">
        <w:rPr>
          <w:rFonts w:ascii="Times New Roman" w:hAnsi="Times New Roman" w:cs="Times New Roman"/>
          <w:sz w:val="24"/>
          <w:szCs w:val="24"/>
        </w:rPr>
        <w:t>Similarly, very little is known about how a MCA REC</w:t>
      </w:r>
      <w:r w:rsidR="00734780">
        <w:rPr>
          <w:rFonts w:ascii="Times New Roman" w:hAnsi="Times New Roman" w:cs="Times New Roman"/>
          <w:sz w:val="24"/>
          <w:szCs w:val="24"/>
        </w:rPr>
        <w:t xml:space="preserve"> actually forms its opinion</w:t>
      </w:r>
      <w:r w:rsidR="00C56490">
        <w:rPr>
          <w:rFonts w:ascii="Times New Roman" w:hAnsi="Times New Roman" w:cs="Times New Roman"/>
          <w:sz w:val="24"/>
          <w:szCs w:val="24"/>
        </w:rPr>
        <w:t>,</w:t>
      </w:r>
      <w:r w:rsidR="00734780">
        <w:rPr>
          <w:rFonts w:ascii="Times New Roman" w:hAnsi="Times New Roman" w:cs="Times New Roman"/>
          <w:sz w:val="24"/>
          <w:szCs w:val="24"/>
        </w:rPr>
        <w:t xml:space="preserve"> and about </w:t>
      </w:r>
      <w:r w:rsidR="001469DB">
        <w:rPr>
          <w:rFonts w:ascii="Times New Roman" w:hAnsi="Times New Roman" w:cs="Times New Roman"/>
          <w:sz w:val="24"/>
          <w:szCs w:val="24"/>
        </w:rPr>
        <w:t>what is at the forefront of</w:t>
      </w:r>
      <w:r w:rsidR="00202DF4">
        <w:rPr>
          <w:rFonts w:ascii="Times New Roman" w:hAnsi="Times New Roman" w:cs="Times New Roman"/>
          <w:sz w:val="24"/>
          <w:szCs w:val="24"/>
        </w:rPr>
        <w:t xml:space="preserve"> the minds of its members </w:t>
      </w:r>
      <w:r w:rsidR="00C56490">
        <w:rPr>
          <w:rFonts w:ascii="Times New Roman" w:hAnsi="Times New Roman" w:cs="Times New Roman"/>
          <w:sz w:val="24"/>
          <w:szCs w:val="24"/>
        </w:rPr>
        <w:t xml:space="preserve">when making a decision on a given </w:t>
      </w:r>
      <w:r w:rsidR="001469DB">
        <w:rPr>
          <w:rFonts w:ascii="Times New Roman" w:hAnsi="Times New Roman" w:cs="Times New Roman"/>
          <w:sz w:val="24"/>
          <w:szCs w:val="24"/>
        </w:rPr>
        <w:t>project.</w:t>
      </w:r>
      <w:r w:rsidR="00BC6FE9">
        <w:rPr>
          <w:rFonts w:ascii="Times New Roman" w:hAnsi="Times New Roman" w:cs="Times New Roman"/>
          <w:sz w:val="24"/>
          <w:szCs w:val="24"/>
        </w:rPr>
        <w:t xml:space="preserve">  </w:t>
      </w:r>
      <w:r w:rsidR="007E7485">
        <w:rPr>
          <w:rFonts w:ascii="Times New Roman" w:hAnsi="Times New Roman" w:cs="Times New Roman"/>
          <w:sz w:val="24"/>
          <w:szCs w:val="24"/>
        </w:rPr>
        <w:t>Significant variation in interpretation of the requirements for approval could lead to a pattern of i</w:t>
      </w:r>
      <w:r w:rsidR="001469DB">
        <w:rPr>
          <w:rFonts w:ascii="Times New Roman" w:hAnsi="Times New Roman" w:cs="Times New Roman"/>
          <w:sz w:val="24"/>
          <w:szCs w:val="24"/>
        </w:rPr>
        <w:t>nconsistency between MCA RECs</w:t>
      </w:r>
      <w:r w:rsidR="00E96B06">
        <w:rPr>
          <w:rFonts w:ascii="Times New Roman" w:hAnsi="Times New Roman" w:cs="Times New Roman"/>
          <w:sz w:val="24"/>
          <w:szCs w:val="24"/>
        </w:rPr>
        <w:t xml:space="preserve">, which has the potential to </w:t>
      </w:r>
      <w:r w:rsidR="001469DB">
        <w:rPr>
          <w:rFonts w:ascii="Times New Roman" w:hAnsi="Times New Roman" w:cs="Times New Roman"/>
          <w:sz w:val="24"/>
          <w:szCs w:val="24"/>
        </w:rPr>
        <w:t xml:space="preserve">undermine the </w:t>
      </w:r>
      <w:r w:rsidR="007E7485">
        <w:rPr>
          <w:rFonts w:ascii="Times New Roman" w:hAnsi="Times New Roman" w:cs="Times New Roman"/>
          <w:sz w:val="24"/>
          <w:szCs w:val="24"/>
        </w:rPr>
        <w:t xml:space="preserve">perceived </w:t>
      </w:r>
      <w:r w:rsidR="00E96B06">
        <w:rPr>
          <w:rFonts w:ascii="Times New Roman" w:hAnsi="Times New Roman" w:cs="Times New Roman"/>
          <w:sz w:val="24"/>
          <w:szCs w:val="24"/>
        </w:rPr>
        <w:t>value of the system</w:t>
      </w:r>
      <w:r w:rsidR="007E7485">
        <w:rPr>
          <w:rFonts w:ascii="Times New Roman" w:hAnsi="Times New Roman" w:cs="Times New Roman"/>
          <w:sz w:val="24"/>
          <w:szCs w:val="24"/>
        </w:rPr>
        <w:t>.</w:t>
      </w:r>
      <w:r w:rsidR="00C71539">
        <w:rPr>
          <w:rFonts w:ascii="Times New Roman" w:hAnsi="Times New Roman" w:cs="Times New Roman"/>
          <w:sz w:val="24"/>
          <w:szCs w:val="24"/>
        </w:rPr>
        <w:t xml:space="preserve">  </w:t>
      </w:r>
      <w:r w:rsidR="00C56490">
        <w:rPr>
          <w:rFonts w:ascii="Times New Roman" w:hAnsi="Times New Roman" w:cs="Times New Roman"/>
          <w:sz w:val="24"/>
          <w:szCs w:val="24"/>
        </w:rPr>
        <w:t xml:space="preserve">What is clear, however, is that the manner in which the research requirements have been drafted creates the impression that the researcher, the consultee and the MCA REC are subjective to differing </w:t>
      </w:r>
      <w:r w:rsidR="00C56490">
        <w:rPr>
          <w:rFonts w:ascii="Times New Roman" w:hAnsi="Times New Roman" w:cs="Times New Roman"/>
          <w:sz w:val="24"/>
          <w:szCs w:val="24"/>
        </w:rPr>
        <w:lastRenderedPageBreak/>
        <w:t xml:space="preserve">obligations which </w:t>
      </w:r>
      <w:r w:rsidR="00EC3630">
        <w:rPr>
          <w:rFonts w:ascii="Times New Roman" w:hAnsi="Times New Roman" w:cs="Times New Roman"/>
          <w:sz w:val="24"/>
          <w:szCs w:val="24"/>
        </w:rPr>
        <w:t xml:space="preserve">all </w:t>
      </w:r>
      <w:r w:rsidR="00C56490">
        <w:rPr>
          <w:rFonts w:ascii="Times New Roman" w:hAnsi="Times New Roman" w:cs="Times New Roman"/>
          <w:sz w:val="24"/>
          <w:szCs w:val="24"/>
        </w:rPr>
        <w:t>potentially overlap, but which may not necessarily be viewed</w:t>
      </w:r>
      <w:r>
        <w:rPr>
          <w:rFonts w:ascii="Times New Roman" w:hAnsi="Times New Roman" w:cs="Times New Roman"/>
          <w:sz w:val="24"/>
          <w:szCs w:val="24"/>
        </w:rPr>
        <w:t xml:space="preserve"> in that </w:t>
      </w:r>
      <w:r w:rsidR="005A37D2">
        <w:rPr>
          <w:rFonts w:ascii="Times New Roman" w:hAnsi="Times New Roman" w:cs="Times New Roman"/>
          <w:sz w:val="24"/>
          <w:szCs w:val="24"/>
        </w:rPr>
        <w:t xml:space="preserve">way.  This sense of confusion may cause researchers to become </w:t>
      </w:r>
      <w:r w:rsidR="001469DB">
        <w:rPr>
          <w:rFonts w:ascii="Times New Roman" w:hAnsi="Times New Roman" w:cs="Times New Roman"/>
          <w:sz w:val="24"/>
          <w:szCs w:val="24"/>
        </w:rPr>
        <w:t xml:space="preserve">disillusioned </w:t>
      </w:r>
      <w:r w:rsidR="007E7485">
        <w:rPr>
          <w:rFonts w:ascii="Times New Roman" w:hAnsi="Times New Roman" w:cs="Times New Roman"/>
          <w:sz w:val="24"/>
          <w:szCs w:val="24"/>
        </w:rPr>
        <w:t>w</w:t>
      </w:r>
      <w:r>
        <w:rPr>
          <w:rFonts w:ascii="Times New Roman" w:hAnsi="Times New Roman" w:cs="Times New Roman"/>
          <w:sz w:val="24"/>
          <w:szCs w:val="24"/>
        </w:rPr>
        <w:t>ith the syste</w:t>
      </w:r>
      <w:r w:rsidR="00EB049F">
        <w:rPr>
          <w:rFonts w:ascii="Times New Roman" w:hAnsi="Times New Roman" w:cs="Times New Roman"/>
          <w:sz w:val="24"/>
          <w:szCs w:val="24"/>
        </w:rPr>
        <w:t xml:space="preserve">m of approval and therefore reluctant </w:t>
      </w:r>
      <w:r w:rsidR="007E7485">
        <w:rPr>
          <w:rFonts w:ascii="Times New Roman" w:hAnsi="Times New Roman" w:cs="Times New Roman"/>
          <w:sz w:val="24"/>
          <w:szCs w:val="24"/>
        </w:rPr>
        <w:t>to consider incapacitated participants in the future.</w:t>
      </w:r>
      <w:r w:rsidR="00734780">
        <w:rPr>
          <w:rFonts w:ascii="Times New Roman" w:hAnsi="Times New Roman" w:cs="Times New Roman"/>
          <w:sz w:val="24"/>
          <w:szCs w:val="24"/>
        </w:rPr>
        <w:t xml:space="preserve">  If the research provisions of the MCA are</w:t>
      </w:r>
      <w:r w:rsidR="005A37D2">
        <w:rPr>
          <w:rFonts w:ascii="Times New Roman" w:hAnsi="Times New Roman" w:cs="Times New Roman"/>
          <w:sz w:val="24"/>
          <w:szCs w:val="24"/>
        </w:rPr>
        <w:t xml:space="preserve"> having this</w:t>
      </w:r>
      <w:r w:rsidR="00C71539">
        <w:rPr>
          <w:rFonts w:ascii="Times New Roman" w:hAnsi="Times New Roman" w:cs="Times New Roman"/>
          <w:sz w:val="24"/>
          <w:szCs w:val="24"/>
        </w:rPr>
        <w:t xml:space="preserve"> effect</w:t>
      </w:r>
      <w:r w:rsidR="005A37D2">
        <w:rPr>
          <w:rFonts w:ascii="Times New Roman" w:hAnsi="Times New Roman" w:cs="Times New Roman"/>
          <w:sz w:val="24"/>
          <w:szCs w:val="24"/>
        </w:rPr>
        <w:t xml:space="preserve">, they are arguably </w:t>
      </w:r>
      <w:r w:rsidR="00C71539">
        <w:rPr>
          <w:rFonts w:ascii="Times New Roman" w:hAnsi="Times New Roman" w:cs="Times New Roman"/>
          <w:sz w:val="24"/>
          <w:szCs w:val="24"/>
        </w:rPr>
        <w:t xml:space="preserve">impeding </w:t>
      </w:r>
      <w:r w:rsidR="005A37D2">
        <w:rPr>
          <w:rFonts w:ascii="Times New Roman" w:hAnsi="Times New Roman" w:cs="Times New Roman"/>
          <w:sz w:val="24"/>
          <w:szCs w:val="24"/>
        </w:rPr>
        <w:t xml:space="preserve">the very type of activity that they </w:t>
      </w:r>
      <w:r w:rsidR="00C71539">
        <w:rPr>
          <w:rFonts w:ascii="Times New Roman" w:hAnsi="Times New Roman" w:cs="Times New Roman"/>
          <w:sz w:val="24"/>
          <w:szCs w:val="24"/>
        </w:rPr>
        <w:t xml:space="preserve">should be </w:t>
      </w:r>
      <w:r w:rsidR="005A37D2">
        <w:rPr>
          <w:rFonts w:ascii="Times New Roman" w:hAnsi="Times New Roman" w:cs="Times New Roman"/>
          <w:sz w:val="24"/>
          <w:szCs w:val="24"/>
        </w:rPr>
        <w:t xml:space="preserve">seeking to promote and </w:t>
      </w:r>
      <w:r w:rsidR="00C71539">
        <w:rPr>
          <w:rFonts w:ascii="Times New Roman" w:hAnsi="Times New Roman" w:cs="Times New Roman"/>
          <w:sz w:val="24"/>
          <w:szCs w:val="24"/>
        </w:rPr>
        <w:t>this ought to be recognised as a problem that needs</w:t>
      </w:r>
      <w:r w:rsidR="00610816">
        <w:rPr>
          <w:rFonts w:ascii="Times New Roman" w:hAnsi="Times New Roman" w:cs="Times New Roman"/>
          <w:sz w:val="24"/>
          <w:szCs w:val="24"/>
        </w:rPr>
        <w:t xml:space="preserve"> resolving</w:t>
      </w:r>
      <w:r w:rsidR="00C71539">
        <w:rPr>
          <w:rFonts w:ascii="Times New Roman" w:hAnsi="Times New Roman" w:cs="Times New Roman"/>
          <w:sz w:val="24"/>
          <w:szCs w:val="24"/>
        </w:rPr>
        <w:t>.</w:t>
      </w:r>
      <w:r w:rsidR="0076274D">
        <w:rPr>
          <w:rFonts w:ascii="Times New Roman" w:hAnsi="Times New Roman" w:cs="Times New Roman"/>
          <w:sz w:val="24"/>
          <w:szCs w:val="24"/>
        </w:rPr>
        <w:t xml:space="preserve">  </w:t>
      </w:r>
    </w:p>
    <w:p w14:paraId="15D8D8C7" w14:textId="77777777" w:rsidR="00CB245D" w:rsidRDefault="00CB245D" w:rsidP="00D968EC">
      <w:pPr>
        <w:spacing w:after="0" w:line="240" w:lineRule="auto"/>
        <w:jc w:val="both"/>
        <w:rPr>
          <w:rFonts w:ascii="Times New Roman" w:hAnsi="Times New Roman" w:cs="Times New Roman"/>
          <w:b/>
          <w:sz w:val="24"/>
          <w:szCs w:val="24"/>
        </w:rPr>
      </w:pPr>
    </w:p>
    <w:p w14:paraId="08A1EC62" w14:textId="434B99E5" w:rsidR="00D968EC" w:rsidRDefault="00E24BAB" w:rsidP="00D968E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Endn</w:t>
      </w:r>
      <w:r w:rsidR="00D968EC" w:rsidRPr="00D968EC">
        <w:rPr>
          <w:rFonts w:ascii="Times New Roman" w:hAnsi="Times New Roman" w:cs="Times New Roman"/>
          <w:b/>
          <w:sz w:val="24"/>
          <w:szCs w:val="24"/>
        </w:rPr>
        <w:t>ote</w:t>
      </w:r>
      <w:r>
        <w:rPr>
          <w:rFonts w:ascii="Times New Roman" w:hAnsi="Times New Roman" w:cs="Times New Roman"/>
          <w:sz w:val="24"/>
          <w:szCs w:val="24"/>
        </w:rPr>
        <w:t xml:space="preserve">:  </w:t>
      </w:r>
      <w:r w:rsidR="00416655">
        <w:rPr>
          <w:rFonts w:ascii="Times New Roman" w:hAnsi="Times New Roman" w:cs="Times New Roman"/>
          <w:sz w:val="24"/>
          <w:szCs w:val="24"/>
        </w:rPr>
        <w:t>T</w:t>
      </w:r>
      <w:r w:rsidR="00D968EC" w:rsidRPr="00D968EC">
        <w:rPr>
          <w:rFonts w:ascii="Times New Roman" w:hAnsi="Times New Roman" w:cs="Times New Roman"/>
          <w:sz w:val="24"/>
          <w:szCs w:val="24"/>
        </w:rPr>
        <w:t xml:space="preserve">his </w:t>
      </w:r>
      <w:r w:rsidR="00D968EC">
        <w:rPr>
          <w:rFonts w:ascii="Times New Roman" w:hAnsi="Times New Roman" w:cs="Times New Roman"/>
          <w:sz w:val="24"/>
          <w:szCs w:val="24"/>
        </w:rPr>
        <w:t xml:space="preserve">article </w:t>
      </w:r>
      <w:r w:rsidR="009B3794">
        <w:rPr>
          <w:rFonts w:ascii="Times New Roman" w:hAnsi="Times New Roman" w:cs="Times New Roman"/>
          <w:sz w:val="24"/>
          <w:szCs w:val="24"/>
        </w:rPr>
        <w:t xml:space="preserve">provides </w:t>
      </w:r>
      <w:r w:rsidR="00D968EC" w:rsidRPr="00D968EC">
        <w:rPr>
          <w:rFonts w:ascii="Times New Roman" w:hAnsi="Times New Roman" w:cs="Times New Roman"/>
          <w:sz w:val="24"/>
          <w:szCs w:val="24"/>
        </w:rPr>
        <w:t>a doctrinal analysis of the law and did not involve</w:t>
      </w:r>
      <w:r>
        <w:rPr>
          <w:rFonts w:ascii="Times New Roman" w:hAnsi="Times New Roman" w:cs="Times New Roman"/>
          <w:sz w:val="24"/>
          <w:szCs w:val="24"/>
        </w:rPr>
        <w:t xml:space="preserve"> human participants. </w:t>
      </w:r>
      <w:r w:rsidR="00416655">
        <w:rPr>
          <w:rFonts w:ascii="Times New Roman" w:hAnsi="Times New Roman" w:cs="Times New Roman"/>
          <w:sz w:val="24"/>
          <w:szCs w:val="24"/>
        </w:rPr>
        <w:t xml:space="preserve">As such, </w:t>
      </w:r>
      <w:r w:rsidR="00D968EC" w:rsidRPr="00D968EC">
        <w:rPr>
          <w:rFonts w:ascii="Times New Roman" w:hAnsi="Times New Roman" w:cs="Times New Roman"/>
          <w:sz w:val="24"/>
          <w:szCs w:val="24"/>
        </w:rPr>
        <w:t>ethical approval was not required for this</w:t>
      </w:r>
      <w:r w:rsidR="00610816">
        <w:rPr>
          <w:rFonts w:ascii="Times New Roman" w:hAnsi="Times New Roman" w:cs="Times New Roman"/>
          <w:sz w:val="24"/>
          <w:szCs w:val="24"/>
        </w:rPr>
        <w:t xml:space="preserve"> research</w:t>
      </w:r>
      <w:r w:rsidR="00D968EC" w:rsidRPr="00D968EC">
        <w:rPr>
          <w:rFonts w:ascii="Times New Roman" w:hAnsi="Times New Roman" w:cs="Times New Roman"/>
          <w:sz w:val="24"/>
          <w:szCs w:val="24"/>
        </w:rPr>
        <w:t>. However, the empirical components of the la</w:t>
      </w:r>
      <w:r w:rsidR="00D968EC">
        <w:rPr>
          <w:rFonts w:ascii="Times New Roman" w:hAnsi="Times New Roman" w:cs="Times New Roman"/>
          <w:sz w:val="24"/>
          <w:szCs w:val="24"/>
        </w:rPr>
        <w:t>rger scale ASSENT Project at UEA</w:t>
      </w:r>
      <w:r w:rsidR="00D968EC" w:rsidRPr="00D968EC">
        <w:rPr>
          <w:rFonts w:ascii="Times New Roman" w:hAnsi="Times New Roman" w:cs="Times New Roman"/>
          <w:sz w:val="24"/>
          <w:szCs w:val="24"/>
        </w:rPr>
        <w:t xml:space="preserve"> obtained ethical approval from the Social Care REC, London. REC Reference: 18/IEC0</w:t>
      </w:r>
      <w:r w:rsidR="00D968EC">
        <w:rPr>
          <w:rFonts w:ascii="Times New Roman" w:hAnsi="Times New Roman" w:cs="Times New Roman"/>
          <w:sz w:val="24"/>
          <w:szCs w:val="24"/>
        </w:rPr>
        <w:t>8/0042; IRAS Project ID: 2</w:t>
      </w:r>
      <w:r w:rsidR="00610816">
        <w:rPr>
          <w:rFonts w:ascii="Times New Roman" w:hAnsi="Times New Roman" w:cs="Times New Roman"/>
          <w:sz w:val="24"/>
          <w:szCs w:val="24"/>
        </w:rPr>
        <w:t xml:space="preserve">44132.  Professor Rob Heywood was </w:t>
      </w:r>
      <w:r w:rsidR="00D968EC">
        <w:rPr>
          <w:rFonts w:ascii="Times New Roman" w:hAnsi="Times New Roman" w:cs="Times New Roman"/>
          <w:sz w:val="24"/>
          <w:szCs w:val="24"/>
        </w:rPr>
        <w:t>the lead author</w:t>
      </w:r>
      <w:r w:rsidR="009B3794">
        <w:rPr>
          <w:rFonts w:ascii="Times New Roman" w:hAnsi="Times New Roman" w:cs="Times New Roman"/>
          <w:sz w:val="24"/>
          <w:szCs w:val="24"/>
        </w:rPr>
        <w:t xml:space="preserve"> of this article</w:t>
      </w:r>
      <w:r w:rsidR="00D968EC">
        <w:rPr>
          <w:rFonts w:ascii="Times New Roman" w:hAnsi="Times New Roman" w:cs="Times New Roman"/>
          <w:sz w:val="24"/>
          <w:szCs w:val="24"/>
        </w:rPr>
        <w:t xml:space="preserve">, and </w:t>
      </w:r>
      <w:r w:rsidR="00610816">
        <w:rPr>
          <w:rFonts w:ascii="Times New Roman" w:hAnsi="Times New Roman" w:cs="Times New Roman"/>
          <w:sz w:val="24"/>
          <w:szCs w:val="24"/>
        </w:rPr>
        <w:t xml:space="preserve">is a </w:t>
      </w:r>
      <w:r w:rsidR="00D968EC">
        <w:rPr>
          <w:rFonts w:ascii="Times New Roman" w:hAnsi="Times New Roman" w:cs="Times New Roman"/>
          <w:sz w:val="24"/>
          <w:szCs w:val="24"/>
        </w:rPr>
        <w:t>Co-Investigator on the ASSENT Project.  Dr Karen Bunning is the Princi</w:t>
      </w:r>
      <w:r>
        <w:rPr>
          <w:rFonts w:ascii="Times New Roman" w:hAnsi="Times New Roman" w:cs="Times New Roman"/>
          <w:sz w:val="24"/>
          <w:szCs w:val="24"/>
        </w:rPr>
        <w:t>pal Investigator on the ASSENT P</w:t>
      </w:r>
      <w:r w:rsidR="00D968EC">
        <w:rPr>
          <w:rFonts w:ascii="Times New Roman" w:hAnsi="Times New Roman" w:cs="Times New Roman"/>
          <w:sz w:val="24"/>
          <w:szCs w:val="24"/>
        </w:rPr>
        <w:t xml:space="preserve">roject. All other authors are Co-Investigators on the ASSENT Project. </w:t>
      </w:r>
    </w:p>
    <w:p w14:paraId="6598667B" w14:textId="77777777" w:rsidR="00D968EC" w:rsidRPr="00D968EC" w:rsidRDefault="00D968EC" w:rsidP="00D968EC">
      <w:pPr>
        <w:spacing w:after="0" w:line="240" w:lineRule="auto"/>
        <w:jc w:val="both"/>
        <w:rPr>
          <w:rFonts w:ascii="Times New Roman" w:hAnsi="Times New Roman" w:cs="Times New Roman"/>
          <w:sz w:val="24"/>
          <w:szCs w:val="24"/>
        </w:rPr>
      </w:pPr>
    </w:p>
    <w:p w14:paraId="12EB4C56" w14:textId="42C68FA1" w:rsidR="00D968EC" w:rsidRPr="00E96B06" w:rsidRDefault="00D968EC" w:rsidP="00D968EC">
      <w:pPr>
        <w:spacing w:after="0" w:line="240" w:lineRule="auto"/>
        <w:jc w:val="both"/>
        <w:rPr>
          <w:rFonts w:ascii="Times New Roman" w:hAnsi="Times New Roman" w:cs="Times New Roman"/>
          <w:sz w:val="24"/>
          <w:szCs w:val="24"/>
        </w:rPr>
      </w:pPr>
      <w:r w:rsidRPr="00D968EC">
        <w:rPr>
          <w:rFonts w:ascii="Times New Roman" w:hAnsi="Times New Roman" w:cs="Times New Roman"/>
          <w:sz w:val="24"/>
          <w:szCs w:val="24"/>
        </w:rPr>
        <w:t>We are extremely grateful to the Nuffield Foundation’s Law in Society Scheme for generously fu</w:t>
      </w:r>
      <w:r>
        <w:rPr>
          <w:rFonts w:ascii="Times New Roman" w:hAnsi="Times New Roman" w:cs="Times New Roman"/>
          <w:sz w:val="24"/>
          <w:szCs w:val="24"/>
        </w:rPr>
        <w:t>nding the ASSENT Project at UEA.</w:t>
      </w:r>
    </w:p>
    <w:sectPr w:rsidR="00D968EC" w:rsidRPr="00E96B0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023FE" w14:textId="77777777" w:rsidR="00B24AC7" w:rsidRDefault="00B24AC7" w:rsidP="00836549">
      <w:pPr>
        <w:spacing w:after="0" w:line="240" w:lineRule="auto"/>
      </w:pPr>
      <w:r>
        <w:separator/>
      </w:r>
    </w:p>
  </w:endnote>
  <w:endnote w:type="continuationSeparator" w:id="0">
    <w:p w14:paraId="7DB9B075" w14:textId="77777777" w:rsidR="00B24AC7" w:rsidRDefault="00B24AC7" w:rsidP="0083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DB01C" w14:textId="77777777" w:rsidR="00B24AC7" w:rsidRDefault="00B24AC7" w:rsidP="00836549">
      <w:pPr>
        <w:spacing w:after="0" w:line="240" w:lineRule="auto"/>
      </w:pPr>
      <w:r>
        <w:separator/>
      </w:r>
    </w:p>
  </w:footnote>
  <w:footnote w:type="continuationSeparator" w:id="0">
    <w:p w14:paraId="4B3F756F" w14:textId="77777777" w:rsidR="00B24AC7" w:rsidRDefault="00B24AC7" w:rsidP="00836549">
      <w:pPr>
        <w:spacing w:after="0" w:line="240" w:lineRule="auto"/>
      </w:pPr>
      <w:r>
        <w:continuationSeparator/>
      </w:r>
    </w:p>
  </w:footnote>
  <w:footnote w:id="1">
    <w:p w14:paraId="09061AD1" w14:textId="708087CE" w:rsidR="00A22CB2" w:rsidRDefault="00A22CB2" w:rsidP="00444AC5">
      <w:pPr>
        <w:pStyle w:val="FootnoteText"/>
        <w:jc w:val="both"/>
        <w:rPr>
          <w:rFonts w:ascii="Times New Roman" w:hAnsi="Times New Roman" w:cs="Times New Roman"/>
        </w:rPr>
      </w:pPr>
      <w:r>
        <w:rPr>
          <w:rFonts w:ascii="Times New Roman" w:hAnsi="Times New Roman" w:cs="Times New Roman"/>
        </w:rPr>
        <w:t>***</w:t>
      </w:r>
    </w:p>
    <w:p w14:paraId="01E8D27D" w14:textId="77777777" w:rsidR="00A22CB2" w:rsidRPr="00444AC5" w:rsidRDefault="00A22CB2" w:rsidP="00444AC5">
      <w:pPr>
        <w:pStyle w:val="FootnoteText"/>
        <w:jc w:val="both"/>
        <w:rPr>
          <w:rFonts w:ascii="Times New Roman" w:hAnsi="Times New Roman" w:cs="Times New Roman"/>
        </w:rPr>
      </w:pPr>
    </w:p>
    <w:p w14:paraId="4A3F827E" w14:textId="41BD5D31" w:rsidR="00A22CB2" w:rsidRPr="00A718AC" w:rsidRDefault="00A22CB2" w:rsidP="00A718AC">
      <w:pPr>
        <w:pStyle w:val="FootnoteText"/>
        <w:jc w:val="both"/>
        <w:rPr>
          <w:rFonts w:ascii="Times New Roman" w:hAnsi="Times New Roman" w:cs="Times New Roman"/>
        </w:rPr>
      </w:pPr>
      <w:r w:rsidRPr="00444AC5">
        <w:rPr>
          <w:rStyle w:val="FootnoteReference"/>
          <w:rFonts w:ascii="Times New Roman" w:hAnsi="Times New Roman" w:cs="Times New Roman"/>
        </w:rPr>
        <w:footnoteRef/>
      </w:r>
      <w:r w:rsidRPr="00444AC5">
        <w:rPr>
          <w:rFonts w:ascii="Times New Roman" w:hAnsi="Times New Roman" w:cs="Times New Roman"/>
        </w:rPr>
        <w:t xml:space="preserve"> </w:t>
      </w:r>
      <w:r>
        <w:rPr>
          <w:rFonts w:ascii="Times New Roman" w:hAnsi="Times New Roman" w:cs="Times New Roman"/>
        </w:rPr>
        <w:t xml:space="preserve">See </w:t>
      </w:r>
      <w:r w:rsidRPr="005F22AB">
        <w:rPr>
          <w:rFonts w:ascii="Times New Roman" w:hAnsi="Times New Roman" w:cs="Times New Roman"/>
        </w:rPr>
        <w:t>Mary Donnelly, ‘Changing Values and Growing Expectations: The Evolution of Capacity Law (2017</w:t>
      </w:r>
      <w:r>
        <w:rPr>
          <w:rFonts w:ascii="Times New Roman" w:hAnsi="Times New Roman" w:cs="Times New Roman"/>
        </w:rPr>
        <w:t xml:space="preserve">) 70 </w:t>
      </w:r>
      <w:r w:rsidRPr="005F22AB">
        <w:rPr>
          <w:rFonts w:ascii="Times New Roman" w:hAnsi="Times New Roman" w:cs="Times New Roman"/>
          <w:i/>
        </w:rPr>
        <w:t>Current Legal Problems</w:t>
      </w:r>
      <w:r>
        <w:rPr>
          <w:rFonts w:ascii="Times New Roman" w:hAnsi="Times New Roman" w:cs="Times New Roman"/>
        </w:rPr>
        <w:t xml:space="preserve"> 305; </w:t>
      </w:r>
      <w:proofErr w:type="spellStart"/>
      <w:r>
        <w:rPr>
          <w:rFonts w:ascii="Times New Roman" w:hAnsi="Times New Roman" w:cs="Times New Roman"/>
        </w:rPr>
        <w:t>Amel</w:t>
      </w:r>
      <w:proofErr w:type="spellEnd"/>
      <w:r>
        <w:rPr>
          <w:rFonts w:ascii="Times New Roman" w:hAnsi="Times New Roman" w:cs="Times New Roman"/>
        </w:rPr>
        <w:t xml:space="preserve"> </w:t>
      </w:r>
      <w:proofErr w:type="spellStart"/>
      <w:r>
        <w:rPr>
          <w:rFonts w:ascii="Times New Roman" w:hAnsi="Times New Roman" w:cs="Times New Roman"/>
        </w:rPr>
        <w:t>Alghrani</w:t>
      </w:r>
      <w:proofErr w:type="spellEnd"/>
      <w:r>
        <w:rPr>
          <w:rFonts w:ascii="Times New Roman" w:hAnsi="Times New Roman" w:cs="Times New Roman"/>
        </w:rPr>
        <w:t xml:space="preserve"> </w:t>
      </w:r>
      <w:r w:rsidRPr="00A718AC">
        <w:rPr>
          <w:rFonts w:ascii="Times New Roman" w:hAnsi="Times New Roman" w:cs="Times New Roman"/>
          <w:i/>
        </w:rPr>
        <w:t>et al.</w:t>
      </w:r>
      <w:r>
        <w:rPr>
          <w:rFonts w:ascii="Times New Roman" w:hAnsi="Times New Roman" w:cs="Times New Roman"/>
        </w:rPr>
        <w:t>, ‘</w:t>
      </w:r>
      <w:r w:rsidRPr="00A718AC">
        <w:rPr>
          <w:rFonts w:ascii="Times New Roman" w:hAnsi="Times New Roman" w:cs="Times New Roman"/>
        </w:rPr>
        <w:t>The Mental Capacity Act 2005—Ten Years On</w:t>
      </w:r>
      <w:r>
        <w:rPr>
          <w:rFonts w:ascii="Times New Roman" w:hAnsi="Times New Roman" w:cs="Times New Roman"/>
        </w:rPr>
        <w:t xml:space="preserve">’ (2016) 3 </w:t>
      </w:r>
      <w:r w:rsidRPr="00A718AC">
        <w:rPr>
          <w:rFonts w:ascii="Times New Roman" w:hAnsi="Times New Roman" w:cs="Times New Roman"/>
          <w:i/>
        </w:rPr>
        <w:t>Medical Law Review</w:t>
      </w:r>
      <w:r>
        <w:rPr>
          <w:rFonts w:ascii="Times New Roman" w:hAnsi="Times New Roman" w:cs="Times New Roman"/>
        </w:rPr>
        <w:t xml:space="preserve"> 311.</w:t>
      </w:r>
    </w:p>
    <w:p w14:paraId="017DE8F4" w14:textId="77777777" w:rsidR="00A22CB2" w:rsidRPr="00444AC5" w:rsidRDefault="00A22CB2" w:rsidP="00444AC5">
      <w:pPr>
        <w:pStyle w:val="FootnoteText"/>
        <w:jc w:val="both"/>
        <w:rPr>
          <w:rFonts w:ascii="Times New Roman" w:hAnsi="Times New Roman" w:cs="Times New Roman"/>
        </w:rPr>
      </w:pPr>
    </w:p>
  </w:footnote>
  <w:footnote w:id="2">
    <w:p w14:paraId="565E8F90" w14:textId="65613495" w:rsidR="00A22CB2" w:rsidRPr="00A718AC" w:rsidRDefault="00A22CB2" w:rsidP="00A718AC">
      <w:pPr>
        <w:pStyle w:val="FootnoteText"/>
        <w:jc w:val="both"/>
        <w:rPr>
          <w:rFonts w:ascii="Times New Roman" w:hAnsi="Times New Roman" w:cs="Times New Roman"/>
        </w:rPr>
      </w:pPr>
      <w:r w:rsidRPr="00444AC5">
        <w:rPr>
          <w:rStyle w:val="FootnoteReference"/>
          <w:rFonts w:ascii="Times New Roman" w:hAnsi="Times New Roman" w:cs="Times New Roman"/>
        </w:rPr>
        <w:footnoteRef/>
      </w:r>
      <w:r w:rsidRPr="00444AC5">
        <w:rPr>
          <w:rFonts w:ascii="Times New Roman" w:hAnsi="Times New Roman" w:cs="Times New Roman"/>
        </w:rPr>
        <w:t xml:space="preserve"> </w:t>
      </w:r>
      <w:r>
        <w:rPr>
          <w:rFonts w:ascii="Times New Roman" w:hAnsi="Times New Roman" w:cs="Times New Roman"/>
        </w:rPr>
        <w:t>Mary Donnelly, ‘</w:t>
      </w:r>
      <w:r w:rsidRPr="00A718AC">
        <w:rPr>
          <w:rFonts w:ascii="Times New Roman" w:hAnsi="Times New Roman" w:cs="Times New Roman"/>
        </w:rPr>
        <w:t>Best Interests in the Mental Capacity Act: Time to say Goodbye?</w:t>
      </w:r>
      <w:r>
        <w:rPr>
          <w:rFonts w:ascii="Times New Roman" w:hAnsi="Times New Roman" w:cs="Times New Roman"/>
        </w:rPr>
        <w:t xml:space="preserve">’ (2016) 24 </w:t>
      </w:r>
      <w:r w:rsidRPr="00A718AC">
        <w:rPr>
          <w:rFonts w:ascii="Times New Roman" w:hAnsi="Times New Roman" w:cs="Times New Roman"/>
          <w:i/>
        </w:rPr>
        <w:t>Medical Law Review</w:t>
      </w:r>
      <w:r>
        <w:rPr>
          <w:rFonts w:ascii="Times New Roman" w:hAnsi="Times New Roman" w:cs="Times New Roman"/>
        </w:rPr>
        <w:t xml:space="preserve"> 318; Mary Donnelly, ‘Determining Best Interests Under the Mental Capacity Act 2005’ (2011) 19 </w:t>
      </w:r>
      <w:r w:rsidRPr="00A718AC">
        <w:rPr>
          <w:rFonts w:ascii="Times New Roman" w:hAnsi="Times New Roman" w:cs="Times New Roman"/>
          <w:i/>
        </w:rPr>
        <w:t>Medical Law Review</w:t>
      </w:r>
      <w:r>
        <w:rPr>
          <w:rFonts w:ascii="Times New Roman" w:hAnsi="Times New Roman" w:cs="Times New Roman"/>
        </w:rPr>
        <w:t xml:space="preserve"> 304. </w:t>
      </w:r>
    </w:p>
    <w:p w14:paraId="04B666A0" w14:textId="77777777" w:rsidR="00A22CB2" w:rsidRPr="00444AC5" w:rsidRDefault="00A22CB2" w:rsidP="00444AC5">
      <w:pPr>
        <w:pStyle w:val="FootnoteText"/>
        <w:jc w:val="both"/>
        <w:rPr>
          <w:rFonts w:ascii="Times New Roman" w:hAnsi="Times New Roman" w:cs="Times New Roman"/>
        </w:rPr>
      </w:pPr>
    </w:p>
  </w:footnote>
  <w:footnote w:id="3">
    <w:p w14:paraId="648BC8DC" w14:textId="2D9C87C1" w:rsidR="00A22CB2" w:rsidRPr="00A718AC" w:rsidRDefault="00A22CB2" w:rsidP="00A718AC">
      <w:pPr>
        <w:pStyle w:val="FootnoteText"/>
        <w:jc w:val="both"/>
        <w:rPr>
          <w:rFonts w:ascii="Times New Roman" w:hAnsi="Times New Roman" w:cs="Times New Roman"/>
        </w:rPr>
      </w:pPr>
      <w:r w:rsidRPr="00444AC5">
        <w:rPr>
          <w:rStyle w:val="FootnoteReference"/>
          <w:rFonts w:ascii="Times New Roman" w:hAnsi="Times New Roman" w:cs="Times New Roman"/>
        </w:rPr>
        <w:footnoteRef/>
      </w:r>
      <w:r>
        <w:rPr>
          <w:rFonts w:ascii="Times New Roman" w:hAnsi="Times New Roman" w:cs="Times New Roman"/>
        </w:rPr>
        <w:t xml:space="preserve"> Paul </w:t>
      </w:r>
      <w:proofErr w:type="spellStart"/>
      <w:r>
        <w:rPr>
          <w:rFonts w:ascii="Times New Roman" w:hAnsi="Times New Roman" w:cs="Times New Roman"/>
        </w:rPr>
        <w:t>Skowron</w:t>
      </w:r>
      <w:proofErr w:type="spellEnd"/>
      <w:r>
        <w:rPr>
          <w:rFonts w:ascii="Times New Roman" w:hAnsi="Times New Roman" w:cs="Times New Roman"/>
        </w:rPr>
        <w:t>, ‘</w:t>
      </w:r>
      <w:r w:rsidRPr="00A718AC">
        <w:rPr>
          <w:rFonts w:ascii="Times New Roman" w:hAnsi="Times New Roman" w:cs="Times New Roman"/>
        </w:rPr>
        <w:t>The Relationship between Autonomy and Adult Mental Capacity in the Law of England and Wales</w:t>
      </w:r>
      <w:r>
        <w:rPr>
          <w:rFonts w:ascii="Times New Roman" w:hAnsi="Times New Roman" w:cs="Times New Roman"/>
        </w:rPr>
        <w:t xml:space="preserve">’ (2018) </w:t>
      </w:r>
      <w:r w:rsidRPr="00A718AC">
        <w:rPr>
          <w:rFonts w:ascii="Times New Roman" w:hAnsi="Times New Roman" w:cs="Times New Roman"/>
          <w:i/>
        </w:rPr>
        <w:t>Medical Law Review</w:t>
      </w:r>
      <w:r>
        <w:rPr>
          <w:rFonts w:ascii="Times New Roman" w:hAnsi="Times New Roman" w:cs="Times New Roman"/>
        </w:rPr>
        <w:t xml:space="preserve">: </w:t>
      </w:r>
      <w:proofErr w:type="spellStart"/>
      <w:r>
        <w:rPr>
          <w:rFonts w:ascii="Times New Roman" w:hAnsi="Times New Roman" w:cs="Times New Roman"/>
        </w:rPr>
        <w:t>doi</w:t>
      </w:r>
      <w:proofErr w:type="spellEnd"/>
      <w:r>
        <w:rPr>
          <w:rFonts w:ascii="Times New Roman" w:hAnsi="Times New Roman" w:cs="Times New Roman"/>
        </w:rPr>
        <w:t xml:space="preserve">: </w:t>
      </w:r>
      <w:hyperlink r:id="rId1" w:history="1">
        <w:r w:rsidRPr="00A93C98">
          <w:rPr>
            <w:rStyle w:val="Hyperlink"/>
            <w:rFonts w:ascii="Times New Roman" w:hAnsi="Times New Roman" w:cs="Times New Roman"/>
          </w:rPr>
          <w:t>https://doi.org/10.1093/medlaw/fwy016</w:t>
        </w:r>
      </w:hyperlink>
      <w:r>
        <w:rPr>
          <w:rFonts w:ascii="Times New Roman" w:hAnsi="Times New Roman" w:cs="Times New Roman"/>
        </w:rPr>
        <w:t xml:space="preserve">; </w:t>
      </w:r>
      <w:r w:rsidRPr="00A718AC">
        <w:rPr>
          <w:rFonts w:ascii="Times New Roman" w:hAnsi="Times New Roman" w:cs="Times New Roman"/>
        </w:rPr>
        <w:t xml:space="preserve">Beverley A Clough, ‘New Legal Landscapes: (Re) Constructing the Boundaries of Mental Capacity Law’ (2018) 26 </w:t>
      </w:r>
      <w:r w:rsidRPr="00A718AC">
        <w:rPr>
          <w:rFonts w:ascii="Times New Roman" w:hAnsi="Times New Roman" w:cs="Times New Roman"/>
          <w:i/>
        </w:rPr>
        <w:t>Medical Law Review</w:t>
      </w:r>
      <w:r w:rsidRPr="00A718AC">
        <w:rPr>
          <w:rFonts w:ascii="Times New Roman" w:hAnsi="Times New Roman" w:cs="Times New Roman"/>
        </w:rPr>
        <w:t xml:space="preserve"> 246;</w:t>
      </w:r>
      <w:r>
        <w:rPr>
          <w:rFonts w:ascii="Times New Roman" w:hAnsi="Times New Roman" w:cs="Times New Roman"/>
        </w:rPr>
        <w:t xml:space="preserve"> Camilla Kong, </w:t>
      </w:r>
      <w:r w:rsidRPr="00A718AC">
        <w:rPr>
          <w:rFonts w:ascii="Times New Roman" w:hAnsi="Times New Roman" w:cs="Times New Roman"/>
          <w:i/>
        </w:rPr>
        <w:t>Mental Capacity in Relationship: Decision-Making, Dialogue and Autonomy</w:t>
      </w:r>
      <w:r>
        <w:rPr>
          <w:rFonts w:ascii="Times New Roman" w:hAnsi="Times New Roman" w:cs="Times New Roman"/>
        </w:rPr>
        <w:t xml:space="preserve"> (CUP 2017); </w:t>
      </w:r>
      <w:r w:rsidRPr="00A718AC">
        <w:rPr>
          <w:rFonts w:ascii="Times New Roman" w:hAnsi="Times New Roman" w:cs="Times New Roman"/>
        </w:rPr>
        <w:t>B. Clough</w:t>
      </w:r>
      <w:r>
        <w:rPr>
          <w:rFonts w:ascii="Times New Roman" w:hAnsi="Times New Roman" w:cs="Times New Roman"/>
        </w:rPr>
        <w:t xml:space="preserve">, ‘“People Like That”: Realising the Social Model in Mental Capacity Jurisprudence’ (2015) 23 </w:t>
      </w:r>
      <w:r w:rsidRPr="00A718AC">
        <w:rPr>
          <w:rFonts w:ascii="Times New Roman" w:hAnsi="Times New Roman" w:cs="Times New Roman"/>
          <w:i/>
        </w:rPr>
        <w:t>Medical Law Review</w:t>
      </w:r>
      <w:r>
        <w:rPr>
          <w:rFonts w:ascii="Times New Roman" w:hAnsi="Times New Roman" w:cs="Times New Roman"/>
        </w:rPr>
        <w:t xml:space="preserve"> 53. </w:t>
      </w:r>
    </w:p>
    <w:p w14:paraId="61A59DBA" w14:textId="77777777" w:rsidR="00A22CB2" w:rsidRPr="00444AC5" w:rsidRDefault="00A22CB2" w:rsidP="00444AC5">
      <w:pPr>
        <w:pStyle w:val="FootnoteText"/>
        <w:jc w:val="both"/>
        <w:rPr>
          <w:rFonts w:ascii="Times New Roman" w:hAnsi="Times New Roman" w:cs="Times New Roman"/>
        </w:rPr>
      </w:pPr>
    </w:p>
  </w:footnote>
  <w:footnote w:id="4">
    <w:p w14:paraId="29A0C170" w14:textId="06E2DFDC" w:rsidR="00A22CB2" w:rsidRPr="00A718AC" w:rsidRDefault="00A22CB2" w:rsidP="00A718AC">
      <w:pPr>
        <w:pStyle w:val="FootnoteText"/>
        <w:jc w:val="both"/>
        <w:rPr>
          <w:rFonts w:ascii="Times New Roman" w:hAnsi="Times New Roman" w:cs="Times New Roman"/>
        </w:rPr>
      </w:pPr>
      <w:r w:rsidRPr="00444AC5">
        <w:rPr>
          <w:rStyle w:val="FootnoteReference"/>
          <w:rFonts w:ascii="Times New Roman" w:hAnsi="Times New Roman" w:cs="Times New Roman"/>
        </w:rPr>
        <w:footnoteRef/>
      </w:r>
      <w:r w:rsidRPr="00444AC5">
        <w:rPr>
          <w:rFonts w:ascii="Times New Roman" w:hAnsi="Times New Roman" w:cs="Times New Roman"/>
        </w:rPr>
        <w:t xml:space="preserve"> </w:t>
      </w:r>
      <w:r>
        <w:rPr>
          <w:rFonts w:ascii="Times New Roman" w:hAnsi="Times New Roman" w:cs="Times New Roman"/>
        </w:rPr>
        <w:t xml:space="preserve">Helen J </w:t>
      </w:r>
      <w:proofErr w:type="spellStart"/>
      <w:r w:rsidRPr="00A718AC">
        <w:rPr>
          <w:rFonts w:ascii="Times New Roman" w:hAnsi="Times New Roman" w:cs="Times New Roman"/>
        </w:rPr>
        <w:t>Taylor</w:t>
      </w:r>
      <w:r>
        <w:rPr>
          <w:rFonts w:ascii="Times New Roman" w:hAnsi="Times New Roman" w:cs="Times New Roman"/>
        </w:rPr>
        <w:t>,’“What</w:t>
      </w:r>
      <w:proofErr w:type="spellEnd"/>
      <w:r>
        <w:rPr>
          <w:rFonts w:ascii="Times New Roman" w:hAnsi="Times New Roman" w:cs="Times New Roman"/>
        </w:rPr>
        <w:t xml:space="preserve"> Are “Best Interests”? A Critical Evaluation of “Best Interests” Decision-Making in Clinical Practice’ (2016) 24 </w:t>
      </w:r>
      <w:r w:rsidRPr="00437678">
        <w:rPr>
          <w:rFonts w:ascii="Times New Roman" w:hAnsi="Times New Roman" w:cs="Times New Roman"/>
          <w:i/>
        </w:rPr>
        <w:t>Medical Law Review</w:t>
      </w:r>
      <w:r>
        <w:rPr>
          <w:rFonts w:ascii="Times New Roman" w:hAnsi="Times New Roman" w:cs="Times New Roman"/>
        </w:rPr>
        <w:t xml:space="preserve"> 176. </w:t>
      </w:r>
    </w:p>
    <w:p w14:paraId="1729A980" w14:textId="77777777" w:rsidR="00A22CB2" w:rsidRPr="00444AC5" w:rsidRDefault="00A22CB2" w:rsidP="00444AC5">
      <w:pPr>
        <w:pStyle w:val="FootnoteText"/>
        <w:jc w:val="both"/>
        <w:rPr>
          <w:rFonts w:ascii="Times New Roman" w:hAnsi="Times New Roman" w:cs="Times New Roman"/>
        </w:rPr>
      </w:pPr>
    </w:p>
  </w:footnote>
  <w:footnote w:id="5">
    <w:p w14:paraId="345855BD" w14:textId="1814E6F9" w:rsidR="00A22CB2" w:rsidRPr="00444AC5" w:rsidRDefault="00A22CB2" w:rsidP="00444AC5">
      <w:pPr>
        <w:pStyle w:val="FootnoteText"/>
        <w:jc w:val="both"/>
        <w:rPr>
          <w:rFonts w:ascii="Times New Roman" w:hAnsi="Times New Roman" w:cs="Times New Roman"/>
        </w:rPr>
      </w:pPr>
      <w:r w:rsidRPr="00444AC5">
        <w:rPr>
          <w:rStyle w:val="FootnoteReference"/>
          <w:rFonts w:ascii="Times New Roman" w:hAnsi="Times New Roman" w:cs="Times New Roman"/>
        </w:rPr>
        <w:footnoteRef/>
      </w:r>
      <w:r w:rsidRPr="00444AC5">
        <w:rPr>
          <w:rFonts w:ascii="Times New Roman" w:hAnsi="Times New Roman" w:cs="Times New Roman"/>
        </w:rPr>
        <w:t xml:space="preserve"> </w:t>
      </w:r>
      <w:r>
        <w:rPr>
          <w:rFonts w:ascii="Times New Roman" w:hAnsi="Times New Roman" w:cs="Times New Roman"/>
        </w:rPr>
        <w:t xml:space="preserve">Gillian </w:t>
      </w:r>
      <w:proofErr w:type="spellStart"/>
      <w:r>
        <w:rPr>
          <w:rFonts w:ascii="Times New Roman" w:hAnsi="Times New Roman" w:cs="Times New Roman"/>
        </w:rPr>
        <w:t>Loomes</w:t>
      </w:r>
      <w:proofErr w:type="spellEnd"/>
      <w:r>
        <w:rPr>
          <w:rFonts w:ascii="Times New Roman" w:hAnsi="Times New Roman" w:cs="Times New Roman"/>
        </w:rPr>
        <w:t xml:space="preserve">, ‘Researching About Us Without Us: Exploring Research Participation and the Politics of Disability Rights in the Context of the Mental Capacity Act 2005’ (2018) 44 </w:t>
      </w:r>
      <w:r w:rsidRPr="005F22AB">
        <w:rPr>
          <w:rFonts w:ascii="Times New Roman" w:hAnsi="Times New Roman" w:cs="Times New Roman"/>
          <w:i/>
        </w:rPr>
        <w:t>Journal of Medical Ethics</w:t>
      </w:r>
      <w:r>
        <w:rPr>
          <w:rFonts w:ascii="Times New Roman" w:hAnsi="Times New Roman" w:cs="Times New Roman"/>
        </w:rPr>
        <w:t xml:space="preserve"> 424; JV McHale, ‘Research, Ethics Review and Mental Capacity: Where Now After the Mental Capacity Act 2005?’ (2009) 5 </w:t>
      </w:r>
      <w:r w:rsidRPr="00A718AC">
        <w:rPr>
          <w:rFonts w:ascii="Times New Roman" w:hAnsi="Times New Roman" w:cs="Times New Roman"/>
          <w:i/>
        </w:rPr>
        <w:t>Research Ethics Review</w:t>
      </w:r>
      <w:r>
        <w:rPr>
          <w:rFonts w:ascii="Times New Roman" w:hAnsi="Times New Roman" w:cs="Times New Roman"/>
        </w:rPr>
        <w:t xml:space="preserve"> 65. </w:t>
      </w:r>
    </w:p>
    <w:p w14:paraId="3BDDFD04" w14:textId="77777777" w:rsidR="00A22CB2" w:rsidRPr="00444AC5" w:rsidRDefault="00A22CB2" w:rsidP="00444AC5">
      <w:pPr>
        <w:pStyle w:val="FootnoteText"/>
        <w:jc w:val="both"/>
        <w:rPr>
          <w:rFonts w:ascii="Times New Roman" w:hAnsi="Times New Roman" w:cs="Times New Roman"/>
        </w:rPr>
      </w:pPr>
    </w:p>
  </w:footnote>
  <w:footnote w:id="6">
    <w:p w14:paraId="4E40559F" w14:textId="66063366" w:rsidR="00A22CB2" w:rsidRPr="00E863B2" w:rsidRDefault="00A22CB2" w:rsidP="00444AC5">
      <w:pPr>
        <w:pStyle w:val="FootnoteText"/>
        <w:jc w:val="both"/>
        <w:rPr>
          <w:rFonts w:ascii="Times New Roman" w:hAnsi="Times New Roman" w:cs="Times New Roman"/>
          <w:color w:val="FF0000"/>
        </w:rPr>
      </w:pPr>
      <w:r w:rsidRPr="00444AC5">
        <w:rPr>
          <w:rStyle w:val="FootnoteReference"/>
          <w:rFonts w:ascii="Times New Roman" w:hAnsi="Times New Roman" w:cs="Times New Roman"/>
        </w:rPr>
        <w:footnoteRef/>
      </w:r>
      <w:r>
        <w:rPr>
          <w:rFonts w:ascii="Times New Roman" w:hAnsi="Times New Roman" w:cs="Times New Roman"/>
        </w:rPr>
        <w:t xml:space="preserve"> Mental Capacity Act 2005, s 30 – 33. </w:t>
      </w:r>
    </w:p>
    <w:p w14:paraId="1521A66E" w14:textId="77777777" w:rsidR="00A22CB2" w:rsidRPr="00444AC5" w:rsidRDefault="00A22CB2" w:rsidP="00444AC5">
      <w:pPr>
        <w:pStyle w:val="FootnoteText"/>
        <w:jc w:val="both"/>
        <w:rPr>
          <w:rFonts w:ascii="Times New Roman" w:hAnsi="Times New Roman" w:cs="Times New Roman"/>
        </w:rPr>
      </w:pPr>
      <w:r w:rsidRPr="00444AC5">
        <w:rPr>
          <w:rFonts w:ascii="Times New Roman" w:hAnsi="Times New Roman" w:cs="Times New Roman"/>
        </w:rPr>
        <w:t xml:space="preserve"> </w:t>
      </w:r>
    </w:p>
  </w:footnote>
  <w:footnote w:id="7">
    <w:p w14:paraId="46FA927E" w14:textId="22516802" w:rsidR="00A22CB2" w:rsidRPr="00A718AC" w:rsidRDefault="00A22CB2" w:rsidP="00A718AC">
      <w:pPr>
        <w:pStyle w:val="FootnoteText"/>
        <w:jc w:val="both"/>
        <w:rPr>
          <w:rFonts w:ascii="Times New Roman" w:hAnsi="Times New Roman" w:cs="Times New Roman"/>
        </w:rPr>
      </w:pPr>
      <w:r w:rsidRPr="00444AC5">
        <w:rPr>
          <w:rStyle w:val="FootnoteReference"/>
          <w:rFonts w:ascii="Times New Roman" w:hAnsi="Times New Roman" w:cs="Times New Roman"/>
        </w:rPr>
        <w:footnoteRef/>
      </w:r>
      <w:r w:rsidRPr="00444AC5">
        <w:rPr>
          <w:rFonts w:ascii="Times New Roman" w:hAnsi="Times New Roman" w:cs="Times New Roman"/>
        </w:rPr>
        <w:t xml:space="preserve"> </w:t>
      </w:r>
      <w:r w:rsidRPr="00A718AC">
        <w:rPr>
          <w:rFonts w:ascii="Times New Roman" w:hAnsi="Times New Roman" w:cs="Times New Roman"/>
        </w:rPr>
        <w:t>Ment</w:t>
      </w:r>
      <w:r>
        <w:rPr>
          <w:rFonts w:ascii="Times New Roman" w:hAnsi="Times New Roman" w:cs="Times New Roman"/>
        </w:rPr>
        <w:t xml:space="preserve">al Capacity Act 2005, s 31 (1); Mental Capacity Act 2005 (Appropriate Body) (England) Regulations 2006. </w:t>
      </w:r>
    </w:p>
    <w:p w14:paraId="15D2BF06" w14:textId="77777777" w:rsidR="00A22CB2" w:rsidRPr="00444AC5" w:rsidRDefault="00A22CB2" w:rsidP="00444AC5">
      <w:pPr>
        <w:pStyle w:val="FootnoteText"/>
        <w:jc w:val="both"/>
        <w:rPr>
          <w:rFonts w:ascii="Times New Roman" w:hAnsi="Times New Roman" w:cs="Times New Roman"/>
        </w:rPr>
      </w:pPr>
    </w:p>
  </w:footnote>
  <w:footnote w:id="8">
    <w:p w14:paraId="50F6F516" w14:textId="2B38E151" w:rsidR="00A22CB2" w:rsidRPr="00444AC5" w:rsidRDefault="00A22CB2" w:rsidP="00444AC5">
      <w:pPr>
        <w:pStyle w:val="FootnoteText"/>
        <w:jc w:val="both"/>
        <w:rPr>
          <w:rFonts w:ascii="Times New Roman" w:hAnsi="Times New Roman" w:cs="Times New Roman"/>
        </w:rPr>
      </w:pPr>
      <w:r w:rsidRPr="00444AC5">
        <w:rPr>
          <w:rStyle w:val="FootnoteReference"/>
          <w:rFonts w:ascii="Times New Roman" w:hAnsi="Times New Roman" w:cs="Times New Roman"/>
        </w:rPr>
        <w:footnoteRef/>
      </w:r>
      <w:r w:rsidRPr="00444AC5">
        <w:rPr>
          <w:rFonts w:ascii="Times New Roman" w:hAnsi="Times New Roman" w:cs="Times New Roman"/>
        </w:rPr>
        <w:t xml:space="preserve"> </w:t>
      </w:r>
      <w:r w:rsidRPr="00B25A14">
        <w:rPr>
          <w:rFonts w:ascii="Times New Roman" w:hAnsi="Times New Roman" w:cs="Times New Roman"/>
        </w:rPr>
        <w:t>Menta</w:t>
      </w:r>
      <w:r>
        <w:rPr>
          <w:rFonts w:ascii="Times New Roman" w:hAnsi="Times New Roman" w:cs="Times New Roman"/>
        </w:rPr>
        <w:t>l Capacity Act 2005, s 32 (1) – (5).</w:t>
      </w:r>
    </w:p>
    <w:p w14:paraId="2D2537C4" w14:textId="77777777" w:rsidR="00A22CB2" w:rsidRPr="00444AC5" w:rsidRDefault="00A22CB2" w:rsidP="00444AC5">
      <w:pPr>
        <w:pStyle w:val="FootnoteText"/>
        <w:jc w:val="both"/>
        <w:rPr>
          <w:rFonts w:ascii="Times New Roman" w:hAnsi="Times New Roman" w:cs="Times New Roman"/>
        </w:rPr>
      </w:pPr>
    </w:p>
  </w:footnote>
  <w:footnote w:id="9">
    <w:p w14:paraId="5B6F66A8" w14:textId="755F1995" w:rsidR="00A22CB2" w:rsidRPr="00D45180" w:rsidRDefault="00A22CB2" w:rsidP="006F095E">
      <w:pPr>
        <w:pStyle w:val="FootnoteText"/>
        <w:jc w:val="both"/>
        <w:rPr>
          <w:rFonts w:ascii="Times New Roman" w:hAnsi="Times New Roman" w:cs="Times New Roman"/>
          <w:color w:val="FF0000"/>
        </w:rPr>
      </w:pPr>
      <w:r w:rsidRPr="004B36F6">
        <w:rPr>
          <w:rStyle w:val="FootnoteReference"/>
          <w:rFonts w:ascii="Times New Roman" w:hAnsi="Times New Roman" w:cs="Times New Roman"/>
        </w:rPr>
        <w:footnoteRef/>
      </w:r>
      <w:r w:rsidRPr="004B36F6">
        <w:rPr>
          <w:rFonts w:ascii="Times New Roman" w:hAnsi="Times New Roman" w:cs="Times New Roman"/>
        </w:rPr>
        <w:t xml:space="preserve"> </w:t>
      </w:r>
      <w:r>
        <w:rPr>
          <w:rFonts w:ascii="Times New Roman" w:hAnsi="Times New Roman" w:cs="Times New Roman"/>
        </w:rPr>
        <w:t xml:space="preserve">Mental Capacity Act 2005, s 30 (2) (a) – (b). </w:t>
      </w:r>
      <w:r>
        <w:rPr>
          <w:rFonts w:ascii="Times New Roman" w:hAnsi="Times New Roman" w:cs="Times New Roman"/>
          <w:color w:val="FF0000"/>
        </w:rPr>
        <w:t>We explore this definition in more detail below.</w:t>
      </w:r>
    </w:p>
    <w:p w14:paraId="5BC21EFC" w14:textId="77777777" w:rsidR="00A22CB2" w:rsidRPr="004B36F6" w:rsidRDefault="00A22CB2" w:rsidP="006F095E">
      <w:pPr>
        <w:pStyle w:val="FootnoteText"/>
        <w:jc w:val="both"/>
        <w:rPr>
          <w:rFonts w:ascii="Times New Roman" w:hAnsi="Times New Roman" w:cs="Times New Roman"/>
        </w:rPr>
      </w:pPr>
    </w:p>
  </w:footnote>
  <w:footnote w:id="10">
    <w:p w14:paraId="5064EC35" w14:textId="7D5DAA15" w:rsidR="00A22CB2" w:rsidRPr="004B36F6" w:rsidRDefault="00A22CB2" w:rsidP="004B36F6">
      <w:pPr>
        <w:pStyle w:val="FootnoteText"/>
        <w:jc w:val="both"/>
        <w:rPr>
          <w:rFonts w:ascii="Times New Roman" w:hAnsi="Times New Roman" w:cs="Times New Roman"/>
        </w:rPr>
      </w:pPr>
      <w:r w:rsidRPr="004B36F6">
        <w:rPr>
          <w:rStyle w:val="FootnoteReference"/>
          <w:rFonts w:ascii="Times New Roman" w:hAnsi="Times New Roman" w:cs="Times New Roman"/>
        </w:rPr>
        <w:footnoteRef/>
      </w:r>
      <w:r w:rsidRPr="004B36F6">
        <w:rPr>
          <w:rFonts w:ascii="Times New Roman" w:hAnsi="Times New Roman" w:cs="Times New Roman"/>
        </w:rPr>
        <w:t xml:space="preserve"> Mental Ca</w:t>
      </w:r>
      <w:r>
        <w:rPr>
          <w:rFonts w:ascii="Times New Roman" w:hAnsi="Times New Roman" w:cs="Times New Roman"/>
        </w:rPr>
        <w:t>pacity Act 2005, s 31 (2) (a) – (b).</w:t>
      </w:r>
    </w:p>
    <w:p w14:paraId="16DD6F5E" w14:textId="77777777" w:rsidR="00A22CB2" w:rsidRPr="004B36F6" w:rsidRDefault="00A22CB2" w:rsidP="004B36F6">
      <w:pPr>
        <w:pStyle w:val="FootnoteText"/>
        <w:jc w:val="both"/>
        <w:rPr>
          <w:rFonts w:ascii="Times New Roman" w:hAnsi="Times New Roman" w:cs="Times New Roman"/>
        </w:rPr>
      </w:pPr>
    </w:p>
  </w:footnote>
  <w:footnote w:id="11">
    <w:p w14:paraId="328A1B57" w14:textId="40DD2F22" w:rsidR="00A22CB2" w:rsidRPr="004B36F6" w:rsidRDefault="00A22CB2" w:rsidP="004B36F6">
      <w:pPr>
        <w:pStyle w:val="FootnoteText"/>
        <w:jc w:val="both"/>
        <w:rPr>
          <w:rFonts w:ascii="Times New Roman" w:hAnsi="Times New Roman" w:cs="Times New Roman"/>
        </w:rPr>
      </w:pPr>
      <w:r w:rsidRPr="004B36F6">
        <w:rPr>
          <w:rStyle w:val="FootnoteReference"/>
          <w:rFonts w:ascii="Times New Roman" w:hAnsi="Times New Roman" w:cs="Times New Roman"/>
        </w:rPr>
        <w:footnoteRef/>
      </w:r>
      <w:r w:rsidRPr="004B36F6">
        <w:rPr>
          <w:rFonts w:ascii="Times New Roman" w:hAnsi="Times New Roman" w:cs="Times New Roman"/>
        </w:rPr>
        <w:t xml:space="preserve"> Mental Ca</w:t>
      </w:r>
      <w:r>
        <w:rPr>
          <w:rFonts w:ascii="Times New Roman" w:hAnsi="Times New Roman" w:cs="Times New Roman"/>
        </w:rPr>
        <w:t>pacity Act 2005, s 31 (4).</w:t>
      </w:r>
    </w:p>
    <w:p w14:paraId="0C3B08F8" w14:textId="77777777" w:rsidR="00A22CB2" w:rsidRDefault="00A22CB2">
      <w:pPr>
        <w:pStyle w:val="FootnoteText"/>
      </w:pPr>
    </w:p>
  </w:footnote>
  <w:footnote w:id="12">
    <w:p w14:paraId="07D92DD4" w14:textId="30D24734" w:rsidR="00A22CB2" w:rsidRPr="00E863B2" w:rsidRDefault="00A22CB2" w:rsidP="00F04331">
      <w:pPr>
        <w:pStyle w:val="FootnoteText"/>
        <w:jc w:val="both"/>
        <w:rPr>
          <w:rFonts w:ascii="Times New Roman" w:hAnsi="Times New Roman" w:cs="Times New Roman"/>
          <w:color w:val="FF0000"/>
        </w:rPr>
      </w:pPr>
      <w:r w:rsidRPr="00F04331">
        <w:rPr>
          <w:rStyle w:val="FootnoteReference"/>
          <w:rFonts w:ascii="Times New Roman" w:hAnsi="Times New Roman" w:cs="Times New Roman"/>
        </w:rPr>
        <w:footnoteRef/>
      </w:r>
      <w:r w:rsidRPr="00F04331">
        <w:rPr>
          <w:rFonts w:ascii="Times New Roman" w:hAnsi="Times New Roman" w:cs="Times New Roman"/>
        </w:rPr>
        <w:t xml:space="preserve"> </w:t>
      </w:r>
      <w:r>
        <w:rPr>
          <w:rFonts w:ascii="Times New Roman" w:hAnsi="Times New Roman" w:cs="Times New Roman"/>
        </w:rPr>
        <w:t xml:space="preserve">Peter Bartlett, </w:t>
      </w:r>
      <w:r w:rsidRPr="00A718AC">
        <w:rPr>
          <w:rFonts w:ascii="Times New Roman" w:hAnsi="Times New Roman" w:cs="Times New Roman"/>
          <w:i/>
        </w:rPr>
        <w:t>Blackstone’s Guide to the Mental Capacity Act 2005</w:t>
      </w:r>
      <w:r>
        <w:rPr>
          <w:rFonts w:ascii="Times New Roman" w:hAnsi="Times New Roman" w:cs="Times New Roman"/>
        </w:rPr>
        <w:t xml:space="preserve"> (2</w:t>
      </w:r>
      <w:r w:rsidRPr="00A718AC">
        <w:rPr>
          <w:rFonts w:ascii="Times New Roman" w:hAnsi="Times New Roman" w:cs="Times New Roman"/>
          <w:vertAlign w:val="superscript"/>
        </w:rPr>
        <w:t>nd</w:t>
      </w:r>
      <w:r>
        <w:rPr>
          <w:rFonts w:ascii="Times New Roman" w:hAnsi="Times New Roman" w:cs="Times New Roman"/>
        </w:rPr>
        <w:t xml:space="preserve"> </w:t>
      </w:r>
      <w:proofErr w:type="spellStart"/>
      <w:r>
        <w:rPr>
          <w:rFonts w:ascii="Times New Roman" w:hAnsi="Times New Roman" w:cs="Times New Roman"/>
        </w:rPr>
        <w:t>edn</w:t>
      </w:r>
      <w:proofErr w:type="spellEnd"/>
      <w:r>
        <w:rPr>
          <w:rFonts w:ascii="Times New Roman" w:hAnsi="Times New Roman" w:cs="Times New Roman"/>
        </w:rPr>
        <w:t>, OUP 2008) at 89.</w:t>
      </w:r>
    </w:p>
    <w:p w14:paraId="31BFC667" w14:textId="77777777" w:rsidR="00A22CB2" w:rsidRDefault="00A22CB2">
      <w:pPr>
        <w:pStyle w:val="FootnoteText"/>
      </w:pPr>
    </w:p>
  </w:footnote>
  <w:footnote w:id="13">
    <w:p w14:paraId="252B3396" w14:textId="2BA34DFE" w:rsidR="00A22CB2" w:rsidRPr="00444AC5" w:rsidRDefault="00A22CB2" w:rsidP="00444AC5">
      <w:pPr>
        <w:pStyle w:val="FootnoteText"/>
        <w:jc w:val="both"/>
        <w:rPr>
          <w:rFonts w:ascii="Times New Roman" w:hAnsi="Times New Roman" w:cs="Times New Roman"/>
        </w:rPr>
      </w:pPr>
      <w:r w:rsidRPr="00444AC5">
        <w:rPr>
          <w:rStyle w:val="FootnoteReference"/>
          <w:rFonts w:ascii="Times New Roman" w:hAnsi="Times New Roman" w:cs="Times New Roman"/>
        </w:rPr>
        <w:footnoteRef/>
      </w:r>
      <w:r w:rsidRPr="00444AC5">
        <w:rPr>
          <w:rFonts w:ascii="Times New Roman" w:hAnsi="Times New Roman" w:cs="Times New Roman"/>
        </w:rPr>
        <w:t xml:space="preserve"> </w:t>
      </w:r>
      <w:r w:rsidRPr="00FC233B">
        <w:rPr>
          <w:rFonts w:ascii="Times New Roman" w:hAnsi="Times New Roman" w:cs="Times New Roman"/>
        </w:rPr>
        <w:t>Mental Cap</w:t>
      </w:r>
      <w:r>
        <w:rPr>
          <w:rFonts w:ascii="Times New Roman" w:hAnsi="Times New Roman" w:cs="Times New Roman"/>
        </w:rPr>
        <w:t>acity Act 2005, s 31 (5) (a) and (b).</w:t>
      </w:r>
    </w:p>
    <w:p w14:paraId="0566D6FD" w14:textId="77777777" w:rsidR="00A22CB2" w:rsidRPr="00444AC5" w:rsidRDefault="00A22CB2" w:rsidP="00444AC5">
      <w:pPr>
        <w:pStyle w:val="FootnoteText"/>
        <w:jc w:val="both"/>
        <w:rPr>
          <w:rFonts w:ascii="Times New Roman" w:hAnsi="Times New Roman" w:cs="Times New Roman"/>
        </w:rPr>
      </w:pPr>
    </w:p>
  </w:footnote>
  <w:footnote w:id="14">
    <w:p w14:paraId="22A4CA31" w14:textId="056BBA64" w:rsidR="00A22CB2" w:rsidRPr="007C39F0" w:rsidRDefault="00A22CB2" w:rsidP="00E863B2">
      <w:pPr>
        <w:pStyle w:val="FootnoteText"/>
        <w:jc w:val="both"/>
        <w:rPr>
          <w:rFonts w:ascii="Times New Roman" w:hAnsi="Times New Roman" w:cs="Times New Roman"/>
        </w:rPr>
      </w:pPr>
      <w:r w:rsidRPr="007C39F0">
        <w:rPr>
          <w:rStyle w:val="FootnoteReference"/>
          <w:rFonts w:ascii="Times New Roman" w:hAnsi="Times New Roman" w:cs="Times New Roman"/>
        </w:rPr>
        <w:footnoteRef/>
      </w:r>
      <w:r w:rsidRPr="007C39F0">
        <w:rPr>
          <w:rFonts w:ascii="Times New Roman" w:hAnsi="Times New Roman" w:cs="Times New Roman"/>
        </w:rPr>
        <w:t xml:space="preserve"> </w:t>
      </w:r>
      <w:r w:rsidR="00601ADB" w:rsidRPr="00601ADB">
        <w:rPr>
          <w:rFonts w:ascii="Times New Roman" w:hAnsi="Times New Roman" w:cs="Times New Roman"/>
        </w:rPr>
        <w:t>HL Deb 01 Februa</w:t>
      </w:r>
      <w:r w:rsidR="00601ADB">
        <w:rPr>
          <w:rFonts w:ascii="Times New Roman" w:hAnsi="Times New Roman" w:cs="Times New Roman"/>
        </w:rPr>
        <w:t>ry 2005, vol 669, cols 133 – 139</w:t>
      </w:r>
      <w:r w:rsidR="00601ADB" w:rsidRPr="00601ADB">
        <w:rPr>
          <w:rFonts w:ascii="Times New Roman" w:hAnsi="Times New Roman" w:cs="Times New Roman"/>
        </w:rPr>
        <w:t xml:space="preserve">.  </w:t>
      </w:r>
      <w:hyperlink r:id="rId2" w:anchor="S5LV0669P0_20050201_HOL_123" w:history="1">
        <w:r w:rsidR="00601ADB" w:rsidRPr="00071A44">
          <w:rPr>
            <w:rStyle w:val="Hyperlink"/>
            <w:rFonts w:ascii="Times New Roman" w:hAnsi="Times New Roman" w:cs="Times New Roman"/>
          </w:rPr>
          <w:t>https://api.parliament.uk/historic-hansard/lords/2005/feb/01/mental-capacity-bill-37-pm#S5LV0669P0_20050201_HOL_123</w:t>
        </w:r>
      </w:hyperlink>
      <w:r w:rsidR="00601ADB">
        <w:rPr>
          <w:rFonts w:ascii="Times New Roman" w:hAnsi="Times New Roman" w:cs="Times New Roman"/>
        </w:rPr>
        <w:t xml:space="preserve"> </w:t>
      </w:r>
      <w:r w:rsidR="00601ADB" w:rsidRPr="00601ADB">
        <w:rPr>
          <w:rFonts w:ascii="Times New Roman" w:hAnsi="Times New Roman" w:cs="Times New Roman"/>
        </w:rPr>
        <w:t>&lt;Accessed 26th February 2019&gt;.</w:t>
      </w:r>
    </w:p>
    <w:p w14:paraId="5552650D" w14:textId="6A323193" w:rsidR="00A22CB2" w:rsidRPr="007C39F0" w:rsidRDefault="00A22CB2" w:rsidP="00E863B2">
      <w:pPr>
        <w:pStyle w:val="FootnoteText"/>
        <w:jc w:val="both"/>
        <w:rPr>
          <w:rFonts w:ascii="Times New Roman" w:hAnsi="Times New Roman" w:cs="Times New Roman"/>
        </w:rPr>
      </w:pPr>
      <w:r w:rsidRPr="007C39F0">
        <w:rPr>
          <w:rFonts w:ascii="Times New Roman" w:hAnsi="Times New Roman" w:cs="Times New Roman"/>
        </w:rPr>
        <w:t xml:space="preserve"> </w:t>
      </w:r>
    </w:p>
  </w:footnote>
  <w:footnote w:id="15">
    <w:p w14:paraId="54FB85F4" w14:textId="77777777" w:rsidR="00A22CB2" w:rsidRPr="007C39F0" w:rsidRDefault="00A22CB2" w:rsidP="00444AC5">
      <w:pPr>
        <w:pStyle w:val="FootnoteText"/>
        <w:jc w:val="both"/>
        <w:rPr>
          <w:rFonts w:ascii="Times New Roman" w:hAnsi="Times New Roman" w:cs="Times New Roman"/>
        </w:rPr>
      </w:pPr>
      <w:r w:rsidRPr="007C39F0">
        <w:rPr>
          <w:rStyle w:val="FootnoteReference"/>
          <w:rFonts w:ascii="Times New Roman" w:hAnsi="Times New Roman" w:cs="Times New Roman"/>
        </w:rPr>
        <w:footnoteRef/>
      </w:r>
      <w:r w:rsidRPr="007C39F0">
        <w:rPr>
          <w:rFonts w:ascii="Times New Roman" w:hAnsi="Times New Roman" w:cs="Times New Roman"/>
        </w:rPr>
        <w:t xml:space="preserve"> Article 12 (2) stresses that States Parties shall recognize that persons with disabilities enjoy legal capacity on an equal basis with others in all aspects of life.</w:t>
      </w:r>
    </w:p>
    <w:p w14:paraId="504EC080" w14:textId="77777777" w:rsidR="00A22CB2" w:rsidRPr="00444AC5" w:rsidRDefault="00A22CB2" w:rsidP="00444AC5">
      <w:pPr>
        <w:pStyle w:val="FootnoteText"/>
        <w:jc w:val="both"/>
        <w:rPr>
          <w:rFonts w:ascii="Times New Roman" w:hAnsi="Times New Roman" w:cs="Times New Roman"/>
        </w:rPr>
      </w:pPr>
    </w:p>
  </w:footnote>
  <w:footnote w:id="16">
    <w:p w14:paraId="0763C4A9" w14:textId="697917B5" w:rsidR="00A22CB2" w:rsidRPr="001B09EB" w:rsidRDefault="00A22CB2" w:rsidP="001B09EB">
      <w:pPr>
        <w:pStyle w:val="FootnoteText"/>
        <w:jc w:val="both"/>
        <w:rPr>
          <w:rFonts w:ascii="Times New Roman" w:hAnsi="Times New Roman" w:cs="Times New Roman"/>
        </w:rPr>
      </w:pPr>
      <w:r w:rsidRPr="001B09EB">
        <w:rPr>
          <w:rStyle w:val="FootnoteReference"/>
          <w:rFonts w:ascii="Times New Roman" w:hAnsi="Times New Roman" w:cs="Times New Roman"/>
          <w:color w:val="FF0000"/>
        </w:rPr>
        <w:footnoteRef/>
      </w:r>
      <w:r w:rsidRPr="001B09EB">
        <w:rPr>
          <w:rFonts w:ascii="Times New Roman" w:hAnsi="Times New Roman" w:cs="Times New Roman"/>
          <w:color w:val="FF0000"/>
        </w:rPr>
        <w:t xml:space="preserve"> For the purposes of clarity, it should be noted that the regulations in the MCA are not concerned with research involving investigational medical products. In addition, special regulations apply to clinical trials and we do not </w:t>
      </w:r>
      <w:r>
        <w:rPr>
          <w:rFonts w:ascii="Times New Roman" w:hAnsi="Times New Roman" w:cs="Times New Roman"/>
          <w:color w:val="FF0000"/>
        </w:rPr>
        <w:t xml:space="preserve">address </w:t>
      </w:r>
      <w:r w:rsidRPr="001B09EB">
        <w:rPr>
          <w:rFonts w:ascii="Times New Roman" w:hAnsi="Times New Roman" w:cs="Times New Roman"/>
          <w:color w:val="FF0000"/>
        </w:rPr>
        <w:t>those here.</w:t>
      </w:r>
      <w:r>
        <w:rPr>
          <w:rFonts w:ascii="Times New Roman" w:hAnsi="Times New Roman" w:cs="Times New Roman"/>
          <w:color w:val="FF0000"/>
        </w:rPr>
        <w:t xml:space="preserve"> See Brazier and Cave (n 77).</w:t>
      </w:r>
    </w:p>
  </w:footnote>
  <w:footnote w:id="17">
    <w:p w14:paraId="783BC6B0" w14:textId="3577812A" w:rsidR="00A22CB2" w:rsidRPr="00444AC5" w:rsidRDefault="00A22CB2" w:rsidP="00444AC5">
      <w:pPr>
        <w:pStyle w:val="FootnoteText"/>
        <w:jc w:val="both"/>
        <w:rPr>
          <w:rFonts w:ascii="Times New Roman" w:hAnsi="Times New Roman" w:cs="Times New Roman"/>
        </w:rPr>
      </w:pPr>
      <w:r w:rsidRPr="00444AC5">
        <w:rPr>
          <w:rStyle w:val="FootnoteReference"/>
          <w:rFonts w:ascii="Times New Roman" w:hAnsi="Times New Roman" w:cs="Times New Roman"/>
        </w:rPr>
        <w:footnoteRef/>
      </w:r>
      <w:r w:rsidRPr="00444AC5">
        <w:rPr>
          <w:rFonts w:ascii="Times New Roman" w:hAnsi="Times New Roman" w:cs="Times New Roman"/>
        </w:rPr>
        <w:t xml:space="preserve"> </w:t>
      </w:r>
      <w:r>
        <w:rPr>
          <w:rFonts w:ascii="Times New Roman" w:hAnsi="Times New Roman" w:cs="Times New Roman"/>
        </w:rPr>
        <w:t>Mental Capacity Act 2005, s 30 (2) (a) and (b).</w:t>
      </w:r>
    </w:p>
    <w:p w14:paraId="28424620" w14:textId="77777777" w:rsidR="00A22CB2" w:rsidRPr="00444AC5" w:rsidRDefault="00A22CB2" w:rsidP="00444AC5">
      <w:pPr>
        <w:pStyle w:val="FootnoteText"/>
        <w:jc w:val="both"/>
        <w:rPr>
          <w:rFonts w:ascii="Times New Roman" w:hAnsi="Times New Roman" w:cs="Times New Roman"/>
        </w:rPr>
      </w:pPr>
    </w:p>
  </w:footnote>
  <w:footnote w:id="18">
    <w:p w14:paraId="1188FA97" w14:textId="7C5D2CE3" w:rsidR="00A22CB2" w:rsidRPr="00444AC5" w:rsidRDefault="00A22CB2" w:rsidP="00444AC5">
      <w:pPr>
        <w:pStyle w:val="FootnoteText"/>
        <w:jc w:val="both"/>
        <w:rPr>
          <w:rFonts w:ascii="Times New Roman" w:hAnsi="Times New Roman" w:cs="Times New Roman"/>
        </w:rPr>
      </w:pPr>
      <w:r w:rsidRPr="00444AC5">
        <w:rPr>
          <w:rStyle w:val="FootnoteReference"/>
          <w:rFonts w:ascii="Times New Roman" w:hAnsi="Times New Roman" w:cs="Times New Roman"/>
        </w:rPr>
        <w:footnoteRef/>
      </w:r>
      <w:r w:rsidRPr="00444AC5">
        <w:rPr>
          <w:rFonts w:ascii="Times New Roman" w:hAnsi="Times New Roman" w:cs="Times New Roman"/>
        </w:rPr>
        <w:t xml:space="preserve"> </w:t>
      </w:r>
      <w:r>
        <w:rPr>
          <w:rFonts w:ascii="Times New Roman" w:hAnsi="Times New Roman" w:cs="Times New Roman"/>
        </w:rPr>
        <w:t>See Law Comm 231, draft bill, cl 11 (4) (d). See also Bartlett (n 12) at 88; McHale (n 5) at 66.</w:t>
      </w:r>
    </w:p>
    <w:p w14:paraId="4F0238D7" w14:textId="77777777" w:rsidR="00A22CB2" w:rsidRPr="00444AC5" w:rsidRDefault="00A22CB2" w:rsidP="00444AC5">
      <w:pPr>
        <w:pStyle w:val="FootnoteText"/>
        <w:jc w:val="both"/>
        <w:rPr>
          <w:rFonts w:ascii="Times New Roman" w:hAnsi="Times New Roman" w:cs="Times New Roman"/>
        </w:rPr>
      </w:pPr>
    </w:p>
  </w:footnote>
  <w:footnote w:id="19">
    <w:p w14:paraId="234B5C9C" w14:textId="174E3E40" w:rsidR="00A22CB2" w:rsidRPr="00E863B2" w:rsidRDefault="00A22CB2" w:rsidP="00444AC5">
      <w:pPr>
        <w:pStyle w:val="FootnoteText"/>
        <w:jc w:val="both"/>
        <w:rPr>
          <w:rFonts w:ascii="Times New Roman" w:hAnsi="Times New Roman" w:cs="Times New Roman"/>
          <w:color w:val="FF0000"/>
        </w:rPr>
      </w:pPr>
      <w:r w:rsidRPr="00444AC5">
        <w:rPr>
          <w:rStyle w:val="FootnoteReference"/>
          <w:rFonts w:ascii="Times New Roman" w:hAnsi="Times New Roman" w:cs="Times New Roman"/>
        </w:rPr>
        <w:footnoteRef/>
      </w:r>
      <w:r>
        <w:rPr>
          <w:rFonts w:ascii="Times New Roman" w:hAnsi="Times New Roman" w:cs="Times New Roman"/>
        </w:rPr>
        <w:t xml:space="preserve"> See </w:t>
      </w:r>
      <w:r w:rsidRPr="00437A5B">
        <w:rPr>
          <w:rFonts w:ascii="Times New Roman" w:hAnsi="Times New Roman" w:cs="Times New Roman"/>
          <w:i/>
        </w:rPr>
        <w:t>Wilson v Pringle</w:t>
      </w:r>
      <w:r w:rsidRPr="00437A5B">
        <w:rPr>
          <w:rFonts w:ascii="Times New Roman" w:hAnsi="Times New Roman" w:cs="Times New Roman"/>
        </w:rPr>
        <w:t xml:space="preserve"> [1987] QB 237; </w:t>
      </w:r>
      <w:r w:rsidRPr="00437A5B">
        <w:rPr>
          <w:rFonts w:ascii="Times New Roman" w:hAnsi="Times New Roman" w:cs="Times New Roman"/>
          <w:i/>
        </w:rPr>
        <w:t>Collins v Wilcock</w:t>
      </w:r>
      <w:r w:rsidRPr="00437A5B">
        <w:rPr>
          <w:rFonts w:ascii="Times New Roman" w:hAnsi="Times New Roman" w:cs="Times New Roman"/>
        </w:rPr>
        <w:t xml:space="preserve"> [1984] 1 WLR 1172.</w:t>
      </w:r>
      <w:r>
        <w:rPr>
          <w:rFonts w:ascii="Times New Roman" w:hAnsi="Times New Roman" w:cs="Times New Roman"/>
        </w:rPr>
        <w:t xml:space="preserve"> </w:t>
      </w:r>
    </w:p>
    <w:p w14:paraId="1D2C919C" w14:textId="77777777" w:rsidR="00A22CB2" w:rsidRPr="00444AC5" w:rsidRDefault="00A22CB2" w:rsidP="00444AC5">
      <w:pPr>
        <w:pStyle w:val="FootnoteText"/>
        <w:jc w:val="both"/>
        <w:rPr>
          <w:rFonts w:ascii="Times New Roman" w:hAnsi="Times New Roman" w:cs="Times New Roman"/>
        </w:rPr>
      </w:pPr>
    </w:p>
  </w:footnote>
  <w:footnote w:id="20">
    <w:p w14:paraId="51DAC558" w14:textId="57EF2ECB" w:rsidR="00A22CB2" w:rsidRPr="00444AC5" w:rsidRDefault="00A22CB2" w:rsidP="00444AC5">
      <w:pPr>
        <w:pStyle w:val="FootnoteText"/>
        <w:jc w:val="both"/>
        <w:rPr>
          <w:rFonts w:ascii="Times New Roman" w:hAnsi="Times New Roman" w:cs="Times New Roman"/>
        </w:rPr>
      </w:pPr>
      <w:r w:rsidRPr="00444AC5">
        <w:rPr>
          <w:rStyle w:val="FootnoteReference"/>
          <w:rFonts w:ascii="Times New Roman" w:hAnsi="Times New Roman" w:cs="Times New Roman"/>
        </w:rPr>
        <w:footnoteRef/>
      </w:r>
      <w:r w:rsidRPr="00444AC5">
        <w:rPr>
          <w:rFonts w:ascii="Times New Roman" w:hAnsi="Times New Roman" w:cs="Times New Roman"/>
        </w:rPr>
        <w:t xml:space="preserve"> </w:t>
      </w:r>
      <w:r>
        <w:rPr>
          <w:rFonts w:ascii="Times New Roman" w:hAnsi="Times New Roman" w:cs="Times New Roman"/>
        </w:rPr>
        <w:t>Above (n 17).</w:t>
      </w:r>
    </w:p>
    <w:p w14:paraId="50D1993C" w14:textId="77777777" w:rsidR="00A22CB2" w:rsidRPr="00444AC5" w:rsidRDefault="00A22CB2" w:rsidP="00444AC5">
      <w:pPr>
        <w:pStyle w:val="FootnoteText"/>
        <w:jc w:val="both"/>
        <w:rPr>
          <w:rFonts w:ascii="Times New Roman" w:hAnsi="Times New Roman" w:cs="Times New Roman"/>
        </w:rPr>
      </w:pPr>
    </w:p>
  </w:footnote>
  <w:footnote w:id="21">
    <w:p w14:paraId="7FF28584" w14:textId="04D62043" w:rsidR="00A22CB2" w:rsidRPr="008D4517" w:rsidRDefault="00A22CB2" w:rsidP="008D4517">
      <w:pPr>
        <w:pStyle w:val="FootnoteText"/>
        <w:jc w:val="both"/>
        <w:rPr>
          <w:rFonts w:ascii="Times New Roman" w:hAnsi="Times New Roman" w:cs="Times New Roman"/>
        </w:rPr>
      </w:pPr>
      <w:r w:rsidRPr="008D4517">
        <w:rPr>
          <w:rStyle w:val="FootnoteReference"/>
          <w:rFonts w:ascii="Times New Roman" w:hAnsi="Times New Roman" w:cs="Times New Roman"/>
        </w:rPr>
        <w:footnoteRef/>
      </w:r>
      <w:r>
        <w:rPr>
          <w:rFonts w:ascii="Times New Roman" w:hAnsi="Times New Roman" w:cs="Times New Roman"/>
        </w:rPr>
        <w:t xml:space="preserve"> S</w:t>
      </w:r>
      <w:r w:rsidRPr="008D4517">
        <w:rPr>
          <w:rFonts w:ascii="Times New Roman" w:hAnsi="Times New Roman" w:cs="Times New Roman"/>
        </w:rPr>
        <w:t>ome methods of observational research may involve a level of hands-on touching. For example, observing blood pressure levels will demand some physical contact with a participant.</w:t>
      </w:r>
    </w:p>
    <w:p w14:paraId="08B82021" w14:textId="77777777" w:rsidR="00A22CB2" w:rsidRDefault="00A22CB2">
      <w:pPr>
        <w:pStyle w:val="FootnoteText"/>
      </w:pPr>
    </w:p>
  </w:footnote>
  <w:footnote w:id="22">
    <w:p w14:paraId="13F06B97" w14:textId="68F1C314" w:rsidR="00A22CB2" w:rsidRPr="00444AC5" w:rsidRDefault="00A22CB2" w:rsidP="00444AC5">
      <w:pPr>
        <w:pStyle w:val="FootnoteText"/>
        <w:jc w:val="both"/>
        <w:rPr>
          <w:rFonts w:ascii="Times New Roman" w:hAnsi="Times New Roman" w:cs="Times New Roman"/>
        </w:rPr>
      </w:pPr>
      <w:r w:rsidRPr="00444AC5">
        <w:rPr>
          <w:rStyle w:val="FootnoteReference"/>
          <w:rFonts w:ascii="Times New Roman" w:hAnsi="Times New Roman" w:cs="Times New Roman"/>
        </w:rPr>
        <w:footnoteRef/>
      </w:r>
      <w:r>
        <w:rPr>
          <w:rFonts w:ascii="Times New Roman" w:hAnsi="Times New Roman" w:cs="Times New Roman"/>
        </w:rPr>
        <w:t xml:space="preserve"> Bartlett (n 12) at 88.</w:t>
      </w:r>
    </w:p>
    <w:p w14:paraId="095C3CB3" w14:textId="77777777" w:rsidR="00A22CB2" w:rsidRPr="00444AC5" w:rsidRDefault="00A22CB2" w:rsidP="00444AC5">
      <w:pPr>
        <w:pStyle w:val="FootnoteText"/>
        <w:jc w:val="both"/>
        <w:rPr>
          <w:rFonts w:ascii="Times New Roman" w:hAnsi="Times New Roman" w:cs="Times New Roman"/>
        </w:rPr>
      </w:pPr>
      <w:r w:rsidRPr="00444AC5">
        <w:rPr>
          <w:rFonts w:ascii="Times New Roman" w:hAnsi="Times New Roman" w:cs="Times New Roman"/>
        </w:rPr>
        <w:t xml:space="preserve"> </w:t>
      </w:r>
    </w:p>
  </w:footnote>
  <w:footnote w:id="23">
    <w:p w14:paraId="32916563" w14:textId="0315583F" w:rsidR="00A22CB2" w:rsidRPr="00444AC5" w:rsidRDefault="00A22CB2" w:rsidP="00444AC5">
      <w:pPr>
        <w:pStyle w:val="FootnoteText"/>
        <w:jc w:val="both"/>
        <w:rPr>
          <w:rFonts w:ascii="Times New Roman" w:hAnsi="Times New Roman" w:cs="Times New Roman"/>
        </w:rPr>
      </w:pPr>
      <w:r w:rsidRPr="00444AC5">
        <w:rPr>
          <w:rStyle w:val="FootnoteReference"/>
          <w:rFonts w:ascii="Times New Roman" w:hAnsi="Times New Roman" w:cs="Times New Roman"/>
        </w:rPr>
        <w:footnoteRef/>
      </w:r>
      <w:r>
        <w:rPr>
          <w:rFonts w:ascii="Times New Roman" w:hAnsi="Times New Roman" w:cs="Times New Roman"/>
        </w:rPr>
        <w:t xml:space="preserve"> Human Rights Act 1998, s 6 (1).  See also Article 8 (1) of the European Convention on Human Rights. </w:t>
      </w:r>
    </w:p>
    <w:p w14:paraId="0EEB4FF3" w14:textId="77777777" w:rsidR="00A22CB2" w:rsidRPr="00444AC5" w:rsidRDefault="00A22CB2" w:rsidP="00444AC5">
      <w:pPr>
        <w:pStyle w:val="FootnoteText"/>
        <w:jc w:val="both"/>
        <w:rPr>
          <w:rFonts w:ascii="Times New Roman" w:hAnsi="Times New Roman" w:cs="Times New Roman"/>
        </w:rPr>
      </w:pPr>
      <w:r w:rsidRPr="00444AC5">
        <w:rPr>
          <w:rFonts w:ascii="Times New Roman" w:hAnsi="Times New Roman" w:cs="Times New Roman"/>
        </w:rPr>
        <w:t xml:space="preserve"> </w:t>
      </w:r>
    </w:p>
  </w:footnote>
  <w:footnote w:id="24">
    <w:p w14:paraId="7466CD9A" w14:textId="505A5F1A" w:rsidR="00A22CB2" w:rsidRDefault="00A22CB2" w:rsidP="00444AC5">
      <w:pPr>
        <w:pStyle w:val="FootnoteText"/>
        <w:jc w:val="both"/>
        <w:rPr>
          <w:rFonts w:ascii="Times New Roman" w:hAnsi="Times New Roman" w:cs="Times New Roman"/>
          <w:color w:val="FF0000"/>
        </w:rPr>
      </w:pPr>
      <w:r w:rsidRPr="00444AC5">
        <w:rPr>
          <w:rStyle w:val="FootnoteReference"/>
          <w:rFonts w:ascii="Times New Roman" w:hAnsi="Times New Roman" w:cs="Times New Roman"/>
        </w:rPr>
        <w:footnoteRef/>
      </w:r>
      <w:r w:rsidRPr="00444AC5">
        <w:rPr>
          <w:rFonts w:ascii="Times New Roman" w:hAnsi="Times New Roman" w:cs="Times New Roman"/>
        </w:rPr>
        <w:t xml:space="preserve"> </w:t>
      </w:r>
      <w:r>
        <w:rPr>
          <w:rFonts w:ascii="Times New Roman" w:hAnsi="Times New Roman" w:cs="Times New Roman"/>
        </w:rPr>
        <w:t>Article 8 (2</w:t>
      </w:r>
      <w:r w:rsidRPr="008F0A94">
        <w:rPr>
          <w:rFonts w:ascii="Times New Roman" w:hAnsi="Times New Roman" w:cs="Times New Roman"/>
        </w:rPr>
        <w:t>) of the Euro</w:t>
      </w:r>
      <w:r>
        <w:rPr>
          <w:rFonts w:ascii="Times New Roman" w:hAnsi="Times New Roman" w:cs="Times New Roman"/>
        </w:rPr>
        <w:t>pean Convention on Human Rights states that t</w:t>
      </w:r>
      <w:r w:rsidRPr="008F0A94">
        <w:rPr>
          <w:rFonts w:ascii="Times New Roman" w:hAnsi="Times New Roman" w:cs="Times New Roman"/>
        </w:rPr>
        <w: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Pr>
          <w:rFonts w:ascii="Times New Roman" w:hAnsi="Times New Roman" w:cs="Times New Roman"/>
        </w:rPr>
        <w:t xml:space="preserve"> </w:t>
      </w:r>
    </w:p>
    <w:p w14:paraId="26EA9338" w14:textId="77777777" w:rsidR="00A22CB2" w:rsidRPr="00444AC5" w:rsidRDefault="00A22CB2" w:rsidP="00444AC5">
      <w:pPr>
        <w:pStyle w:val="FootnoteText"/>
        <w:jc w:val="both"/>
        <w:rPr>
          <w:rFonts w:ascii="Times New Roman" w:hAnsi="Times New Roman" w:cs="Times New Roman"/>
        </w:rPr>
      </w:pPr>
    </w:p>
  </w:footnote>
  <w:footnote w:id="25">
    <w:p w14:paraId="101E9201" w14:textId="27FF1CEC" w:rsidR="00A22CB2" w:rsidRPr="00444AC5" w:rsidRDefault="00A22CB2" w:rsidP="00444AC5">
      <w:pPr>
        <w:pStyle w:val="FootnoteText"/>
        <w:jc w:val="both"/>
        <w:rPr>
          <w:rFonts w:ascii="Times New Roman" w:hAnsi="Times New Roman" w:cs="Times New Roman"/>
        </w:rPr>
      </w:pPr>
      <w:r w:rsidRPr="00444AC5">
        <w:rPr>
          <w:rStyle w:val="FootnoteReference"/>
          <w:rFonts w:ascii="Times New Roman" w:hAnsi="Times New Roman" w:cs="Times New Roman"/>
        </w:rPr>
        <w:footnoteRef/>
      </w:r>
      <w:r>
        <w:rPr>
          <w:rFonts w:ascii="Times New Roman" w:hAnsi="Times New Roman" w:cs="Times New Roman"/>
        </w:rPr>
        <w:t xml:space="preserve"> Bartlett (n 12) at 88.</w:t>
      </w:r>
    </w:p>
    <w:p w14:paraId="7FD3EEDA" w14:textId="77777777" w:rsidR="00A22CB2" w:rsidRPr="00444AC5" w:rsidRDefault="00A22CB2" w:rsidP="00444AC5">
      <w:pPr>
        <w:pStyle w:val="FootnoteText"/>
        <w:jc w:val="both"/>
        <w:rPr>
          <w:rFonts w:ascii="Times New Roman" w:hAnsi="Times New Roman" w:cs="Times New Roman"/>
        </w:rPr>
      </w:pPr>
      <w:r w:rsidRPr="00444AC5">
        <w:rPr>
          <w:rFonts w:ascii="Times New Roman" w:hAnsi="Times New Roman" w:cs="Times New Roman"/>
        </w:rPr>
        <w:t xml:space="preserve"> </w:t>
      </w:r>
    </w:p>
  </w:footnote>
  <w:footnote w:id="26">
    <w:p w14:paraId="007F0DC5" w14:textId="27B77249" w:rsidR="00A22CB2" w:rsidRPr="00E863B2" w:rsidRDefault="00A22CB2" w:rsidP="00444AC5">
      <w:pPr>
        <w:pStyle w:val="FootnoteText"/>
        <w:jc w:val="both"/>
        <w:rPr>
          <w:rFonts w:ascii="Times New Roman" w:hAnsi="Times New Roman" w:cs="Times New Roman"/>
          <w:color w:val="FF0000"/>
        </w:rPr>
      </w:pPr>
      <w:r w:rsidRPr="00444AC5">
        <w:rPr>
          <w:rStyle w:val="FootnoteReference"/>
          <w:rFonts w:ascii="Times New Roman" w:hAnsi="Times New Roman" w:cs="Times New Roman"/>
        </w:rPr>
        <w:footnoteRef/>
      </w:r>
      <w:r>
        <w:rPr>
          <w:rFonts w:ascii="Times New Roman" w:hAnsi="Times New Roman" w:cs="Times New Roman"/>
        </w:rPr>
        <w:t xml:space="preserve"> Ibid.</w:t>
      </w:r>
    </w:p>
    <w:p w14:paraId="253FF9B0" w14:textId="77777777" w:rsidR="00A22CB2" w:rsidRPr="00444AC5" w:rsidRDefault="00A22CB2" w:rsidP="00444AC5">
      <w:pPr>
        <w:pStyle w:val="FootnoteText"/>
        <w:jc w:val="both"/>
        <w:rPr>
          <w:rFonts w:ascii="Times New Roman" w:hAnsi="Times New Roman" w:cs="Times New Roman"/>
        </w:rPr>
      </w:pPr>
      <w:r w:rsidRPr="00444AC5">
        <w:rPr>
          <w:rFonts w:ascii="Times New Roman" w:hAnsi="Times New Roman" w:cs="Times New Roman"/>
        </w:rPr>
        <w:t xml:space="preserve"> </w:t>
      </w:r>
    </w:p>
  </w:footnote>
  <w:footnote w:id="27">
    <w:p w14:paraId="04E6B3D4" w14:textId="77777777" w:rsidR="00A22CB2" w:rsidRPr="00635110" w:rsidRDefault="00A22CB2" w:rsidP="004E16BC">
      <w:pPr>
        <w:pStyle w:val="FootnoteText"/>
        <w:jc w:val="both"/>
        <w:rPr>
          <w:rFonts w:ascii="Times New Roman" w:hAnsi="Times New Roman" w:cs="Times New Roman"/>
        </w:rPr>
      </w:pPr>
      <w:r w:rsidRPr="00635110">
        <w:rPr>
          <w:rStyle w:val="FootnoteReference"/>
          <w:rFonts w:ascii="Times New Roman" w:hAnsi="Times New Roman" w:cs="Times New Roman"/>
        </w:rPr>
        <w:footnoteRef/>
      </w:r>
      <w:r>
        <w:rPr>
          <w:rFonts w:ascii="Times New Roman" w:hAnsi="Times New Roman" w:cs="Times New Roman"/>
        </w:rPr>
        <w:t xml:space="preserve"> </w:t>
      </w:r>
      <w:r w:rsidRPr="00A9791A">
        <w:rPr>
          <w:rFonts w:ascii="Times New Roman" w:hAnsi="Times New Roman" w:cs="Times New Roman"/>
        </w:rPr>
        <w:t xml:space="preserve">See </w:t>
      </w:r>
      <w:r w:rsidRPr="00A9791A">
        <w:rPr>
          <w:rFonts w:ascii="Times New Roman" w:hAnsi="Times New Roman" w:cs="Times New Roman"/>
          <w:i/>
        </w:rPr>
        <w:t>Peck v United Kingdom</w:t>
      </w:r>
      <w:r w:rsidRPr="00A9791A">
        <w:rPr>
          <w:rFonts w:ascii="Times New Roman" w:hAnsi="Times New Roman" w:cs="Times New Roman"/>
        </w:rPr>
        <w:t xml:space="preserve"> App No 4464/98 (ECtHR 28th January 2003); </w:t>
      </w:r>
      <w:r w:rsidRPr="00A9791A">
        <w:rPr>
          <w:rFonts w:ascii="Times New Roman" w:hAnsi="Times New Roman" w:cs="Times New Roman"/>
          <w:i/>
        </w:rPr>
        <w:t>Perry v United Kingdom</w:t>
      </w:r>
      <w:r w:rsidRPr="00A9791A">
        <w:rPr>
          <w:rFonts w:ascii="Times New Roman" w:hAnsi="Times New Roman" w:cs="Times New Roman"/>
        </w:rPr>
        <w:t xml:space="preserve"> App No 63737/00 (ECtHR 17th July 2003).</w:t>
      </w:r>
    </w:p>
    <w:p w14:paraId="218D8B42" w14:textId="77777777" w:rsidR="00A22CB2" w:rsidRPr="00E7436B" w:rsidRDefault="00A22CB2" w:rsidP="004E16BC">
      <w:pPr>
        <w:pStyle w:val="FootnoteText"/>
        <w:jc w:val="both"/>
        <w:rPr>
          <w:rFonts w:ascii="Times New Roman" w:hAnsi="Times New Roman" w:cs="Times New Roman"/>
          <w:color w:val="FF0000"/>
        </w:rPr>
      </w:pPr>
      <w:r w:rsidRPr="00E7436B">
        <w:rPr>
          <w:rFonts w:ascii="Times New Roman" w:hAnsi="Times New Roman" w:cs="Times New Roman"/>
          <w:color w:val="FF0000"/>
        </w:rPr>
        <w:t xml:space="preserve"> </w:t>
      </w:r>
    </w:p>
  </w:footnote>
  <w:footnote w:id="28">
    <w:p w14:paraId="225A947B" w14:textId="4F100A5E" w:rsidR="00A22CB2" w:rsidRPr="00EA2C12" w:rsidRDefault="00A22CB2" w:rsidP="00444AC5">
      <w:pPr>
        <w:pStyle w:val="FootnoteText"/>
        <w:jc w:val="both"/>
        <w:rPr>
          <w:rFonts w:ascii="Times New Roman" w:hAnsi="Times New Roman" w:cs="Times New Roman"/>
        </w:rPr>
      </w:pPr>
      <w:r w:rsidRPr="00EA2C12">
        <w:rPr>
          <w:rStyle w:val="FootnoteReference"/>
          <w:rFonts w:ascii="Times New Roman" w:hAnsi="Times New Roman" w:cs="Times New Roman"/>
        </w:rPr>
        <w:footnoteRef/>
      </w:r>
      <w:r w:rsidRPr="00EA2C12">
        <w:rPr>
          <w:rFonts w:ascii="Times New Roman" w:hAnsi="Times New Roman" w:cs="Times New Roman"/>
        </w:rPr>
        <w:t xml:space="preserve"> See </w:t>
      </w:r>
      <w:r w:rsidRPr="00EA2C12">
        <w:rPr>
          <w:rFonts w:ascii="Times New Roman" w:hAnsi="Times New Roman" w:cs="Times New Roman"/>
          <w:i/>
        </w:rPr>
        <w:t>P.G. and J.H. v United Kingdom App No</w:t>
      </w:r>
      <w:r w:rsidRPr="00EA2C12">
        <w:rPr>
          <w:rFonts w:ascii="Times New Roman" w:hAnsi="Times New Roman" w:cs="Times New Roman"/>
        </w:rPr>
        <w:t xml:space="preserve"> 44787/98 (ECtHR 25</w:t>
      </w:r>
      <w:r w:rsidRPr="00EA2C12">
        <w:rPr>
          <w:rFonts w:ascii="Times New Roman" w:hAnsi="Times New Roman" w:cs="Times New Roman"/>
          <w:vertAlign w:val="superscript"/>
        </w:rPr>
        <w:t>th</w:t>
      </w:r>
      <w:r w:rsidRPr="00EA2C12">
        <w:rPr>
          <w:rFonts w:ascii="Times New Roman" w:hAnsi="Times New Roman" w:cs="Times New Roman"/>
        </w:rPr>
        <w:t xml:space="preserve"> September 2001) at [56]. For discussion see Nicole V </w:t>
      </w:r>
      <w:proofErr w:type="spellStart"/>
      <w:r w:rsidRPr="00EA2C12">
        <w:rPr>
          <w:rFonts w:ascii="Times New Roman" w:hAnsi="Times New Roman" w:cs="Times New Roman"/>
        </w:rPr>
        <w:t>Moreham</w:t>
      </w:r>
      <w:proofErr w:type="spellEnd"/>
      <w:r w:rsidRPr="00EA2C12">
        <w:rPr>
          <w:rFonts w:ascii="Times New Roman" w:hAnsi="Times New Roman" w:cs="Times New Roman"/>
        </w:rPr>
        <w:t xml:space="preserve">, ‘The Right to Respect for Private Life in the European Convention on Human Rights: A Re-examination.’ (2008) </w:t>
      </w:r>
      <w:r w:rsidRPr="00EA2C12">
        <w:rPr>
          <w:rFonts w:ascii="Times New Roman" w:hAnsi="Times New Roman" w:cs="Times New Roman"/>
          <w:i/>
        </w:rPr>
        <w:t>European Human Rights Law Review</w:t>
      </w:r>
      <w:r w:rsidRPr="00EA2C12">
        <w:rPr>
          <w:rFonts w:ascii="Times New Roman" w:hAnsi="Times New Roman" w:cs="Times New Roman"/>
        </w:rPr>
        <w:t xml:space="preserve"> 44. </w:t>
      </w:r>
    </w:p>
    <w:p w14:paraId="07FEF2DD" w14:textId="77777777" w:rsidR="00A22CB2" w:rsidRPr="00E7436B" w:rsidRDefault="00A22CB2" w:rsidP="00444AC5">
      <w:pPr>
        <w:pStyle w:val="FootnoteText"/>
        <w:jc w:val="both"/>
        <w:rPr>
          <w:rFonts w:ascii="Times New Roman" w:hAnsi="Times New Roman" w:cs="Times New Roman"/>
          <w:color w:val="FF0000"/>
        </w:rPr>
      </w:pPr>
    </w:p>
  </w:footnote>
  <w:footnote w:id="29">
    <w:p w14:paraId="30C9DCCF" w14:textId="6AE5FD87" w:rsidR="00A22CB2" w:rsidRPr="00E7436B" w:rsidRDefault="00A22CB2" w:rsidP="00444AC5">
      <w:pPr>
        <w:pStyle w:val="FootnoteText"/>
        <w:jc w:val="both"/>
        <w:rPr>
          <w:rFonts w:ascii="Times New Roman" w:hAnsi="Times New Roman" w:cs="Times New Roman"/>
          <w:color w:val="FF0000"/>
        </w:rPr>
      </w:pPr>
      <w:r w:rsidRPr="0063748F">
        <w:rPr>
          <w:rStyle w:val="FootnoteReference"/>
          <w:rFonts w:ascii="Times New Roman" w:hAnsi="Times New Roman" w:cs="Times New Roman"/>
        </w:rPr>
        <w:footnoteRef/>
      </w:r>
      <w:r w:rsidRPr="0063748F">
        <w:rPr>
          <w:rFonts w:ascii="Times New Roman" w:hAnsi="Times New Roman" w:cs="Times New Roman"/>
        </w:rPr>
        <w:t xml:space="preserve"> </w:t>
      </w:r>
      <w:r>
        <w:rPr>
          <w:rFonts w:ascii="Times New Roman" w:hAnsi="Times New Roman" w:cs="Times New Roman"/>
        </w:rPr>
        <w:t>Bartlett (n 12) at 88.</w:t>
      </w:r>
    </w:p>
    <w:p w14:paraId="4B28BE26" w14:textId="77777777" w:rsidR="00A22CB2" w:rsidRPr="00E7436B" w:rsidRDefault="00A22CB2" w:rsidP="00444AC5">
      <w:pPr>
        <w:pStyle w:val="FootnoteText"/>
        <w:jc w:val="both"/>
        <w:rPr>
          <w:rFonts w:ascii="Times New Roman" w:hAnsi="Times New Roman" w:cs="Times New Roman"/>
          <w:color w:val="FF0000"/>
        </w:rPr>
      </w:pPr>
      <w:r w:rsidRPr="00E7436B">
        <w:rPr>
          <w:rFonts w:ascii="Times New Roman" w:hAnsi="Times New Roman" w:cs="Times New Roman"/>
          <w:color w:val="FF0000"/>
        </w:rPr>
        <w:t xml:space="preserve"> </w:t>
      </w:r>
    </w:p>
  </w:footnote>
  <w:footnote w:id="30">
    <w:p w14:paraId="7F16C012" w14:textId="5D143D4A" w:rsidR="00A22CB2" w:rsidRPr="00EA2C12" w:rsidRDefault="00A22CB2" w:rsidP="00EA2C12">
      <w:pPr>
        <w:pStyle w:val="FootnoteText"/>
        <w:jc w:val="both"/>
        <w:rPr>
          <w:rFonts w:ascii="Times New Roman" w:hAnsi="Times New Roman" w:cs="Times New Roman"/>
        </w:rPr>
      </w:pPr>
      <w:r w:rsidRPr="00EA2C12">
        <w:rPr>
          <w:rStyle w:val="FootnoteReference"/>
          <w:rFonts w:ascii="Times New Roman" w:hAnsi="Times New Roman" w:cs="Times New Roman"/>
        </w:rPr>
        <w:footnoteRef/>
      </w:r>
      <w:r w:rsidRPr="00EA2C12">
        <w:rPr>
          <w:rFonts w:ascii="Times New Roman" w:hAnsi="Times New Roman" w:cs="Times New Roman"/>
        </w:rPr>
        <w:t xml:space="preserve"> </w:t>
      </w:r>
      <w:r>
        <w:rPr>
          <w:rFonts w:ascii="Times New Roman" w:hAnsi="Times New Roman" w:cs="Times New Roman"/>
        </w:rPr>
        <w:t>Above (n 27) and (n 28).</w:t>
      </w:r>
    </w:p>
    <w:p w14:paraId="04AF7B91" w14:textId="77777777" w:rsidR="00A22CB2" w:rsidRPr="00EA2C12" w:rsidRDefault="00A22CB2" w:rsidP="00EA2C12">
      <w:pPr>
        <w:pStyle w:val="FootnoteText"/>
        <w:jc w:val="both"/>
        <w:rPr>
          <w:rFonts w:ascii="Times New Roman" w:hAnsi="Times New Roman" w:cs="Times New Roman"/>
        </w:rPr>
      </w:pPr>
    </w:p>
  </w:footnote>
  <w:footnote w:id="31">
    <w:p w14:paraId="7513A68C" w14:textId="1C87ADD7" w:rsidR="00A22CB2" w:rsidRPr="007C35B5" w:rsidRDefault="00A22CB2" w:rsidP="00EA2C12">
      <w:pPr>
        <w:pStyle w:val="FootnoteText"/>
        <w:jc w:val="both"/>
        <w:rPr>
          <w:rFonts w:ascii="Times New Roman" w:hAnsi="Times New Roman" w:cs="Times New Roman"/>
        </w:rPr>
      </w:pPr>
      <w:r w:rsidRPr="007C35B5">
        <w:rPr>
          <w:rStyle w:val="FootnoteReference"/>
          <w:rFonts w:ascii="Times New Roman" w:hAnsi="Times New Roman" w:cs="Times New Roman"/>
        </w:rPr>
        <w:footnoteRef/>
      </w:r>
      <w:r w:rsidRPr="007C35B5">
        <w:rPr>
          <w:rFonts w:ascii="Times New Roman" w:hAnsi="Times New Roman" w:cs="Times New Roman"/>
        </w:rPr>
        <w:t xml:space="preserve"> See, for</w:t>
      </w:r>
      <w:r>
        <w:rPr>
          <w:rFonts w:ascii="Times New Roman" w:hAnsi="Times New Roman" w:cs="Times New Roman"/>
        </w:rPr>
        <w:t xml:space="preserve"> discussion, </w:t>
      </w:r>
      <w:proofErr w:type="spellStart"/>
      <w:r w:rsidRPr="007C35B5">
        <w:rPr>
          <w:rFonts w:ascii="Times New Roman" w:hAnsi="Times New Roman" w:cs="Times New Roman"/>
          <w:i/>
        </w:rPr>
        <w:t>Uzun</w:t>
      </w:r>
      <w:proofErr w:type="spellEnd"/>
      <w:r w:rsidRPr="007C35B5">
        <w:rPr>
          <w:rFonts w:ascii="Times New Roman" w:hAnsi="Times New Roman" w:cs="Times New Roman"/>
          <w:i/>
        </w:rPr>
        <w:t xml:space="preserve"> v Germany</w:t>
      </w:r>
      <w:r w:rsidRPr="007C35B5">
        <w:rPr>
          <w:rFonts w:ascii="Times New Roman" w:hAnsi="Times New Roman" w:cs="Times New Roman"/>
        </w:rPr>
        <w:t xml:space="preserve"> App No 35623/05 (ECtHR 2</w:t>
      </w:r>
      <w:r w:rsidRPr="007C35B5">
        <w:rPr>
          <w:rFonts w:ascii="Times New Roman" w:hAnsi="Times New Roman" w:cs="Times New Roman"/>
          <w:vertAlign w:val="superscript"/>
        </w:rPr>
        <w:t>nd</w:t>
      </w:r>
      <w:r w:rsidRPr="007C35B5">
        <w:rPr>
          <w:rFonts w:ascii="Times New Roman" w:hAnsi="Times New Roman" w:cs="Times New Roman"/>
        </w:rPr>
        <w:t xml:space="preserve"> September 2010)</w:t>
      </w:r>
      <w:r>
        <w:rPr>
          <w:rFonts w:ascii="Times New Roman" w:hAnsi="Times New Roman" w:cs="Times New Roman"/>
        </w:rPr>
        <w:t>.</w:t>
      </w:r>
    </w:p>
    <w:p w14:paraId="0DE93489" w14:textId="77777777" w:rsidR="00A22CB2" w:rsidRPr="00EA2C12" w:rsidRDefault="00A22CB2" w:rsidP="00EA2C12">
      <w:pPr>
        <w:pStyle w:val="FootnoteText"/>
        <w:jc w:val="both"/>
        <w:rPr>
          <w:rFonts w:ascii="Times New Roman" w:hAnsi="Times New Roman" w:cs="Times New Roman"/>
          <w:color w:val="FF0000"/>
        </w:rPr>
      </w:pPr>
      <w:r w:rsidRPr="00EA2C12">
        <w:rPr>
          <w:rFonts w:ascii="Times New Roman" w:hAnsi="Times New Roman" w:cs="Times New Roman"/>
          <w:color w:val="FF0000"/>
        </w:rPr>
        <w:t xml:space="preserve"> </w:t>
      </w:r>
    </w:p>
  </w:footnote>
  <w:footnote w:id="32">
    <w:p w14:paraId="46911FFF" w14:textId="1553C332" w:rsidR="00A22CB2" w:rsidRPr="00EA2C12" w:rsidRDefault="00A22CB2" w:rsidP="00EA2C12">
      <w:pPr>
        <w:pStyle w:val="FootnoteText"/>
        <w:jc w:val="both"/>
        <w:rPr>
          <w:rFonts w:ascii="Times New Roman" w:hAnsi="Times New Roman" w:cs="Times New Roman"/>
          <w:color w:val="FF0000"/>
        </w:rPr>
      </w:pPr>
      <w:r w:rsidRPr="00EA2C12">
        <w:rPr>
          <w:rStyle w:val="FootnoteReference"/>
          <w:rFonts w:ascii="Times New Roman" w:hAnsi="Times New Roman" w:cs="Times New Roman"/>
        </w:rPr>
        <w:footnoteRef/>
      </w:r>
      <w:r w:rsidRPr="00EA2C12">
        <w:rPr>
          <w:rFonts w:ascii="Times New Roman" w:hAnsi="Times New Roman" w:cs="Times New Roman"/>
        </w:rPr>
        <w:t xml:space="preserve"> Above</w:t>
      </w:r>
      <w:r>
        <w:rPr>
          <w:rFonts w:ascii="Times New Roman" w:hAnsi="Times New Roman" w:cs="Times New Roman"/>
        </w:rPr>
        <w:t xml:space="preserve"> (n 18)</w:t>
      </w:r>
      <w:r w:rsidRPr="00EA2C12">
        <w:rPr>
          <w:rFonts w:ascii="Times New Roman" w:hAnsi="Times New Roman" w:cs="Times New Roman"/>
        </w:rPr>
        <w:t>.</w:t>
      </w:r>
    </w:p>
    <w:p w14:paraId="48854444" w14:textId="77777777" w:rsidR="00A22CB2" w:rsidRPr="00E7436B" w:rsidRDefault="00A22CB2" w:rsidP="00444AC5">
      <w:pPr>
        <w:pStyle w:val="FootnoteText"/>
        <w:jc w:val="both"/>
        <w:rPr>
          <w:rFonts w:ascii="Times New Roman" w:hAnsi="Times New Roman" w:cs="Times New Roman"/>
          <w:color w:val="FF0000"/>
        </w:rPr>
      </w:pPr>
    </w:p>
  </w:footnote>
  <w:footnote w:id="33">
    <w:p w14:paraId="3B98BB3F" w14:textId="54D50ABF" w:rsidR="00A22CB2" w:rsidRPr="003A2955" w:rsidRDefault="00A22CB2" w:rsidP="00444AC5">
      <w:pPr>
        <w:pStyle w:val="FootnoteText"/>
        <w:jc w:val="both"/>
        <w:rPr>
          <w:rFonts w:ascii="Times New Roman" w:hAnsi="Times New Roman" w:cs="Times New Roman"/>
          <w:b/>
        </w:rPr>
      </w:pPr>
      <w:r w:rsidRPr="003A2955">
        <w:rPr>
          <w:rStyle w:val="FootnoteReference"/>
          <w:rFonts w:ascii="Times New Roman" w:hAnsi="Times New Roman" w:cs="Times New Roman"/>
        </w:rPr>
        <w:footnoteRef/>
      </w:r>
      <w:r w:rsidRPr="003A2955">
        <w:rPr>
          <w:rFonts w:ascii="Times New Roman" w:hAnsi="Times New Roman" w:cs="Times New Roman"/>
        </w:rPr>
        <w:t xml:space="preserve"> See </w:t>
      </w:r>
      <w:r w:rsidRPr="003A2955">
        <w:rPr>
          <w:rFonts w:ascii="Times New Roman" w:hAnsi="Times New Roman" w:cs="Times New Roman"/>
          <w:i/>
        </w:rPr>
        <w:t>Smith and Grady v United Kingdom</w:t>
      </w:r>
      <w:r w:rsidRPr="003A2955">
        <w:rPr>
          <w:rFonts w:ascii="Times New Roman" w:hAnsi="Times New Roman" w:cs="Times New Roman"/>
        </w:rPr>
        <w:t xml:space="preserve"> App Nos 33985/96 and 33986/96 (ECtHR 27</w:t>
      </w:r>
      <w:r w:rsidRPr="003A2955">
        <w:rPr>
          <w:rFonts w:ascii="Times New Roman" w:hAnsi="Times New Roman" w:cs="Times New Roman"/>
          <w:vertAlign w:val="superscript"/>
        </w:rPr>
        <w:t>th</w:t>
      </w:r>
      <w:r w:rsidRPr="003A2955">
        <w:rPr>
          <w:rFonts w:ascii="Times New Roman" w:hAnsi="Times New Roman" w:cs="Times New Roman"/>
        </w:rPr>
        <w:t xml:space="preserve"> December 1999).</w:t>
      </w:r>
      <w:r>
        <w:rPr>
          <w:rFonts w:ascii="Times New Roman" w:hAnsi="Times New Roman" w:cs="Times New Roman"/>
        </w:rPr>
        <w:t xml:space="preserve"> In this case it was held </w:t>
      </w:r>
      <w:r w:rsidRPr="003A2955">
        <w:rPr>
          <w:rFonts w:ascii="Times New Roman" w:hAnsi="Times New Roman" w:cs="Times New Roman"/>
        </w:rPr>
        <w:t>that were detailed investigations took place, including interviews of a sensitive and intimate nature, where any findings were then made public and individuals could subsequently</w:t>
      </w:r>
      <w:r>
        <w:rPr>
          <w:rFonts w:ascii="Times New Roman" w:hAnsi="Times New Roman" w:cs="Times New Roman"/>
        </w:rPr>
        <w:t xml:space="preserve"> be identified, </w:t>
      </w:r>
      <w:r w:rsidRPr="003A2955">
        <w:rPr>
          <w:rFonts w:ascii="Times New Roman" w:hAnsi="Times New Roman" w:cs="Times New Roman"/>
        </w:rPr>
        <w:t>a violation of Article 8 occurred.</w:t>
      </w:r>
    </w:p>
    <w:p w14:paraId="6D5431DB" w14:textId="77777777" w:rsidR="00A22CB2" w:rsidRPr="00E7436B" w:rsidRDefault="00A22CB2" w:rsidP="00444AC5">
      <w:pPr>
        <w:pStyle w:val="FootnoteText"/>
        <w:jc w:val="both"/>
        <w:rPr>
          <w:rFonts w:ascii="Times New Roman" w:hAnsi="Times New Roman" w:cs="Times New Roman"/>
          <w:color w:val="FF0000"/>
        </w:rPr>
      </w:pPr>
    </w:p>
  </w:footnote>
  <w:footnote w:id="34">
    <w:p w14:paraId="520993D2" w14:textId="6F9DBBB7" w:rsidR="00A22CB2" w:rsidRPr="00E7436B" w:rsidRDefault="00A22CB2" w:rsidP="008A767B">
      <w:pPr>
        <w:pStyle w:val="FootnoteText"/>
        <w:jc w:val="both"/>
        <w:rPr>
          <w:rFonts w:ascii="Times New Roman" w:hAnsi="Times New Roman" w:cs="Times New Roman"/>
          <w:color w:val="FF0000"/>
        </w:rPr>
      </w:pPr>
      <w:r w:rsidRPr="007B5C1F">
        <w:rPr>
          <w:rStyle w:val="FootnoteReference"/>
          <w:rFonts w:ascii="Times New Roman" w:hAnsi="Times New Roman" w:cs="Times New Roman"/>
        </w:rPr>
        <w:footnoteRef/>
      </w:r>
      <w:r w:rsidRPr="007B5C1F">
        <w:rPr>
          <w:rFonts w:ascii="Times New Roman" w:hAnsi="Times New Roman" w:cs="Times New Roman"/>
        </w:rPr>
        <w:t xml:space="preserve"> </w:t>
      </w:r>
      <w:r>
        <w:rPr>
          <w:rFonts w:ascii="Times New Roman" w:hAnsi="Times New Roman" w:cs="Times New Roman"/>
        </w:rPr>
        <w:t xml:space="preserve">Barbara DiCicco-Bloom and Benjamin F Crabtree, ‘The Qualitative Research Interview’ (2006) 40 </w:t>
      </w:r>
      <w:r w:rsidRPr="007B5C1F">
        <w:rPr>
          <w:rFonts w:ascii="Times New Roman" w:hAnsi="Times New Roman" w:cs="Times New Roman"/>
          <w:i/>
        </w:rPr>
        <w:t>Medical Education</w:t>
      </w:r>
      <w:r>
        <w:rPr>
          <w:rFonts w:ascii="Times New Roman" w:hAnsi="Times New Roman" w:cs="Times New Roman"/>
        </w:rPr>
        <w:t xml:space="preserve"> 314.</w:t>
      </w:r>
    </w:p>
    <w:p w14:paraId="5478C378" w14:textId="77777777" w:rsidR="00A22CB2" w:rsidRPr="00E7436B" w:rsidRDefault="00A22CB2" w:rsidP="008A767B">
      <w:pPr>
        <w:pStyle w:val="FootnoteText"/>
        <w:jc w:val="both"/>
        <w:rPr>
          <w:rFonts w:ascii="Times New Roman" w:hAnsi="Times New Roman" w:cs="Times New Roman"/>
          <w:color w:val="FF0000"/>
        </w:rPr>
      </w:pPr>
      <w:r w:rsidRPr="00E7436B">
        <w:rPr>
          <w:rFonts w:ascii="Times New Roman" w:hAnsi="Times New Roman" w:cs="Times New Roman"/>
          <w:color w:val="FF0000"/>
        </w:rPr>
        <w:t xml:space="preserve"> </w:t>
      </w:r>
    </w:p>
  </w:footnote>
  <w:footnote w:id="35">
    <w:p w14:paraId="37EFA6D0" w14:textId="5C14C6A7" w:rsidR="00A22CB2" w:rsidRPr="00E7436B" w:rsidRDefault="00A22CB2" w:rsidP="008A767B">
      <w:pPr>
        <w:pStyle w:val="FootnoteText"/>
        <w:jc w:val="both"/>
        <w:rPr>
          <w:rFonts w:ascii="Times New Roman" w:hAnsi="Times New Roman" w:cs="Times New Roman"/>
          <w:color w:val="FF0000"/>
        </w:rPr>
      </w:pPr>
      <w:r w:rsidRPr="00356FA8">
        <w:rPr>
          <w:rStyle w:val="FootnoteReference"/>
          <w:rFonts w:ascii="Times New Roman" w:hAnsi="Times New Roman" w:cs="Times New Roman"/>
        </w:rPr>
        <w:footnoteRef/>
      </w:r>
      <w:r w:rsidRPr="00E7436B">
        <w:rPr>
          <w:rFonts w:ascii="Times New Roman" w:hAnsi="Times New Roman" w:cs="Times New Roman"/>
          <w:color w:val="FF0000"/>
        </w:rPr>
        <w:t xml:space="preserve"> </w:t>
      </w:r>
      <w:r>
        <w:rPr>
          <w:rFonts w:ascii="Times New Roman" w:hAnsi="Times New Roman" w:cs="Times New Roman"/>
        </w:rPr>
        <w:t xml:space="preserve">Ann Bowling and Shah Ebrahim (eds), </w:t>
      </w:r>
      <w:r w:rsidRPr="00CE7097">
        <w:rPr>
          <w:rFonts w:ascii="Times New Roman" w:hAnsi="Times New Roman" w:cs="Times New Roman"/>
          <w:i/>
        </w:rPr>
        <w:t>Handbook of Health Research Methods: Investigation, Measurement and Analysis</w:t>
      </w:r>
      <w:r>
        <w:rPr>
          <w:rFonts w:ascii="Times New Roman" w:hAnsi="Times New Roman" w:cs="Times New Roman"/>
        </w:rPr>
        <w:t xml:space="preserve"> (1</w:t>
      </w:r>
      <w:r w:rsidRPr="00356FA8">
        <w:rPr>
          <w:rFonts w:ascii="Times New Roman" w:hAnsi="Times New Roman" w:cs="Times New Roman"/>
          <w:vertAlign w:val="superscript"/>
        </w:rPr>
        <w:t>st</w:t>
      </w:r>
      <w:r>
        <w:rPr>
          <w:rFonts w:ascii="Times New Roman" w:hAnsi="Times New Roman" w:cs="Times New Roman"/>
        </w:rPr>
        <w:t xml:space="preserve"> </w:t>
      </w:r>
      <w:proofErr w:type="spellStart"/>
      <w:r>
        <w:rPr>
          <w:rFonts w:ascii="Times New Roman" w:hAnsi="Times New Roman" w:cs="Times New Roman"/>
        </w:rPr>
        <w:t>edn</w:t>
      </w:r>
      <w:proofErr w:type="spellEnd"/>
      <w:r>
        <w:rPr>
          <w:rFonts w:ascii="Times New Roman" w:hAnsi="Times New Roman" w:cs="Times New Roman"/>
        </w:rPr>
        <w:t xml:space="preserve">, OUP 2005). </w:t>
      </w:r>
    </w:p>
    <w:p w14:paraId="7FDF59B1" w14:textId="77777777" w:rsidR="00A22CB2" w:rsidRPr="00E7436B" w:rsidRDefault="00A22CB2" w:rsidP="008A767B">
      <w:pPr>
        <w:pStyle w:val="FootnoteText"/>
        <w:jc w:val="both"/>
        <w:rPr>
          <w:rFonts w:ascii="Times New Roman" w:hAnsi="Times New Roman" w:cs="Times New Roman"/>
          <w:color w:val="FF0000"/>
        </w:rPr>
      </w:pPr>
    </w:p>
  </w:footnote>
  <w:footnote w:id="36">
    <w:p w14:paraId="1E3AF03C" w14:textId="4526B162" w:rsidR="00A22CB2" w:rsidRPr="009657FE" w:rsidRDefault="00A22CB2" w:rsidP="008A767B">
      <w:pPr>
        <w:pStyle w:val="FootnoteText"/>
        <w:jc w:val="both"/>
        <w:rPr>
          <w:rFonts w:ascii="Times New Roman" w:hAnsi="Times New Roman" w:cs="Times New Roman"/>
        </w:rPr>
      </w:pPr>
      <w:r w:rsidRPr="009657FE">
        <w:rPr>
          <w:rStyle w:val="FootnoteReference"/>
          <w:rFonts w:ascii="Times New Roman" w:hAnsi="Times New Roman" w:cs="Times New Roman"/>
        </w:rPr>
        <w:footnoteRef/>
      </w:r>
      <w:r w:rsidRPr="009657FE">
        <w:rPr>
          <w:rFonts w:ascii="Times New Roman" w:hAnsi="Times New Roman" w:cs="Times New Roman"/>
        </w:rPr>
        <w:t xml:space="preserve"> Regulation (EU) 2016/679 of the European Parliament and of the Council of 27 April 2016 on the protection of natural persons with regard to the processing of person data and on the free movement of such data, and repealing Directive 95/46/EC (General Data Protection Regulation) (Text with EEA relevance), [2016] OJ L 119/1. See also Data Protection Act 2018.</w:t>
      </w:r>
    </w:p>
    <w:p w14:paraId="561EEFCF" w14:textId="77777777" w:rsidR="00A22CB2" w:rsidRPr="00E3790D" w:rsidRDefault="00A22CB2" w:rsidP="008A767B">
      <w:pPr>
        <w:pStyle w:val="FootnoteText"/>
        <w:jc w:val="both"/>
        <w:rPr>
          <w:rFonts w:ascii="Times New Roman" w:hAnsi="Times New Roman" w:cs="Times New Roman"/>
          <w:color w:val="FF0000"/>
          <w:highlight w:val="yellow"/>
        </w:rPr>
      </w:pPr>
    </w:p>
  </w:footnote>
  <w:footnote w:id="37">
    <w:p w14:paraId="198FB41E" w14:textId="343B51F2" w:rsidR="00A22CB2" w:rsidRDefault="00A22CB2" w:rsidP="008A767B">
      <w:pPr>
        <w:pStyle w:val="FootnoteText"/>
        <w:jc w:val="both"/>
        <w:rPr>
          <w:rFonts w:ascii="Times New Roman" w:hAnsi="Times New Roman" w:cs="Times New Roman"/>
        </w:rPr>
      </w:pPr>
      <w:r w:rsidRPr="009A7C08">
        <w:rPr>
          <w:rStyle w:val="FootnoteReference"/>
          <w:rFonts w:ascii="Times New Roman" w:hAnsi="Times New Roman" w:cs="Times New Roman"/>
        </w:rPr>
        <w:footnoteRef/>
      </w:r>
      <w:r w:rsidRPr="009A7C08">
        <w:rPr>
          <w:rFonts w:ascii="Times New Roman" w:hAnsi="Times New Roman" w:cs="Times New Roman"/>
        </w:rPr>
        <w:t xml:space="preserve"> Above</w:t>
      </w:r>
      <w:r>
        <w:rPr>
          <w:rFonts w:ascii="Times New Roman" w:hAnsi="Times New Roman" w:cs="Times New Roman"/>
        </w:rPr>
        <w:t xml:space="preserve"> (n 36).  </w:t>
      </w:r>
      <w:r w:rsidRPr="009A7C08">
        <w:rPr>
          <w:rFonts w:ascii="Times New Roman" w:hAnsi="Times New Roman" w:cs="Times New Roman"/>
        </w:rPr>
        <w:t xml:space="preserve">Article 6 (1) (f). It should be noted that if any research data related to health, it would be classed as ‘special category data’. Alongside the legitimate expectation ground, a further justification would also be needed for the lawful processing of this data. In a research context, this is most likely to be founded under Article 9, (j), </w:t>
      </w:r>
      <w:r>
        <w:rPr>
          <w:rFonts w:ascii="Times New Roman" w:hAnsi="Times New Roman" w:cs="Times New Roman"/>
        </w:rPr>
        <w:t xml:space="preserve">in </w:t>
      </w:r>
      <w:r w:rsidRPr="009A7C08">
        <w:rPr>
          <w:rFonts w:ascii="Times New Roman" w:hAnsi="Times New Roman" w:cs="Times New Roman"/>
        </w:rPr>
        <w:t>which processing is necessary for achieving purposes in the public interest, and scientific or historical research.</w:t>
      </w:r>
    </w:p>
    <w:p w14:paraId="05EFF19B" w14:textId="77777777" w:rsidR="00A22CB2" w:rsidRPr="00720EF3" w:rsidRDefault="00A22CB2" w:rsidP="008A767B">
      <w:pPr>
        <w:pStyle w:val="FootnoteText"/>
        <w:jc w:val="both"/>
        <w:rPr>
          <w:rFonts w:ascii="Times New Roman" w:hAnsi="Times New Roman" w:cs="Times New Roman"/>
        </w:rPr>
      </w:pPr>
    </w:p>
  </w:footnote>
  <w:footnote w:id="38">
    <w:p w14:paraId="74FC78E2" w14:textId="469DB141" w:rsidR="00A22CB2" w:rsidRPr="009A7C08" w:rsidRDefault="00A22CB2" w:rsidP="008A767B">
      <w:pPr>
        <w:pStyle w:val="FootnoteText"/>
        <w:jc w:val="both"/>
        <w:rPr>
          <w:rFonts w:ascii="Times New Roman" w:hAnsi="Times New Roman" w:cs="Times New Roman"/>
        </w:rPr>
      </w:pPr>
      <w:r w:rsidRPr="009A7C08">
        <w:rPr>
          <w:rStyle w:val="FootnoteReference"/>
          <w:rFonts w:ascii="Times New Roman" w:hAnsi="Times New Roman" w:cs="Times New Roman"/>
        </w:rPr>
        <w:footnoteRef/>
      </w:r>
      <w:r w:rsidRPr="009A7C08">
        <w:rPr>
          <w:rFonts w:ascii="Times New Roman" w:hAnsi="Times New Roman" w:cs="Times New Roman"/>
        </w:rPr>
        <w:t xml:space="preserve"> For the </w:t>
      </w:r>
      <w:r>
        <w:rPr>
          <w:rFonts w:ascii="Times New Roman" w:hAnsi="Times New Roman" w:cs="Times New Roman"/>
        </w:rPr>
        <w:t>data protection principles, see (n 36</w:t>
      </w:r>
      <w:r w:rsidRPr="009A7C08">
        <w:rPr>
          <w:rFonts w:ascii="Times New Roman" w:hAnsi="Times New Roman" w:cs="Times New Roman"/>
        </w:rPr>
        <w:t>)</w:t>
      </w:r>
      <w:r>
        <w:rPr>
          <w:rFonts w:ascii="Times New Roman" w:hAnsi="Times New Roman" w:cs="Times New Roman"/>
        </w:rPr>
        <w:t xml:space="preserve">, </w:t>
      </w:r>
      <w:r w:rsidRPr="009A7C08">
        <w:rPr>
          <w:rFonts w:ascii="Times New Roman" w:hAnsi="Times New Roman" w:cs="Times New Roman"/>
        </w:rPr>
        <w:t>Article 5</w:t>
      </w:r>
      <w:r>
        <w:rPr>
          <w:rFonts w:ascii="Times New Roman" w:hAnsi="Times New Roman" w:cs="Times New Roman"/>
        </w:rPr>
        <w:t xml:space="preserve"> (1) (a) – (f).  </w:t>
      </w:r>
      <w:r w:rsidRPr="009A7C08">
        <w:rPr>
          <w:rFonts w:ascii="Times New Roman" w:hAnsi="Times New Roman" w:cs="Times New Roman"/>
        </w:rPr>
        <w:t xml:space="preserve">For information on the wide interpretation of the legitimate interest ground, see </w:t>
      </w:r>
      <w:hyperlink r:id="rId3" w:history="1">
        <w:r w:rsidRPr="00CE2025">
          <w:rPr>
            <w:rStyle w:val="Hyperlink"/>
            <w:rFonts w:ascii="Times New Roman" w:hAnsi="Times New Roman" w:cs="Times New Roman"/>
            <w:color w:val="4472C4" w:themeColor="accent5"/>
          </w:rPr>
          <w:t>https://ico.org.uk/for-organisations/guide-to-data-protection/guide-to-the-general-data-protection-regulation-gdpr/lawful-basis-for-processing/legitimate-interests/</w:t>
        </w:r>
      </w:hyperlink>
      <w:r w:rsidRPr="00CE2025">
        <w:rPr>
          <w:rFonts w:ascii="Times New Roman" w:hAnsi="Times New Roman" w:cs="Times New Roman"/>
          <w:color w:val="4472C4" w:themeColor="accent5"/>
        </w:rPr>
        <w:t xml:space="preserve"> </w:t>
      </w:r>
      <w:r w:rsidRPr="009A7C08">
        <w:rPr>
          <w:rFonts w:ascii="Times New Roman" w:hAnsi="Times New Roman" w:cs="Times New Roman"/>
        </w:rPr>
        <w:t>&lt;accessed 22</w:t>
      </w:r>
      <w:r w:rsidRPr="009A7C08">
        <w:rPr>
          <w:rFonts w:ascii="Times New Roman" w:hAnsi="Times New Roman" w:cs="Times New Roman"/>
          <w:vertAlign w:val="superscript"/>
        </w:rPr>
        <w:t>nd</w:t>
      </w:r>
      <w:r w:rsidRPr="009A7C08">
        <w:rPr>
          <w:rFonts w:ascii="Times New Roman" w:hAnsi="Times New Roman" w:cs="Times New Roman"/>
        </w:rPr>
        <w:t xml:space="preserve"> Feb 2019&gt;.</w:t>
      </w:r>
    </w:p>
    <w:p w14:paraId="23FFD9FA" w14:textId="77777777" w:rsidR="00A22CB2" w:rsidRPr="00E7436B" w:rsidRDefault="00A22CB2" w:rsidP="008A767B">
      <w:pPr>
        <w:pStyle w:val="FootnoteText"/>
        <w:jc w:val="both"/>
        <w:rPr>
          <w:rFonts w:ascii="Times New Roman" w:hAnsi="Times New Roman" w:cs="Times New Roman"/>
          <w:color w:val="FF0000"/>
        </w:rPr>
      </w:pPr>
    </w:p>
  </w:footnote>
  <w:footnote w:id="39">
    <w:p w14:paraId="14B67B1A" w14:textId="3C708763" w:rsidR="00A22CB2" w:rsidRPr="008A767B" w:rsidRDefault="00A22CB2" w:rsidP="008A767B">
      <w:pPr>
        <w:pStyle w:val="FootnoteText"/>
        <w:jc w:val="both"/>
        <w:rPr>
          <w:rFonts w:ascii="Times New Roman" w:hAnsi="Times New Roman" w:cs="Times New Roman"/>
        </w:rPr>
      </w:pPr>
      <w:r w:rsidRPr="008A767B">
        <w:rPr>
          <w:rStyle w:val="FootnoteReference"/>
          <w:rFonts w:ascii="Times New Roman" w:hAnsi="Times New Roman" w:cs="Times New Roman"/>
        </w:rPr>
        <w:footnoteRef/>
      </w:r>
      <w:r w:rsidRPr="008A767B">
        <w:rPr>
          <w:rFonts w:ascii="Times New Roman" w:hAnsi="Times New Roman" w:cs="Times New Roman"/>
        </w:rPr>
        <w:t xml:space="preserve"> Anonymised data falls outside the definition of ‘</w:t>
      </w:r>
      <w:r>
        <w:rPr>
          <w:rFonts w:ascii="Times New Roman" w:hAnsi="Times New Roman" w:cs="Times New Roman"/>
        </w:rPr>
        <w:t xml:space="preserve">personal data’, contained in (n 36) Article 4 (1).  For older English authority </w:t>
      </w:r>
      <w:r w:rsidRPr="008A767B">
        <w:rPr>
          <w:rFonts w:ascii="Times New Roman" w:hAnsi="Times New Roman" w:cs="Times New Roman"/>
        </w:rPr>
        <w:t xml:space="preserve">on this point, see </w:t>
      </w:r>
      <w:r w:rsidRPr="008A767B">
        <w:rPr>
          <w:rFonts w:ascii="Times New Roman" w:hAnsi="Times New Roman" w:cs="Times New Roman"/>
          <w:i/>
        </w:rPr>
        <w:t>R v Department of Health, ex p Source Informatics Ltd (No.1)</w:t>
      </w:r>
      <w:r w:rsidRPr="008A767B">
        <w:rPr>
          <w:rFonts w:ascii="Times New Roman" w:hAnsi="Times New Roman" w:cs="Times New Roman"/>
        </w:rPr>
        <w:t xml:space="preserve"> [2001] QB 424.</w:t>
      </w:r>
    </w:p>
    <w:p w14:paraId="379D57CF" w14:textId="523E3288" w:rsidR="00A22CB2" w:rsidRPr="00E7436B" w:rsidRDefault="00A22CB2" w:rsidP="008A767B">
      <w:pPr>
        <w:pStyle w:val="FootnoteText"/>
        <w:jc w:val="both"/>
        <w:rPr>
          <w:rFonts w:ascii="Times New Roman" w:hAnsi="Times New Roman" w:cs="Times New Roman"/>
          <w:color w:val="FF0000"/>
        </w:rPr>
      </w:pPr>
      <w:r w:rsidRPr="00E7436B">
        <w:rPr>
          <w:rFonts w:ascii="Times New Roman" w:hAnsi="Times New Roman" w:cs="Times New Roman"/>
          <w:color w:val="FF0000"/>
        </w:rPr>
        <w:t xml:space="preserve"> </w:t>
      </w:r>
    </w:p>
  </w:footnote>
  <w:footnote w:id="40">
    <w:p w14:paraId="1C6E6E73" w14:textId="6E647844" w:rsidR="00A22CB2" w:rsidRPr="00D20461" w:rsidRDefault="00A22CB2" w:rsidP="00D20461">
      <w:pPr>
        <w:pStyle w:val="FootnoteText"/>
        <w:jc w:val="both"/>
        <w:rPr>
          <w:rFonts w:ascii="Times New Roman" w:hAnsi="Times New Roman" w:cs="Times New Roman"/>
          <w:color w:val="FF0000"/>
        </w:rPr>
      </w:pPr>
      <w:r w:rsidRPr="00D20461">
        <w:rPr>
          <w:rStyle w:val="FootnoteReference"/>
          <w:rFonts w:ascii="Times New Roman" w:hAnsi="Times New Roman" w:cs="Times New Roman"/>
          <w:color w:val="FF0000"/>
        </w:rPr>
        <w:footnoteRef/>
      </w:r>
      <w:r w:rsidRPr="00D20461">
        <w:rPr>
          <w:rFonts w:ascii="Times New Roman" w:hAnsi="Times New Roman" w:cs="Times New Roman"/>
          <w:color w:val="FF0000"/>
        </w:rPr>
        <w:t xml:space="preserve"> Mental Capacity Act 2005: Code of Practice, para [11.15] and [11.18].</w:t>
      </w:r>
    </w:p>
    <w:p w14:paraId="499E1C5B" w14:textId="77777777" w:rsidR="00A22CB2" w:rsidRDefault="00A22CB2">
      <w:pPr>
        <w:pStyle w:val="FootnoteText"/>
      </w:pPr>
    </w:p>
  </w:footnote>
  <w:footnote w:id="41">
    <w:p w14:paraId="2D53F2BF" w14:textId="17999DB7" w:rsidR="00A22CB2" w:rsidRPr="00C83C97" w:rsidRDefault="00A22CB2" w:rsidP="00C83C97">
      <w:pPr>
        <w:pStyle w:val="FootnoteText"/>
        <w:jc w:val="both"/>
        <w:rPr>
          <w:rFonts w:ascii="Times New Roman" w:hAnsi="Times New Roman" w:cs="Times New Roman"/>
          <w:color w:val="FF0000"/>
        </w:rPr>
      </w:pPr>
      <w:r w:rsidRPr="00C83C97">
        <w:rPr>
          <w:rStyle w:val="FootnoteReference"/>
          <w:rFonts w:ascii="Times New Roman" w:hAnsi="Times New Roman" w:cs="Times New Roman"/>
          <w:color w:val="FF0000"/>
        </w:rPr>
        <w:footnoteRef/>
      </w:r>
      <w:r w:rsidRPr="00C83C97">
        <w:rPr>
          <w:rFonts w:ascii="Times New Roman" w:hAnsi="Times New Roman" w:cs="Times New Roman"/>
          <w:color w:val="FF0000"/>
        </w:rPr>
        <w:t xml:space="preserve"> NHS Health Research Authority, Mental Capacity Act: </w:t>
      </w:r>
      <w:hyperlink r:id="rId4" w:history="1">
        <w:r w:rsidRPr="00C83C97">
          <w:rPr>
            <w:rStyle w:val="Hyperlink"/>
            <w:rFonts w:ascii="Times New Roman" w:hAnsi="Times New Roman" w:cs="Times New Roman"/>
            <w:color w:val="FF0000"/>
          </w:rPr>
          <w:t>https://www.hra.nhs.uk/planning-and-improving-research/policies-standards-legislation/mental-capacity-act/</w:t>
        </w:r>
      </w:hyperlink>
      <w:r w:rsidRPr="00C83C97">
        <w:rPr>
          <w:rFonts w:ascii="Times New Roman" w:hAnsi="Times New Roman" w:cs="Times New Roman"/>
          <w:color w:val="FF0000"/>
        </w:rPr>
        <w:t>. &lt;Accessed 21</w:t>
      </w:r>
      <w:r w:rsidRPr="00C83C97">
        <w:rPr>
          <w:rFonts w:ascii="Times New Roman" w:hAnsi="Times New Roman" w:cs="Times New Roman"/>
          <w:color w:val="FF0000"/>
          <w:vertAlign w:val="superscript"/>
        </w:rPr>
        <w:t>st</w:t>
      </w:r>
      <w:r w:rsidRPr="00C83C97">
        <w:rPr>
          <w:rFonts w:ascii="Times New Roman" w:hAnsi="Times New Roman" w:cs="Times New Roman"/>
          <w:color w:val="FF0000"/>
        </w:rPr>
        <w:t xml:space="preserve"> February 2019&gt;.</w:t>
      </w:r>
    </w:p>
    <w:p w14:paraId="5260FE1B" w14:textId="77777777" w:rsidR="00A22CB2" w:rsidRPr="00C83C97" w:rsidRDefault="00A22CB2" w:rsidP="00C83C97">
      <w:pPr>
        <w:pStyle w:val="FootnoteText"/>
        <w:jc w:val="both"/>
        <w:rPr>
          <w:rFonts w:ascii="Times New Roman" w:hAnsi="Times New Roman" w:cs="Times New Roman"/>
          <w:color w:val="FF0000"/>
        </w:rPr>
      </w:pPr>
    </w:p>
  </w:footnote>
  <w:footnote w:id="42">
    <w:p w14:paraId="00E8AAE7" w14:textId="0D6EDE20" w:rsidR="00A22CB2" w:rsidRPr="00C83C97" w:rsidRDefault="00A22CB2" w:rsidP="00C83C97">
      <w:pPr>
        <w:pStyle w:val="FootnoteText"/>
        <w:jc w:val="both"/>
        <w:rPr>
          <w:rFonts w:ascii="Times New Roman" w:hAnsi="Times New Roman" w:cs="Times New Roman"/>
          <w:color w:val="FF0000"/>
        </w:rPr>
      </w:pPr>
      <w:r w:rsidRPr="00C83C97">
        <w:rPr>
          <w:rStyle w:val="FootnoteReference"/>
          <w:rFonts w:ascii="Times New Roman" w:hAnsi="Times New Roman" w:cs="Times New Roman"/>
          <w:color w:val="FF0000"/>
        </w:rPr>
        <w:footnoteRef/>
      </w:r>
      <w:r w:rsidRPr="00C83C97">
        <w:rPr>
          <w:rFonts w:ascii="Times New Roman" w:hAnsi="Times New Roman" w:cs="Times New Roman"/>
          <w:color w:val="FF0000"/>
        </w:rPr>
        <w:t xml:space="preserve"> Ibid.</w:t>
      </w:r>
    </w:p>
    <w:p w14:paraId="78F10767" w14:textId="77777777" w:rsidR="00A22CB2" w:rsidRPr="00E7436B" w:rsidRDefault="00A22CB2" w:rsidP="00C83C97">
      <w:pPr>
        <w:pStyle w:val="FootnoteText"/>
        <w:jc w:val="both"/>
        <w:rPr>
          <w:rFonts w:ascii="Times New Roman" w:hAnsi="Times New Roman" w:cs="Times New Roman"/>
          <w:color w:val="FF0000"/>
        </w:rPr>
      </w:pPr>
      <w:r w:rsidRPr="00C83C97">
        <w:rPr>
          <w:rFonts w:ascii="Times New Roman" w:hAnsi="Times New Roman" w:cs="Times New Roman"/>
          <w:color w:val="FF0000"/>
        </w:rPr>
        <w:t xml:space="preserve"> </w:t>
      </w:r>
    </w:p>
  </w:footnote>
  <w:footnote w:id="43">
    <w:p w14:paraId="76EA98D6" w14:textId="5DF54892" w:rsidR="00A22CB2" w:rsidRPr="00B85613" w:rsidRDefault="00A22CB2" w:rsidP="00B27CAF">
      <w:pPr>
        <w:pStyle w:val="FootnoteText"/>
        <w:jc w:val="both"/>
        <w:rPr>
          <w:rFonts w:ascii="Times New Roman" w:hAnsi="Times New Roman" w:cs="Times New Roman"/>
        </w:rPr>
      </w:pPr>
      <w:r w:rsidRPr="00B85613">
        <w:rPr>
          <w:rStyle w:val="FootnoteReference"/>
          <w:rFonts w:ascii="Times New Roman" w:hAnsi="Times New Roman" w:cs="Times New Roman"/>
        </w:rPr>
        <w:footnoteRef/>
      </w:r>
      <w:r w:rsidRPr="00B85613">
        <w:rPr>
          <w:rFonts w:ascii="Times New Roman" w:hAnsi="Times New Roman" w:cs="Times New Roman"/>
        </w:rPr>
        <w:t xml:space="preserve"> </w:t>
      </w:r>
      <w:r>
        <w:rPr>
          <w:rFonts w:ascii="Times New Roman" w:hAnsi="Times New Roman" w:cs="Times New Roman"/>
        </w:rPr>
        <w:t xml:space="preserve">See, for example, </w:t>
      </w:r>
      <w:r w:rsidR="00CD21C1">
        <w:rPr>
          <w:rFonts w:ascii="Times New Roman" w:hAnsi="Times New Roman" w:cs="Times New Roman"/>
        </w:rPr>
        <w:t xml:space="preserve">the Human Fertilisation and Embryology Acts of 1990 and 2008, which are supplemented by the </w:t>
      </w:r>
      <w:r w:rsidRPr="00B85613">
        <w:rPr>
          <w:rFonts w:ascii="Times New Roman" w:hAnsi="Times New Roman" w:cs="Times New Roman"/>
        </w:rPr>
        <w:t xml:space="preserve">Human Fertilisation and Embryology Authority: Code of Practice (v9 2018). </w:t>
      </w:r>
    </w:p>
    <w:p w14:paraId="20F653FD" w14:textId="77777777" w:rsidR="00A22CB2" w:rsidRPr="00441C92" w:rsidRDefault="00A22CB2" w:rsidP="00441C92">
      <w:pPr>
        <w:pStyle w:val="FootnoteText"/>
        <w:jc w:val="both"/>
        <w:rPr>
          <w:rFonts w:ascii="Times New Roman" w:hAnsi="Times New Roman" w:cs="Times New Roman"/>
          <w:color w:val="FF0000"/>
        </w:rPr>
      </w:pPr>
    </w:p>
  </w:footnote>
  <w:footnote w:id="44">
    <w:p w14:paraId="035B607D" w14:textId="06F90827" w:rsidR="00A22CB2" w:rsidRPr="00441C92" w:rsidRDefault="00A22CB2" w:rsidP="00BC1A74">
      <w:pPr>
        <w:pStyle w:val="FootnoteText"/>
        <w:jc w:val="both"/>
        <w:rPr>
          <w:rFonts w:ascii="Times New Roman" w:hAnsi="Times New Roman" w:cs="Times New Roman"/>
          <w:color w:val="FF0000"/>
        </w:rPr>
      </w:pPr>
      <w:r w:rsidRPr="00185379">
        <w:rPr>
          <w:rStyle w:val="FootnoteReference"/>
          <w:rFonts w:ascii="Times New Roman" w:hAnsi="Times New Roman" w:cs="Times New Roman"/>
          <w:color w:val="FF0000"/>
        </w:rPr>
        <w:footnoteRef/>
      </w:r>
      <w:r w:rsidR="00BC1A74">
        <w:rPr>
          <w:rFonts w:ascii="Times New Roman" w:hAnsi="Times New Roman" w:cs="Times New Roman"/>
          <w:color w:val="FF0000"/>
        </w:rPr>
        <w:t xml:space="preserve"> See </w:t>
      </w:r>
      <w:r w:rsidR="00BC1A74" w:rsidRPr="00BC1A74">
        <w:rPr>
          <w:rFonts w:ascii="Times New Roman" w:hAnsi="Times New Roman" w:cs="Times New Roman"/>
          <w:color w:val="FF0000"/>
        </w:rPr>
        <w:t xml:space="preserve">HL Deb 01 </w:t>
      </w:r>
      <w:r w:rsidR="00BC1A74">
        <w:rPr>
          <w:rFonts w:ascii="Times New Roman" w:hAnsi="Times New Roman" w:cs="Times New Roman"/>
          <w:color w:val="FF0000"/>
        </w:rPr>
        <w:t xml:space="preserve">Feb 2005, vol </w:t>
      </w:r>
      <w:r w:rsidR="00CD21C1">
        <w:rPr>
          <w:rFonts w:ascii="Times New Roman" w:hAnsi="Times New Roman" w:cs="Times New Roman"/>
          <w:color w:val="FF0000"/>
        </w:rPr>
        <w:t>669, cols 132</w:t>
      </w:r>
      <w:r w:rsidR="00601ADB">
        <w:rPr>
          <w:rFonts w:ascii="Times New Roman" w:hAnsi="Times New Roman" w:cs="Times New Roman"/>
          <w:color w:val="FF0000"/>
        </w:rPr>
        <w:t>-135</w:t>
      </w:r>
      <w:r w:rsidR="00BC1A74">
        <w:rPr>
          <w:rFonts w:ascii="Times New Roman" w:hAnsi="Times New Roman" w:cs="Times New Roman"/>
          <w:color w:val="FF0000"/>
        </w:rPr>
        <w:t xml:space="preserve">:  </w:t>
      </w:r>
      <w:hyperlink r:id="rId5" w:anchor="S5LV0669P0_20050201_HOL_123" w:history="1">
        <w:r w:rsidR="00BC1A74" w:rsidRPr="00071A44">
          <w:rPr>
            <w:rStyle w:val="Hyperlink"/>
            <w:rFonts w:ascii="Times New Roman" w:hAnsi="Times New Roman" w:cs="Times New Roman"/>
          </w:rPr>
          <w:t>https://api.parliament.uk/historic-hansard/lords/2005/feb/01/mental-capacity-bill-37-pm#S5LV0669P0_20050201_HOL_123</w:t>
        </w:r>
      </w:hyperlink>
      <w:r w:rsidR="00BC1A74">
        <w:rPr>
          <w:rFonts w:ascii="Times New Roman" w:hAnsi="Times New Roman" w:cs="Times New Roman"/>
          <w:color w:val="FF0000"/>
        </w:rPr>
        <w:t xml:space="preserve"> &lt;Accessed 26th February </w:t>
      </w:r>
      <w:r w:rsidR="00BC1A74" w:rsidRPr="00BC1A74">
        <w:rPr>
          <w:rFonts w:ascii="Times New Roman" w:hAnsi="Times New Roman" w:cs="Times New Roman"/>
          <w:color w:val="FF0000"/>
        </w:rPr>
        <w:t>2019&gt;.</w:t>
      </w:r>
    </w:p>
    <w:p w14:paraId="6341C8B4" w14:textId="77777777" w:rsidR="00A22CB2" w:rsidRDefault="00A22CB2">
      <w:pPr>
        <w:pStyle w:val="FootnoteText"/>
      </w:pPr>
    </w:p>
  </w:footnote>
  <w:footnote w:id="45">
    <w:p w14:paraId="6C4F7E85" w14:textId="205C5B1A" w:rsidR="00A22CB2" w:rsidRDefault="00A22CB2" w:rsidP="007F63BC">
      <w:pPr>
        <w:pStyle w:val="FootnoteText"/>
        <w:jc w:val="both"/>
        <w:rPr>
          <w:rFonts w:ascii="Times New Roman" w:hAnsi="Times New Roman" w:cs="Times New Roman"/>
        </w:rPr>
      </w:pPr>
      <w:r w:rsidRPr="007F63BC">
        <w:rPr>
          <w:rStyle w:val="FootnoteReference"/>
          <w:rFonts w:ascii="Times New Roman" w:hAnsi="Times New Roman" w:cs="Times New Roman"/>
        </w:rPr>
        <w:footnoteRef/>
      </w:r>
      <w:r w:rsidRPr="007F63BC">
        <w:rPr>
          <w:rFonts w:ascii="Times New Roman" w:hAnsi="Times New Roman" w:cs="Times New Roman"/>
        </w:rPr>
        <w:t xml:space="preserve"> A key compon</w:t>
      </w:r>
      <w:r>
        <w:rPr>
          <w:rFonts w:ascii="Times New Roman" w:hAnsi="Times New Roman" w:cs="Times New Roman"/>
        </w:rPr>
        <w:t xml:space="preserve">ent of the ASSENT Project at </w:t>
      </w:r>
      <w:r w:rsidRPr="00416655">
        <w:rPr>
          <w:rFonts w:ascii="Times New Roman" w:hAnsi="Times New Roman" w:cs="Times New Roman"/>
        </w:rPr>
        <w:t>UEA</w:t>
      </w:r>
      <w:r w:rsidRPr="007F63BC">
        <w:rPr>
          <w:rFonts w:ascii="Times New Roman" w:hAnsi="Times New Roman" w:cs="Times New Roman"/>
        </w:rPr>
        <w:t xml:space="preserve"> is to assess how many applications MCA REC actually receive in respect of incapacitated participants. </w:t>
      </w:r>
    </w:p>
    <w:p w14:paraId="6C711F79" w14:textId="77777777" w:rsidR="00A22CB2" w:rsidRPr="007F63BC" w:rsidRDefault="00A22CB2" w:rsidP="007F63BC">
      <w:pPr>
        <w:pStyle w:val="FootnoteText"/>
        <w:jc w:val="both"/>
        <w:rPr>
          <w:rFonts w:ascii="Times New Roman" w:hAnsi="Times New Roman" w:cs="Times New Roman"/>
        </w:rPr>
      </w:pPr>
    </w:p>
  </w:footnote>
  <w:footnote w:id="46">
    <w:p w14:paraId="4CDDB3BB" w14:textId="4DCC1175" w:rsidR="00A22CB2" w:rsidRPr="00B85613" w:rsidRDefault="00A22CB2" w:rsidP="0097199E">
      <w:pPr>
        <w:pStyle w:val="FootnoteText"/>
        <w:jc w:val="both"/>
        <w:rPr>
          <w:rFonts w:ascii="Times New Roman" w:hAnsi="Times New Roman" w:cs="Times New Roman"/>
        </w:rPr>
      </w:pPr>
      <w:r w:rsidRPr="00B85613">
        <w:rPr>
          <w:rStyle w:val="FootnoteReference"/>
          <w:rFonts w:ascii="Times New Roman" w:hAnsi="Times New Roman" w:cs="Times New Roman"/>
        </w:rPr>
        <w:footnoteRef/>
      </w:r>
      <w:r>
        <w:rPr>
          <w:rFonts w:ascii="Times New Roman" w:hAnsi="Times New Roman" w:cs="Times New Roman"/>
        </w:rPr>
        <w:t xml:space="preserve"> </w:t>
      </w:r>
      <w:r w:rsidRPr="00B85613">
        <w:rPr>
          <w:rFonts w:ascii="Times New Roman" w:hAnsi="Times New Roman" w:cs="Times New Roman"/>
        </w:rPr>
        <w:t>McHale</w:t>
      </w:r>
      <w:r>
        <w:rPr>
          <w:rFonts w:ascii="Times New Roman" w:hAnsi="Times New Roman" w:cs="Times New Roman"/>
        </w:rPr>
        <w:t xml:space="preserve"> (n 5) at 67. McHale’s reference to ‘NHS research ethics committees’ is what we have labelled MCA RECs throughout this piece.</w:t>
      </w:r>
    </w:p>
    <w:p w14:paraId="7044F59B" w14:textId="77777777" w:rsidR="00A22CB2" w:rsidRPr="00E7436B" w:rsidRDefault="00A22CB2" w:rsidP="0097199E">
      <w:pPr>
        <w:pStyle w:val="FootnoteText"/>
        <w:jc w:val="both"/>
        <w:rPr>
          <w:rFonts w:ascii="Times New Roman" w:hAnsi="Times New Roman" w:cs="Times New Roman"/>
          <w:color w:val="FF0000"/>
        </w:rPr>
      </w:pPr>
    </w:p>
  </w:footnote>
  <w:footnote w:id="47">
    <w:p w14:paraId="5E041B76" w14:textId="2DD73037" w:rsidR="00A22CB2" w:rsidRPr="00E7436B" w:rsidRDefault="00A22CB2" w:rsidP="00444AC5">
      <w:pPr>
        <w:pStyle w:val="FootnoteText"/>
        <w:jc w:val="both"/>
        <w:rPr>
          <w:rFonts w:ascii="Times New Roman" w:hAnsi="Times New Roman" w:cs="Times New Roman"/>
          <w:color w:val="FF0000"/>
        </w:rPr>
      </w:pPr>
      <w:r w:rsidRPr="002C50BB">
        <w:rPr>
          <w:rStyle w:val="FootnoteReference"/>
          <w:rFonts w:ascii="Times New Roman" w:hAnsi="Times New Roman" w:cs="Times New Roman"/>
        </w:rPr>
        <w:footnoteRef/>
      </w:r>
      <w:r w:rsidRPr="00E7436B">
        <w:rPr>
          <w:rFonts w:ascii="Times New Roman" w:hAnsi="Times New Roman" w:cs="Times New Roman"/>
          <w:color w:val="FF0000"/>
        </w:rPr>
        <w:t xml:space="preserve"> </w:t>
      </w:r>
      <w:r>
        <w:rPr>
          <w:rFonts w:ascii="Times New Roman" w:hAnsi="Times New Roman" w:cs="Times New Roman"/>
        </w:rPr>
        <w:t>Mental Capacity Act 2005, s 31 (2) (a) and (b).</w:t>
      </w:r>
      <w:r>
        <w:t xml:space="preserve"> </w:t>
      </w:r>
    </w:p>
    <w:p w14:paraId="5E9E6CFC" w14:textId="77777777" w:rsidR="00A22CB2" w:rsidRPr="00E7436B" w:rsidRDefault="00A22CB2" w:rsidP="00444AC5">
      <w:pPr>
        <w:pStyle w:val="FootnoteText"/>
        <w:jc w:val="both"/>
        <w:rPr>
          <w:rFonts w:ascii="Times New Roman" w:hAnsi="Times New Roman" w:cs="Times New Roman"/>
          <w:color w:val="FF0000"/>
        </w:rPr>
      </w:pPr>
    </w:p>
  </w:footnote>
  <w:footnote w:id="48">
    <w:p w14:paraId="498A7FB5" w14:textId="77777777" w:rsidR="00A22CB2" w:rsidRDefault="00A22CB2" w:rsidP="00F46E15">
      <w:pPr>
        <w:pStyle w:val="FootnoteText"/>
        <w:jc w:val="both"/>
        <w:rPr>
          <w:rFonts w:ascii="Times New Roman" w:hAnsi="Times New Roman" w:cs="Times New Roman"/>
        </w:rPr>
      </w:pPr>
      <w:r w:rsidRPr="00F46E15">
        <w:rPr>
          <w:rStyle w:val="FootnoteReference"/>
          <w:rFonts w:ascii="Times New Roman" w:hAnsi="Times New Roman" w:cs="Times New Roman"/>
        </w:rPr>
        <w:footnoteRef/>
      </w:r>
      <w:r w:rsidRPr="00E7436B">
        <w:rPr>
          <w:rFonts w:ascii="Times New Roman" w:hAnsi="Times New Roman" w:cs="Times New Roman"/>
          <w:color w:val="FF0000"/>
        </w:rPr>
        <w:t xml:space="preserve"> </w:t>
      </w:r>
      <w:r>
        <w:rPr>
          <w:rFonts w:ascii="Times New Roman" w:hAnsi="Times New Roman" w:cs="Times New Roman"/>
        </w:rPr>
        <w:t>Mental Capacity Act 2005, s 31 (3).</w:t>
      </w:r>
    </w:p>
    <w:p w14:paraId="3D64C5CF" w14:textId="4153DE78" w:rsidR="00A22CB2" w:rsidRPr="00CE0A35" w:rsidRDefault="00A22CB2" w:rsidP="00F46E15">
      <w:pPr>
        <w:pStyle w:val="FootnoteText"/>
        <w:jc w:val="both"/>
        <w:rPr>
          <w:rFonts w:ascii="Times New Roman" w:hAnsi="Times New Roman" w:cs="Times New Roman"/>
        </w:rPr>
      </w:pPr>
      <w:r>
        <w:rPr>
          <w:rFonts w:ascii="Times New Roman" w:hAnsi="Times New Roman" w:cs="Times New Roman"/>
        </w:rPr>
        <w:t xml:space="preserve"> </w:t>
      </w:r>
    </w:p>
  </w:footnote>
  <w:footnote w:id="49">
    <w:p w14:paraId="52A253CC" w14:textId="3E6F999C" w:rsidR="00A22CB2" w:rsidRPr="00E6217E" w:rsidRDefault="00A22CB2" w:rsidP="00E6217E">
      <w:pPr>
        <w:pStyle w:val="FootnoteText"/>
        <w:jc w:val="both"/>
        <w:rPr>
          <w:rFonts w:ascii="Times New Roman" w:hAnsi="Times New Roman" w:cs="Times New Roman"/>
        </w:rPr>
      </w:pPr>
      <w:r w:rsidRPr="00F46E15">
        <w:rPr>
          <w:rStyle w:val="FootnoteReference"/>
          <w:rFonts w:ascii="Times New Roman" w:hAnsi="Times New Roman" w:cs="Times New Roman"/>
        </w:rPr>
        <w:footnoteRef/>
      </w:r>
      <w:r>
        <w:rPr>
          <w:rFonts w:ascii="Times New Roman" w:hAnsi="Times New Roman" w:cs="Times New Roman"/>
        </w:rPr>
        <w:t xml:space="preserve"> </w:t>
      </w:r>
      <w:r w:rsidRPr="00D86D4D">
        <w:rPr>
          <w:rFonts w:ascii="Times New Roman" w:hAnsi="Times New Roman" w:cs="Times New Roman"/>
        </w:rPr>
        <w:t xml:space="preserve">Mabel </w:t>
      </w:r>
      <w:r w:rsidRPr="003A6AA9">
        <w:rPr>
          <w:rFonts w:ascii="Times New Roman" w:hAnsi="Times New Roman" w:cs="Times New Roman"/>
        </w:rPr>
        <w:t>Stevenson and Brian J Taylor</w:t>
      </w:r>
      <w:r>
        <w:rPr>
          <w:rFonts w:ascii="Times New Roman" w:hAnsi="Times New Roman" w:cs="Times New Roman"/>
        </w:rPr>
        <w:t>, ‘Involving Individuals with Dementia as Co-Researchers in Analysis of Findings from a Qualitative S</w:t>
      </w:r>
      <w:r w:rsidRPr="003A6AA9">
        <w:rPr>
          <w:rFonts w:ascii="Times New Roman" w:hAnsi="Times New Roman" w:cs="Times New Roman"/>
        </w:rPr>
        <w:t>tudy</w:t>
      </w:r>
      <w:r>
        <w:rPr>
          <w:rFonts w:ascii="Times New Roman" w:hAnsi="Times New Roman" w:cs="Times New Roman"/>
        </w:rPr>
        <w:t xml:space="preserve">’ (2019) 18 </w:t>
      </w:r>
      <w:r w:rsidRPr="003A6AA9">
        <w:rPr>
          <w:rFonts w:ascii="Times New Roman" w:hAnsi="Times New Roman" w:cs="Times New Roman"/>
          <w:i/>
        </w:rPr>
        <w:t>Dementia</w:t>
      </w:r>
      <w:r>
        <w:rPr>
          <w:rFonts w:ascii="Times New Roman" w:hAnsi="Times New Roman" w:cs="Times New Roman"/>
        </w:rPr>
        <w:t xml:space="preserve"> 701;</w:t>
      </w:r>
      <w:r>
        <w:t xml:space="preserve"> </w:t>
      </w:r>
      <w:r w:rsidRPr="00C77E16">
        <w:rPr>
          <w:rFonts w:ascii="Times New Roman" w:hAnsi="Times New Roman" w:cs="Times New Roman"/>
        </w:rPr>
        <w:t xml:space="preserve">Julie </w:t>
      </w:r>
      <w:proofErr w:type="spellStart"/>
      <w:r w:rsidRPr="00C77E16">
        <w:rPr>
          <w:rFonts w:ascii="Times New Roman" w:hAnsi="Times New Roman" w:cs="Times New Roman"/>
        </w:rPr>
        <w:t>Calveley</w:t>
      </w:r>
      <w:proofErr w:type="spellEnd"/>
      <w:r w:rsidRPr="00C77E16">
        <w:rPr>
          <w:rFonts w:ascii="Times New Roman" w:hAnsi="Times New Roman" w:cs="Times New Roman"/>
        </w:rPr>
        <w:t xml:space="preserve">, ‘Including Adults with Intellectual Disabilities who Lack Capacity to Consent in Research’ (2012) 19 </w:t>
      </w:r>
      <w:r w:rsidRPr="00C77E16">
        <w:rPr>
          <w:rFonts w:ascii="Times New Roman" w:hAnsi="Times New Roman" w:cs="Times New Roman"/>
          <w:i/>
        </w:rPr>
        <w:t>Nursing Ethics</w:t>
      </w:r>
      <w:r>
        <w:rPr>
          <w:rFonts w:ascii="Times New Roman" w:hAnsi="Times New Roman" w:cs="Times New Roman"/>
        </w:rPr>
        <w:t xml:space="preserve"> 558; Ruth Bartlett, ‘</w:t>
      </w:r>
      <w:r w:rsidRPr="00E6217E">
        <w:rPr>
          <w:rFonts w:ascii="Times New Roman" w:hAnsi="Times New Roman" w:cs="Times New Roman"/>
        </w:rPr>
        <w:t>Modifying the Diary Interview Method to Research the Lives of People With Dementia</w:t>
      </w:r>
      <w:r>
        <w:rPr>
          <w:rFonts w:ascii="Times New Roman" w:hAnsi="Times New Roman" w:cs="Times New Roman"/>
        </w:rPr>
        <w:t xml:space="preserve">’ (2012) 22 </w:t>
      </w:r>
      <w:r w:rsidRPr="00E6217E">
        <w:rPr>
          <w:rFonts w:ascii="Times New Roman" w:hAnsi="Times New Roman" w:cs="Times New Roman"/>
          <w:i/>
        </w:rPr>
        <w:t>Qualitative Health Research</w:t>
      </w:r>
      <w:r>
        <w:rPr>
          <w:rFonts w:ascii="Times New Roman" w:hAnsi="Times New Roman" w:cs="Times New Roman"/>
        </w:rPr>
        <w:t xml:space="preserve"> 1717.</w:t>
      </w:r>
    </w:p>
    <w:p w14:paraId="38758922" w14:textId="77777777" w:rsidR="00A22CB2" w:rsidRPr="00E7436B" w:rsidRDefault="00A22CB2" w:rsidP="00444AC5">
      <w:pPr>
        <w:pStyle w:val="FootnoteText"/>
        <w:jc w:val="both"/>
        <w:rPr>
          <w:rFonts w:ascii="Times New Roman" w:hAnsi="Times New Roman" w:cs="Times New Roman"/>
          <w:color w:val="FF0000"/>
        </w:rPr>
      </w:pPr>
    </w:p>
  </w:footnote>
  <w:footnote w:id="50">
    <w:p w14:paraId="101AB6E5" w14:textId="5C81AE60" w:rsidR="00A22CB2" w:rsidRPr="00E7436B" w:rsidRDefault="00A22CB2" w:rsidP="00444AC5">
      <w:pPr>
        <w:pStyle w:val="FootnoteText"/>
        <w:jc w:val="both"/>
        <w:rPr>
          <w:rFonts w:ascii="Times New Roman" w:hAnsi="Times New Roman" w:cs="Times New Roman"/>
          <w:color w:val="FF0000"/>
        </w:rPr>
      </w:pPr>
      <w:r w:rsidRPr="00F46E15">
        <w:rPr>
          <w:rStyle w:val="FootnoteReference"/>
          <w:rFonts w:ascii="Times New Roman" w:hAnsi="Times New Roman" w:cs="Times New Roman"/>
        </w:rPr>
        <w:footnoteRef/>
      </w:r>
      <w:r w:rsidRPr="00F46E15">
        <w:rPr>
          <w:rFonts w:ascii="Times New Roman" w:hAnsi="Times New Roman" w:cs="Times New Roman"/>
        </w:rPr>
        <w:t xml:space="preserve"> </w:t>
      </w:r>
      <w:r w:rsidRPr="00DC70CF">
        <w:rPr>
          <w:rFonts w:ascii="Times New Roman" w:hAnsi="Times New Roman" w:cs="Times New Roman"/>
        </w:rPr>
        <w:t xml:space="preserve">Mental Capacity Act 2005: Code of Practice, </w:t>
      </w:r>
      <w:r>
        <w:rPr>
          <w:rFonts w:ascii="Times New Roman" w:hAnsi="Times New Roman" w:cs="Times New Roman"/>
        </w:rPr>
        <w:t>para [11.16].</w:t>
      </w:r>
    </w:p>
    <w:p w14:paraId="6BE724FD" w14:textId="77777777" w:rsidR="00A22CB2" w:rsidRPr="00E7436B" w:rsidRDefault="00A22CB2" w:rsidP="00444AC5">
      <w:pPr>
        <w:pStyle w:val="FootnoteText"/>
        <w:jc w:val="both"/>
        <w:rPr>
          <w:rFonts w:ascii="Times New Roman" w:hAnsi="Times New Roman" w:cs="Times New Roman"/>
          <w:color w:val="FF0000"/>
        </w:rPr>
      </w:pPr>
    </w:p>
  </w:footnote>
  <w:footnote w:id="51">
    <w:p w14:paraId="1F18AB03" w14:textId="68FB1F32" w:rsidR="00A22CB2" w:rsidRDefault="00A22CB2" w:rsidP="00905D5A">
      <w:pPr>
        <w:pStyle w:val="FootnoteText"/>
        <w:jc w:val="both"/>
        <w:rPr>
          <w:rFonts w:ascii="Times New Roman" w:hAnsi="Times New Roman" w:cs="Times New Roman"/>
        </w:rPr>
      </w:pPr>
      <w:r w:rsidRPr="00905D5A">
        <w:rPr>
          <w:rStyle w:val="FootnoteReference"/>
          <w:rFonts w:ascii="Times New Roman" w:hAnsi="Times New Roman" w:cs="Times New Roman"/>
        </w:rPr>
        <w:footnoteRef/>
      </w:r>
      <w:r w:rsidRPr="00905D5A">
        <w:rPr>
          <w:rFonts w:ascii="Times New Roman" w:hAnsi="Times New Roman" w:cs="Times New Roman"/>
        </w:rPr>
        <w:t xml:space="preserve"> </w:t>
      </w:r>
      <w:r>
        <w:rPr>
          <w:rFonts w:ascii="Times New Roman" w:hAnsi="Times New Roman" w:cs="Times New Roman"/>
        </w:rPr>
        <w:t xml:space="preserve">Mental Capacity Act 2005, s 31 (4). </w:t>
      </w:r>
    </w:p>
    <w:p w14:paraId="4202D6D2" w14:textId="54E2E283" w:rsidR="00A22CB2" w:rsidRPr="00E7436B" w:rsidRDefault="00A22CB2" w:rsidP="00444AC5">
      <w:pPr>
        <w:pStyle w:val="FootnoteText"/>
        <w:jc w:val="both"/>
        <w:rPr>
          <w:rFonts w:ascii="Times New Roman" w:hAnsi="Times New Roman" w:cs="Times New Roman"/>
          <w:color w:val="FF0000"/>
        </w:rPr>
      </w:pPr>
      <w:r w:rsidRPr="00E7436B">
        <w:rPr>
          <w:rFonts w:ascii="Times New Roman" w:hAnsi="Times New Roman" w:cs="Times New Roman"/>
          <w:color w:val="FF0000"/>
        </w:rPr>
        <w:t xml:space="preserve"> </w:t>
      </w:r>
    </w:p>
  </w:footnote>
  <w:footnote w:id="52">
    <w:p w14:paraId="259AE7A2" w14:textId="62E3B8D3" w:rsidR="00A22CB2" w:rsidRDefault="00A22CB2" w:rsidP="00485F75">
      <w:pPr>
        <w:pStyle w:val="FootnoteText"/>
        <w:jc w:val="both"/>
        <w:rPr>
          <w:rFonts w:ascii="Times New Roman" w:hAnsi="Times New Roman" w:cs="Times New Roman"/>
        </w:rPr>
      </w:pPr>
      <w:r w:rsidRPr="00905D5A">
        <w:rPr>
          <w:rStyle w:val="FootnoteReference"/>
          <w:rFonts w:ascii="Times New Roman" w:hAnsi="Times New Roman" w:cs="Times New Roman"/>
        </w:rPr>
        <w:footnoteRef/>
      </w:r>
      <w:r w:rsidRPr="00E7436B">
        <w:rPr>
          <w:rFonts w:ascii="Times New Roman" w:hAnsi="Times New Roman" w:cs="Times New Roman"/>
          <w:color w:val="FF0000"/>
        </w:rPr>
        <w:t xml:space="preserve"> </w:t>
      </w:r>
      <w:r>
        <w:rPr>
          <w:rFonts w:ascii="Times New Roman" w:hAnsi="Times New Roman" w:cs="Times New Roman"/>
        </w:rPr>
        <w:t xml:space="preserve">Bartlett (n 12) at 89; George F </w:t>
      </w:r>
      <w:proofErr w:type="spellStart"/>
      <w:r>
        <w:rPr>
          <w:rFonts w:ascii="Times New Roman" w:hAnsi="Times New Roman" w:cs="Times New Roman"/>
        </w:rPr>
        <w:t>Tomossy</w:t>
      </w:r>
      <w:proofErr w:type="spellEnd"/>
      <w:r>
        <w:rPr>
          <w:rFonts w:ascii="Times New Roman" w:hAnsi="Times New Roman" w:cs="Times New Roman"/>
        </w:rPr>
        <w:t xml:space="preserve"> and David N </w:t>
      </w:r>
      <w:proofErr w:type="spellStart"/>
      <w:r w:rsidRPr="00485F75">
        <w:rPr>
          <w:rFonts w:ascii="Times New Roman" w:hAnsi="Times New Roman" w:cs="Times New Roman"/>
        </w:rPr>
        <w:t>Weisstub</w:t>
      </w:r>
      <w:proofErr w:type="spellEnd"/>
      <w:r>
        <w:rPr>
          <w:rFonts w:ascii="Times New Roman" w:hAnsi="Times New Roman" w:cs="Times New Roman"/>
        </w:rPr>
        <w:t xml:space="preserve">, </w:t>
      </w:r>
      <w:r w:rsidRPr="00485F75">
        <w:rPr>
          <w:rFonts w:ascii="Times New Roman" w:hAnsi="Times New Roman" w:cs="Times New Roman"/>
          <w:i/>
        </w:rPr>
        <w:t>Revival: Human Experimentation and Research</w:t>
      </w:r>
      <w:r w:rsidRPr="00485F75">
        <w:rPr>
          <w:rFonts w:ascii="Times New Roman" w:hAnsi="Times New Roman" w:cs="Times New Roman"/>
        </w:rPr>
        <w:t xml:space="preserve"> (</w:t>
      </w:r>
      <w:r>
        <w:rPr>
          <w:rFonts w:ascii="Times New Roman" w:hAnsi="Times New Roman" w:cs="Times New Roman"/>
        </w:rPr>
        <w:t>1</w:t>
      </w:r>
      <w:r w:rsidRPr="00485F75">
        <w:rPr>
          <w:rFonts w:ascii="Times New Roman" w:hAnsi="Times New Roman" w:cs="Times New Roman"/>
          <w:vertAlign w:val="superscript"/>
        </w:rPr>
        <w:t>st</w:t>
      </w:r>
      <w:r>
        <w:rPr>
          <w:rFonts w:ascii="Times New Roman" w:hAnsi="Times New Roman" w:cs="Times New Roman"/>
        </w:rPr>
        <w:t xml:space="preserve"> </w:t>
      </w:r>
      <w:proofErr w:type="spellStart"/>
      <w:r>
        <w:rPr>
          <w:rFonts w:ascii="Times New Roman" w:hAnsi="Times New Roman" w:cs="Times New Roman"/>
        </w:rPr>
        <w:t>edn</w:t>
      </w:r>
      <w:proofErr w:type="spellEnd"/>
      <w:r>
        <w:rPr>
          <w:rFonts w:ascii="Times New Roman" w:hAnsi="Times New Roman" w:cs="Times New Roman"/>
        </w:rPr>
        <w:t>, Routledge: Taylor and Francis 2003). For an interesting historical account of the enduring ethical issues see Rebecca Dresser, ‘</w:t>
      </w:r>
      <w:r w:rsidRPr="00CE139B">
        <w:rPr>
          <w:rFonts w:ascii="Times New Roman" w:hAnsi="Times New Roman" w:cs="Times New Roman"/>
        </w:rPr>
        <w:t>Ment</w:t>
      </w:r>
      <w:r>
        <w:rPr>
          <w:rFonts w:ascii="Times New Roman" w:hAnsi="Times New Roman" w:cs="Times New Roman"/>
        </w:rPr>
        <w:t xml:space="preserve">ally Disabled Research Subjects: </w:t>
      </w:r>
      <w:r w:rsidRPr="00CE139B">
        <w:rPr>
          <w:rFonts w:ascii="Times New Roman" w:hAnsi="Times New Roman" w:cs="Times New Roman"/>
        </w:rPr>
        <w:t>The Enduring Policy Issues</w:t>
      </w:r>
      <w:r>
        <w:rPr>
          <w:rFonts w:ascii="Times New Roman" w:hAnsi="Times New Roman" w:cs="Times New Roman"/>
        </w:rPr>
        <w:t xml:space="preserve">’ (1996) 276 </w:t>
      </w:r>
      <w:r w:rsidRPr="00CE139B">
        <w:rPr>
          <w:rFonts w:ascii="Times New Roman" w:hAnsi="Times New Roman" w:cs="Times New Roman"/>
          <w:i/>
        </w:rPr>
        <w:t>Journal of American Medical Association</w:t>
      </w:r>
      <w:r>
        <w:rPr>
          <w:rFonts w:ascii="Times New Roman" w:hAnsi="Times New Roman" w:cs="Times New Roman"/>
        </w:rPr>
        <w:t xml:space="preserve"> 67.</w:t>
      </w:r>
    </w:p>
    <w:p w14:paraId="55366BD7" w14:textId="77777777" w:rsidR="00A22CB2" w:rsidRPr="00CE139B" w:rsidRDefault="00A22CB2" w:rsidP="00485F75">
      <w:pPr>
        <w:pStyle w:val="FootnoteText"/>
        <w:jc w:val="both"/>
        <w:rPr>
          <w:rFonts w:ascii="Times New Roman" w:hAnsi="Times New Roman" w:cs="Times New Roman"/>
        </w:rPr>
      </w:pPr>
    </w:p>
  </w:footnote>
  <w:footnote w:id="53">
    <w:p w14:paraId="42B50B9E" w14:textId="58CC6A35" w:rsidR="00A22CB2" w:rsidRPr="00E7436B" w:rsidRDefault="00A22CB2" w:rsidP="00444AC5">
      <w:pPr>
        <w:pStyle w:val="FootnoteText"/>
        <w:jc w:val="both"/>
        <w:rPr>
          <w:rFonts w:ascii="Times New Roman" w:hAnsi="Times New Roman" w:cs="Times New Roman"/>
          <w:color w:val="FF0000"/>
        </w:rPr>
      </w:pPr>
      <w:r w:rsidRPr="00D728FE">
        <w:rPr>
          <w:rStyle w:val="FootnoteReference"/>
          <w:rFonts w:ascii="Times New Roman" w:hAnsi="Times New Roman" w:cs="Times New Roman"/>
        </w:rPr>
        <w:footnoteRef/>
      </w:r>
      <w:r w:rsidRPr="00D728FE">
        <w:rPr>
          <w:rFonts w:ascii="Times New Roman" w:hAnsi="Times New Roman" w:cs="Times New Roman"/>
        </w:rPr>
        <w:t xml:space="preserve"> </w:t>
      </w:r>
      <w:r>
        <w:rPr>
          <w:rFonts w:ascii="Times New Roman" w:hAnsi="Times New Roman" w:cs="Times New Roman"/>
        </w:rPr>
        <w:t>Clough (n 3);</w:t>
      </w:r>
      <w:r w:rsidRPr="00B01254">
        <w:rPr>
          <w:rFonts w:ascii="Times New Roman" w:hAnsi="Times New Roman" w:cs="Times New Roman"/>
        </w:rPr>
        <w:t xml:space="preserve"> Donnelly (n 1); Donnelly (n 2). </w:t>
      </w:r>
    </w:p>
    <w:p w14:paraId="368B8E1B" w14:textId="77777777" w:rsidR="00A22CB2" w:rsidRPr="00E7436B" w:rsidRDefault="00A22CB2" w:rsidP="00444AC5">
      <w:pPr>
        <w:pStyle w:val="FootnoteText"/>
        <w:jc w:val="both"/>
        <w:rPr>
          <w:rFonts w:ascii="Times New Roman" w:hAnsi="Times New Roman" w:cs="Times New Roman"/>
          <w:color w:val="FF0000"/>
        </w:rPr>
      </w:pPr>
    </w:p>
  </w:footnote>
  <w:footnote w:id="54">
    <w:p w14:paraId="22D77641" w14:textId="3AC222B6" w:rsidR="00A22CB2" w:rsidRPr="00E7436B" w:rsidRDefault="00A22CB2" w:rsidP="00444AC5">
      <w:pPr>
        <w:pStyle w:val="FootnoteText"/>
        <w:jc w:val="both"/>
        <w:rPr>
          <w:rFonts w:ascii="Times New Roman" w:hAnsi="Times New Roman" w:cs="Times New Roman"/>
          <w:color w:val="FF0000"/>
        </w:rPr>
      </w:pPr>
      <w:r w:rsidRPr="00D728FE">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Loomes</w:t>
      </w:r>
      <w:proofErr w:type="spellEnd"/>
      <w:r>
        <w:rPr>
          <w:rFonts w:ascii="Times New Roman" w:hAnsi="Times New Roman" w:cs="Times New Roman"/>
        </w:rPr>
        <w:t xml:space="preserve"> (n 5); Clough (n 3). See also Ciara </w:t>
      </w:r>
      <w:proofErr w:type="spellStart"/>
      <w:r w:rsidRPr="006A506C">
        <w:rPr>
          <w:rFonts w:ascii="Times New Roman" w:hAnsi="Times New Roman" w:cs="Times New Roman"/>
        </w:rPr>
        <w:t>Shiggins</w:t>
      </w:r>
      <w:proofErr w:type="spellEnd"/>
      <w:r w:rsidRPr="006A506C">
        <w:rPr>
          <w:rFonts w:ascii="Times New Roman" w:hAnsi="Times New Roman" w:cs="Times New Roman"/>
        </w:rPr>
        <w:t xml:space="preserve"> </w:t>
      </w:r>
      <w:r w:rsidRPr="006A506C">
        <w:rPr>
          <w:rFonts w:ascii="Times New Roman" w:hAnsi="Times New Roman" w:cs="Times New Roman"/>
          <w:i/>
        </w:rPr>
        <w:t>et al.</w:t>
      </w:r>
      <w:r w:rsidRPr="006A506C">
        <w:rPr>
          <w:rFonts w:ascii="Times New Roman" w:hAnsi="Times New Roman" w:cs="Times New Roman"/>
        </w:rPr>
        <w:t xml:space="preserve">, ‘Towards an ASSET-Based Approach to Promoting and Sustaining Well-Being for People with Aphasia and their Families: An International Exploratory Study’ (2018) </w:t>
      </w:r>
      <w:r w:rsidRPr="006A506C">
        <w:rPr>
          <w:rFonts w:ascii="Times New Roman" w:hAnsi="Times New Roman" w:cs="Times New Roman"/>
          <w:i/>
        </w:rPr>
        <w:t>Aphasiology</w:t>
      </w:r>
      <w:r>
        <w:rPr>
          <w:rFonts w:ascii="Times New Roman" w:hAnsi="Times New Roman" w:cs="Times New Roman"/>
        </w:rPr>
        <w:t xml:space="preserve"> 1. </w:t>
      </w:r>
      <w:proofErr w:type="spellStart"/>
      <w:r>
        <w:rPr>
          <w:rFonts w:ascii="Times New Roman" w:hAnsi="Times New Roman" w:cs="Times New Roman"/>
        </w:rPr>
        <w:t>doi</w:t>
      </w:r>
      <w:proofErr w:type="spellEnd"/>
      <w:r>
        <w:rPr>
          <w:rFonts w:ascii="Times New Roman" w:hAnsi="Times New Roman" w:cs="Times New Roman"/>
        </w:rPr>
        <w:t xml:space="preserve">: </w:t>
      </w:r>
      <w:hyperlink r:id="rId6" w:history="1">
        <w:r w:rsidRPr="00A935F8">
          <w:rPr>
            <w:rStyle w:val="Hyperlink"/>
            <w:rFonts w:ascii="Times New Roman" w:hAnsi="Times New Roman" w:cs="Times New Roman"/>
          </w:rPr>
          <w:t>https://doi.org/10.1080/02687038.2018.1548690</w:t>
        </w:r>
      </w:hyperlink>
      <w:r>
        <w:rPr>
          <w:rFonts w:ascii="Times New Roman" w:hAnsi="Times New Roman" w:cs="Times New Roman"/>
        </w:rPr>
        <w:t xml:space="preserve">; Natalie Joseph-Williams </w:t>
      </w:r>
      <w:r w:rsidRPr="008C0030">
        <w:rPr>
          <w:rFonts w:ascii="Times New Roman" w:hAnsi="Times New Roman" w:cs="Times New Roman"/>
          <w:i/>
        </w:rPr>
        <w:t>et al</w:t>
      </w:r>
      <w:r>
        <w:rPr>
          <w:rFonts w:ascii="Times New Roman" w:hAnsi="Times New Roman" w:cs="Times New Roman"/>
        </w:rPr>
        <w:t xml:space="preserve">., ‘Implementing Shared Decision Making in the NHS: Lessons from the MAGIC Programme’ (2017) 357 </w:t>
      </w:r>
      <w:r w:rsidRPr="00D747A4">
        <w:rPr>
          <w:rFonts w:ascii="Times New Roman" w:hAnsi="Times New Roman" w:cs="Times New Roman"/>
          <w:i/>
        </w:rPr>
        <w:t>BMJ</w:t>
      </w:r>
      <w:r>
        <w:rPr>
          <w:rFonts w:ascii="Times New Roman" w:hAnsi="Times New Roman" w:cs="Times New Roman"/>
          <w:i/>
        </w:rPr>
        <w:t xml:space="preserve"> </w:t>
      </w:r>
      <w:r>
        <w:rPr>
          <w:rFonts w:ascii="Times New Roman" w:hAnsi="Times New Roman" w:cs="Times New Roman"/>
        </w:rPr>
        <w:t xml:space="preserve">1744; </w:t>
      </w:r>
      <w:proofErr w:type="spellStart"/>
      <w:r w:rsidRPr="00D747A4">
        <w:rPr>
          <w:rFonts w:ascii="Times New Roman" w:hAnsi="Times New Roman" w:cs="Times New Roman"/>
        </w:rPr>
        <w:t>Treena</w:t>
      </w:r>
      <w:proofErr w:type="spellEnd"/>
      <w:r w:rsidRPr="00D747A4">
        <w:rPr>
          <w:rFonts w:ascii="Times New Roman" w:hAnsi="Times New Roman" w:cs="Times New Roman"/>
        </w:rPr>
        <w:t xml:space="preserve"> </w:t>
      </w:r>
      <w:proofErr w:type="spellStart"/>
      <w:r w:rsidRPr="00D747A4">
        <w:rPr>
          <w:rFonts w:ascii="Times New Roman" w:hAnsi="Times New Roman" w:cs="Times New Roman"/>
        </w:rPr>
        <w:t>Jingree</w:t>
      </w:r>
      <w:proofErr w:type="spellEnd"/>
      <w:r w:rsidRPr="00D747A4">
        <w:rPr>
          <w:rFonts w:ascii="Times New Roman" w:hAnsi="Times New Roman" w:cs="Times New Roman"/>
        </w:rPr>
        <w:t xml:space="preserve">, ‘Duty of Care, Safety, Normalisation and the Mental Capacity Act: A Discourse Analysis of Staff Arguments about Facilitating Choices for People with Learning Disabilities in UK Services’ (2015) 25 </w:t>
      </w:r>
      <w:r w:rsidRPr="00D747A4">
        <w:rPr>
          <w:rFonts w:ascii="Times New Roman" w:hAnsi="Times New Roman" w:cs="Times New Roman"/>
          <w:i/>
        </w:rPr>
        <w:t>Journal of Community and Applied Social Psychology</w:t>
      </w:r>
      <w:r>
        <w:rPr>
          <w:rFonts w:ascii="Times New Roman" w:hAnsi="Times New Roman" w:cs="Times New Roman"/>
        </w:rPr>
        <w:t xml:space="preserve"> 138.</w:t>
      </w:r>
    </w:p>
    <w:p w14:paraId="3EE06A4A" w14:textId="77777777" w:rsidR="00A22CB2" w:rsidRPr="00E7436B" w:rsidRDefault="00A22CB2" w:rsidP="00444AC5">
      <w:pPr>
        <w:pStyle w:val="FootnoteText"/>
        <w:jc w:val="both"/>
        <w:rPr>
          <w:rFonts w:ascii="Times New Roman" w:hAnsi="Times New Roman" w:cs="Times New Roman"/>
          <w:color w:val="FF0000"/>
        </w:rPr>
      </w:pPr>
    </w:p>
  </w:footnote>
  <w:footnote w:id="55">
    <w:p w14:paraId="2157C73F" w14:textId="6BDA1602" w:rsidR="00A22CB2" w:rsidRDefault="00A22CB2" w:rsidP="00444AC5">
      <w:pPr>
        <w:pStyle w:val="FootnoteText"/>
        <w:jc w:val="both"/>
        <w:rPr>
          <w:rFonts w:ascii="Times New Roman" w:hAnsi="Times New Roman" w:cs="Times New Roman"/>
        </w:rPr>
      </w:pPr>
      <w:r w:rsidRPr="00D747A4">
        <w:rPr>
          <w:rStyle w:val="FootnoteReference"/>
          <w:rFonts w:ascii="Times New Roman" w:hAnsi="Times New Roman" w:cs="Times New Roman"/>
        </w:rPr>
        <w:footnoteRef/>
      </w:r>
      <w:r>
        <w:rPr>
          <w:rFonts w:ascii="Times New Roman" w:hAnsi="Times New Roman" w:cs="Times New Roman"/>
        </w:rPr>
        <w:t xml:space="preserve"> Mental Capacity Act 2005, s 33 (3).  On the point of collaboration, see ibid, and also NICE Guidelines: </w:t>
      </w:r>
      <w:hyperlink r:id="rId7" w:history="1">
        <w:r w:rsidRPr="00794FAD">
          <w:rPr>
            <w:rStyle w:val="Hyperlink"/>
            <w:rFonts w:ascii="Times New Roman" w:hAnsi="Times New Roman" w:cs="Times New Roman"/>
          </w:rPr>
          <w:t>https://www.nice.org.uk/about/what-we-do/our-programmes/nice-guidance/nice-guidelines/shared-decision-making</w:t>
        </w:r>
      </w:hyperlink>
      <w:r>
        <w:rPr>
          <w:rFonts w:ascii="Times New Roman" w:hAnsi="Times New Roman" w:cs="Times New Roman"/>
        </w:rPr>
        <w:t xml:space="preserve">. </w:t>
      </w:r>
    </w:p>
    <w:p w14:paraId="288B4948" w14:textId="77777777" w:rsidR="00A22CB2" w:rsidRPr="00302128" w:rsidRDefault="00A22CB2" w:rsidP="00444AC5">
      <w:pPr>
        <w:pStyle w:val="FootnoteText"/>
        <w:jc w:val="both"/>
        <w:rPr>
          <w:rFonts w:ascii="Times New Roman" w:hAnsi="Times New Roman" w:cs="Times New Roman"/>
        </w:rPr>
      </w:pPr>
    </w:p>
  </w:footnote>
  <w:footnote w:id="56">
    <w:p w14:paraId="31B8846C" w14:textId="26CF7B43" w:rsidR="00A22CB2" w:rsidRDefault="00A22CB2" w:rsidP="00444AC5">
      <w:pPr>
        <w:pStyle w:val="FootnoteText"/>
        <w:jc w:val="both"/>
        <w:rPr>
          <w:rFonts w:ascii="Times New Roman" w:hAnsi="Times New Roman" w:cs="Times New Roman"/>
        </w:rPr>
      </w:pPr>
      <w:r w:rsidRPr="00D87A41">
        <w:rPr>
          <w:rStyle w:val="FootnoteReference"/>
          <w:rFonts w:ascii="Times New Roman" w:hAnsi="Times New Roman" w:cs="Times New Roman"/>
        </w:rPr>
        <w:footnoteRef/>
      </w:r>
      <w:r w:rsidRPr="00E7436B">
        <w:rPr>
          <w:rFonts w:ascii="Times New Roman" w:hAnsi="Times New Roman" w:cs="Times New Roman"/>
          <w:color w:val="FF0000"/>
        </w:rPr>
        <w:t xml:space="preserve"> </w:t>
      </w:r>
      <w:r w:rsidRPr="00D728FE">
        <w:rPr>
          <w:rFonts w:ascii="Times New Roman" w:hAnsi="Times New Roman" w:cs="Times New Roman"/>
        </w:rPr>
        <w:t>Clough</w:t>
      </w:r>
      <w:r>
        <w:rPr>
          <w:rFonts w:ascii="Times New Roman" w:hAnsi="Times New Roman" w:cs="Times New Roman"/>
        </w:rPr>
        <w:t xml:space="preserve">, </w:t>
      </w:r>
      <w:r w:rsidRPr="00D728FE">
        <w:rPr>
          <w:rFonts w:ascii="Times New Roman" w:hAnsi="Times New Roman" w:cs="Times New Roman"/>
        </w:rPr>
        <w:t>(n 3).</w:t>
      </w:r>
    </w:p>
    <w:p w14:paraId="3BBC5D1E" w14:textId="77777777" w:rsidR="00A22CB2" w:rsidRPr="00E7436B" w:rsidRDefault="00A22CB2" w:rsidP="00444AC5">
      <w:pPr>
        <w:pStyle w:val="FootnoteText"/>
        <w:jc w:val="both"/>
        <w:rPr>
          <w:rFonts w:ascii="Times New Roman" w:hAnsi="Times New Roman" w:cs="Times New Roman"/>
          <w:color w:val="FF0000"/>
        </w:rPr>
      </w:pPr>
    </w:p>
  </w:footnote>
  <w:footnote w:id="57">
    <w:p w14:paraId="0EBCF057" w14:textId="309A3C0D" w:rsidR="00A22CB2" w:rsidRPr="00E7436B" w:rsidRDefault="00A22CB2" w:rsidP="00444AC5">
      <w:pPr>
        <w:pStyle w:val="FootnoteText"/>
        <w:jc w:val="both"/>
        <w:rPr>
          <w:rFonts w:ascii="Times New Roman" w:hAnsi="Times New Roman" w:cs="Times New Roman"/>
          <w:color w:val="FF0000"/>
        </w:rPr>
      </w:pPr>
      <w:r w:rsidRPr="0009322B">
        <w:rPr>
          <w:rStyle w:val="FootnoteReference"/>
          <w:rFonts w:ascii="Times New Roman" w:hAnsi="Times New Roman" w:cs="Times New Roman"/>
        </w:rPr>
        <w:footnoteRef/>
      </w:r>
      <w:r w:rsidRPr="0009322B">
        <w:rPr>
          <w:rFonts w:ascii="Times New Roman" w:hAnsi="Times New Roman" w:cs="Times New Roman"/>
        </w:rPr>
        <w:t xml:space="preserve"> </w:t>
      </w:r>
      <w:r>
        <w:rPr>
          <w:rFonts w:ascii="Times New Roman" w:hAnsi="Times New Roman" w:cs="Times New Roman"/>
        </w:rPr>
        <w:t xml:space="preserve">Mental Capacity Act 2005, s 4; Donnelly (n 2); Taylor (n 4).  </w:t>
      </w:r>
    </w:p>
    <w:p w14:paraId="015CE990" w14:textId="77777777" w:rsidR="00A22CB2" w:rsidRPr="00E7436B" w:rsidRDefault="00A22CB2" w:rsidP="00444AC5">
      <w:pPr>
        <w:pStyle w:val="FootnoteText"/>
        <w:jc w:val="both"/>
        <w:rPr>
          <w:rFonts w:ascii="Times New Roman" w:hAnsi="Times New Roman" w:cs="Times New Roman"/>
          <w:color w:val="FF0000"/>
        </w:rPr>
      </w:pPr>
    </w:p>
  </w:footnote>
  <w:footnote w:id="58">
    <w:p w14:paraId="0F90C281" w14:textId="2A603776" w:rsidR="00A22CB2" w:rsidRPr="001D4040" w:rsidRDefault="00A22CB2" w:rsidP="00444AC5">
      <w:pPr>
        <w:pStyle w:val="FootnoteText"/>
        <w:jc w:val="both"/>
        <w:rPr>
          <w:rFonts w:ascii="Times New Roman" w:hAnsi="Times New Roman" w:cs="Times New Roman"/>
        </w:rPr>
      </w:pPr>
      <w:r w:rsidRPr="005934DB">
        <w:rPr>
          <w:rStyle w:val="FootnoteReference"/>
          <w:rFonts w:ascii="Times New Roman" w:hAnsi="Times New Roman" w:cs="Times New Roman"/>
        </w:rPr>
        <w:footnoteRef/>
      </w:r>
      <w:r>
        <w:rPr>
          <w:rFonts w:ascii="Times New Roman" w:hAnsi="Times New Roman" w:cs="Times New Roman"/>
        </w:rPr>
        <w:t xml:space="preserve"> Peter Bartlett, </w:t>
      </w:r>
      <w:r w:rsidRPr="005934DB">
        <w:rPr>
          <w:rFonts w:ascii="Times New Roman" w:hAnsi="Times New Roman" w:cs="Times New Roman"/>
          <w:i/>
        </w:rPr>
        <w:t xml:space="preserve">Blackstone’s Guide </w:t>
      </w:r>
      <w:r>
        <w:rPr>
          <w:rFonts w:ascii="Times New Roman" w:hAnsi="Times New Roman" w:cs="Times New Roman"/>
          <w:i/>
        </w:rPr>
        <w:t xml:space="preserve">to the Mental Capacity Act 2005 </w:t>
      </w:r>
      <w:r w:rsidRPr="005934DB">
        <w:rPr>
          <w:rFonts w:ascii="Times New Roman" w:hAnsi="Times New Roman" w:cs="Times New Roman"/>
        </w:rPr>
        <w:t>(1</w:t>
      </w:r>
      <w:r w:rsidRPr="005934DB">
        <w:rPr>
          <w:rFonts w:ascii="Times New Roman" w:hAnsi="Times New Roman" w:cs="Times New Roman"/>
          <w:vertAlign w:val="superscript"/>
        </w:rPr>
        <w:t>st</w:t>
      </w:r>
      <w:r>
        <w:rPr>
          <w:rFonts w:ascii="Times New Roman" w:hAnsi="Times New Roman" w:cs="Times New Roman"/>
        </w:rPr>
        <w:t xml:space="preserve"> </w:t>
      </w:r>
      <w:proofErr w:type="spellStart"/>
      <w:r>
        <w:rPr>
          <w:rFonts w:ascii="Times New Roman" w:hAnsi="Times New Roman" w:cs="Times New Roman"/>
        </w:rPr>
        <w:t>edn</w:t>
      </w:r>
      <w:proofErr w:type="spellEnd"/>
      <w:r>
        <w:rPr>
          <w:rFonts w:ascii="Times New Roman" w:hAnsi="Times New Roman" w:cs="Times New Roman"/>
        </w:rPr>
        <w:t xml:space="preserve">, </w:t>
      </w:r>
      <w:r w:rsidRPr="005934DB">
        <w:rPr>
          <w:rFonts w:ascii="Times New Roman" w:hAnsi="Times New Roman" w:cs="Times New Roman"/>
        </w:rPr>
        <w:t>OUP 200</w:t>
      </w:r>
      <w:r>
        <w:rPr>
          <w:rFonts w:ascii="Times New Roman" w:hAnsi="Times New Roman" w:cs="Times New Roman"/>
        </w:rPr>
        <w:t>5) at 66.</w:t>
      </w:r>
    </w:p>
  </w:footnote>
  <w:footnote w:id="59">
    <w:p w14:paraId="0FE591B7" w14:textId="4D7A7BD4" w:rsidR="00A22CB2" w:rsidRDefault="00A22CB2" w:rsidP="00444AC5">
      <w:pPr>
        <w:pStyle w:val="FootnoteText"/>
        <w:jc w:val="both"/>
        <w:rPr>
          <w:rFonts w:ascii="Times New Roman" w:hAnsi="Times New Roman" w:cs="Times New Roman"/>
        </w:rPr>
      </w:pPr>
      <w:r w:rsidRPr="005934DB">
        <w:rPr>
          <w:rStyle w:val="FootnoteReference"/>
          <w:rFonts w:ascii="Times New Roman" w:hAnsi="Times New Roman" w:cs="Times New Roman"/>
        </w:rPr>
        <w:footnoteRef/>
      </w:r>
      <w:r>
        <w:rPr>
          <w:rFonts w:ascii="Times New Roman" w:hAnsi="Times New Roman" w:cs="Times New Roman"/>
        </w:rPr>
        <w:t xml:space="preserve"> Bartlett (n 12).</w:t>
      </w:r>
    </w:p>
    <w:p w14:paraId="6EED4430" w14:textId="77777777" w:rsidR="00185379" w:rsidRPr="00E7436B" w:rsidRDefault="00185379" w:rsidP="00444AC5">
      <w:pPr>
        <w:pStyle w:val="FootnoteText"/>
        <w:jc w:val="both"/>
        <w:rPr>
          <w:rFonts w:ascii="Times New Roman" w:hAnsi="Times New Roman" w:cs="Times New Roman"/>
          <w:color w:val="FF0000"/>
        </w:rPr>
      </w:pPr>
    </w:p>
  </w:footnote>
  <w:footnote w:id="60">
    <w:p w14:paraId="7513DE1D" w14:textId="73CF610F" w:rsidR="00A22CB2" w:rsidRPr="009335F5" w:rsidRDefault="00A22CB2" w:rsidP="009335F5">
      <w:pPr>
        <w:pStyle w:val="FootnoteText"/>
        <w:jc w:val="both"/>
        <w:rPr>
          <w:rFonts w:ascii="Times New Roman" w:hAnsi="Times New Roman" w:cs="Times New Roman"/>
        </w:rPr>
      </w:pPr>
      <w:r w:rsidRPr="009335F5">
        <w:rPr>
          <w:rStyle w:val="FootnoteReference"/>
          <w:rFonts w:ascii="Times New Roman" w:hAnsi="Times New Roman" w:cs="Times New Roman"/>
        </w:rPr>
        <w:footnoteRef/>
      </w:r>
      <w:r>
        <w:rPr>
          <w:rFonts w:ascii="Times New Roman" w:hAnsi="Times New Roman" w:cs="Times New Roman"/>
        </w:rPr>
        <w:t xml:space="preserve"> </w:t>
      </w:r>
      <w:r w:rsidRPr="009335F5">
        <w:rPr>
          <w:rFonts w:ascii="Times New Roman" w:hAnsi="Times New Roman" w:cs="Times New Roman"/>
        </w:rPr>
        <w:t>HL Deb 01 Febr</w:t>
      </w:r>
      <w:r>
        <w:rPr>
          <w:rFonts w:ascii="Times New Roman" w:hAnsi="Times New Roman" w:cs="Times New Roman"/>
        </w:rPr>
        <w:t>uary 2005, vol</w:t>
      </w:r>
      <w:r w:rsidR="00F516B8">
        <w:rPr>
          <w:rFonts w:ascii="Times New Roman" w:hAnsi="Times New Roman" w:cs="Times New Roman"/>
        </w:rPr>
        <w:t xml:space="preserve"> 669, cols 130 – 132</w:t>
      </w:r>
      <w:r>
        <w:rPr>
          <w:rFonts w:ascii="Times New Roman" w:hAnsi="Times New Roman" w:cs="Times New Roman"/>
        </w:rPr>
        <w:t xml:space="preserve">. </w:t>
      </w:r>
      <w:hyperlink r:id="rId8" w:anchor="S5LV0669P0_20050201_HOL_123" w:history="1">
        <w:r w:rsidRPr="00F16482">
          <w:rPr>
            <w:rStyle w:val="Hyperlink"/>
            <w:rFonts w:ascii="Times New Roman" w:hAnsi="Times New Roman" w:cs="Times New Roman"/>
          </w:rPr>
          <w:t>https://api.parliament.uk/historic-hansard/lords/2005/feb/01/mental-capacity-bill-37-pm#S5LV0669P0_20050201_HOL_123</w:t>
        </w:r>
      </w:hyperlink>
      <w:r w:rsidR="00185379">
        <w:rPr>
          <w:rFonts w:ascii="Times New Roman" w:hAnsi="Times New Roman" w:cs="Times New Roman"/>
        </w:rPr>
        <w:t xml:space="preserve"> </w:t>
      </w:r>
      <w:r w:rsidRPr="009335F5">
        <w:rPr>
          <w:rFonts w:ascii="Times New Roman" w:hAnsi="Times New Roman" w:cs="Times New Roman"/>
        </w:rPr>
        <w:t>&lt;Accessed 26th February 2019&gt;.</w:t>
      </w:r>
      <w:r>
        <w:rPr>
          <w:rFonts w:ascii="Times New Roman" w:hAnsi="Times New Roman" w:cs="Times New Roman"/>
        </w:rPr>
        <w:t xml:space="preserve"> </w:t>
      </w:r>
    </w:p>
    <w:p w14:paraId="163CE710" w14:textId="77777777" w:rsidR="00A22CB2" w:rsidRPr="00E7436B" w:rsidRDefault="00A22CB2" w:rsidP="00444AC5">
      <w:pPr>
        <w:pStyle w:val="FootnoteText"/>
        <w:jc w:val="both"/>
        <w:rPr>
          <w:rFonts w:ascii="Times New Roman" w:hAnsi="Times New Roman" w:cs="Times New Roman"/>
          <w:color w:val="FF0000"/>
        </w:rPr>
      </w:pPr>
    </w:p>
  </w:footnote>
  <w:footnote w:id="61">
    <w:p w14:paraId="39791346" w14:textId="69A19336" w:rsidR="00A22CB2" w:rsidRPr="00E7436B" w:rsidRDefault="00A22CB2" w:rsidP="00444AC5">
      <w:pPr>
        <w:pStyle w:val="FootnoteText"/>
        <w:jc w:val="both"/>
        <w:rPr>
          <w:rFonts w:ascii="Times New Roman" w:hAnsi="Times New Roman" w:cs="Times New Roman"/>
          <w:color w:val="FF0000"/>
        </w:rPr>
      </w:pPr>
      <w:r w:rsidRPr="00194D75">
        <w:rPr>
          <w:rStyle w:val="FootnoteReference"/>
          <w:rFonts w:ascii="Times New Roman" w:hAnsi="Times New Roman" w:cs="Times New Roman"/>
        </w:rPr>
        <w:footnoteRef/>
      </w:r>
      <w:r w:rsidRPr="00E7436B">
        <w:rPr>
          <w:rFonts w:ascii="Times New Roman" w:hAnsi="Times New Roman" w:cs="Times New Roman"/>
          <w:color w:val="FF0000"/>
        </w:rPr>
        <w:t xml:space="preserve"> </w:t>
      </w:r>
      <w:r>
        <w:rPr>
          <w:rFonts w:ascii="Times New Roman" w:hAnsi="Times New Roman" w:cs="Times New Roman"/>
        </w:rPr>
        <w:t>HL Deb 01 Februa</w:t>
      </w:r>
      <w:r w:rsidR="00185379">
        <w:rPr>
          <w:rFonts w:ascii="Times New Roman" w:hAnsi="Times New Roman" w:cs="Times New Roman"/>
        </w:rPr>
        <w:t xml:space="preserve">ry 2005, vol 669, cols 133 – 138.  </w:t>
      </w:r>
      <w:hyperlink r:id="rId9" w:anchor="S5LV0669P0_20050201_HOL_123" w:history="1">
        <w:r w:rsidR="00185379" w:rsidRPr="00071A44">
          <w:rPr>
            <w:rStyle w:val="Hyperlink"/>
            <w:rFonts w:ascii="Times New Roman" w:hAnsi="Times New Roman" w:cs="Times New Roman"/>
          </w:rPr>
          <w:t>https://api.parliament.uk/historic-hansard/lords/2005/feb/01/mental-capacity-bill-37-pm#S5LV0669P0_20050201_HOL_123</w:t>
        </w:r>
      </w:hyperlink>
      <w:r w:rsidR="00185379">
        <w:rPr>
          <w:rFonts w:ascii="Times New Roman" w:hAnsi="Times New Roman" w:cs="Times New Roman"/>
        </w:rPr>
        <w:t xml:space="preserve"> &lt;Accessed 26</w:t>
      </w:r>
      <w:r w:rsidR="00185379" w:rsidRPr="00185379">
        <w:rPr>
          <w:rFonts w:ascii="Times New Roman" w:hAnsi="Times New Roman" w:cs="Times New Roman"/>
          <w:vertAlign w:val="superscript"/>
        </w:rPr>
        <w:t>th</w:t>
      </w:r>
      <w:r w:rsidR="00185379">
        <w:rPr>
          <w:rFonts w:ascii="Times New Roman" w:hAnsi="Times New Roman" w:cs="Times New Roman"/>
        </w:rPr>
        <w:t xml:space="preserve"> February 2019&gt;.</w:t>
      </w:r>
    </w:p>
    <w:p w14:paraId="74E542B0" w14:textId="77777777" w:rsidR="00A22CB2" w:rsidRPr="00E7436B" w:rsidRDefault="00A22CB2" w:rsidP="00444AC5">
      <w:pPr>
        <w:pStyle w:val="FootnoteText"/>
        <w:jc w:val="both"/>
        <w:rPr>
          <w:rFonts w:ascii="Times New Roman" w:hAnsi="Times New Roman" w:cs="Times New Roman"/>
          <w:color w:val="FF0000"/>
        </w:rPr>
      </w:pPr>
    </w:p>
  </w:footnote>
  <w:footnote w:id="62">
    <w:p w14:paraId="0DEA7369" w14:textId="74CB6849" w:rsidR="00204A9D" w:rsidRPr="00E7436B" w:rsidRDefault="00204A9D" w:rsidP="00204A9D">
      <w:pPr>
        <w:pStyle w:val="FootnoteText"/>
        <w:jc w:val="both"/>
        <w:rPr>
          <w:rFonts w:ascii="Times New Roman" w:hAnsi="Times New Roman" w:cs="Times New Roman"/>
          <w:color w:val="FF0000"/>
        </w:rPr>
      </w:pPr>
      <w:r w:rsidRPr="005540FD">
        <w:rPr>
          <w:rStyle w:val="FootnoteReference"/>
          <w:rFonts w:ascii="Times New Roman" w:hAnsi="Times New Roman" w:cs="Times New Roman"/>
        </w:rPr>
        <w:footnoteRef/>
      </w:r>
      <w:r w:rsidRPr="00E7436B">
        <w:rPr>
          <w:rFonts w:ascii="Times New Roman" w:hAnsi="Times New Roman" w:cs="Times New Roman"/>
          <w:color w:val="FF0000"/>
        </w:rPr>
        <w:t xml:space="preserve"> </w:t>
      </w:r>
      <w:r>
        <w:rPr>
          <w:rFonts w:ascii="Times New Roman" w:hAnsi="Times New Roman" w:cs="Times New Roman"/>
        </w:rPr>
        <w:t>Ibid.</w:t>
      </w:r>
    </w:p>
    <w:p w14:paraId="765A4E5F" w14:textId="77777777" w:rsidR="00204A9D" w:rsidRPr="00E7436B" w:rsidRDefault="00204A9D" w:rsidP="00204A9D">
      <w:pPr>
        <w:pStyle w:val="FootnoteText"/>
        <w:jc w:val="both"/>
        <w:rPr>
          <w:rFonts w:ascii="Times New Roman" w:hAnsi="Times New Roman" w:cs="Times New Roman"/>
          <w:color w:val="FF0000"/>
        </w:rPr>
      </w:pPr>
      <w:r w:rsidRPr="00E7436B">
        <w:rPr>
          <w:rFonts w:ascii="Times New Roman" w:hAnsi="Times New Roman" w:cs="Times New Roman"/>
          <w:color w:val="FF0000"/>
        </w:rPr>
        <w:t xml:space="preserve"> </w:t>
      </w:r>
    </w:p>
  </w:footnote>
  <w:footnote w:id="63">
    <w:p w14:paraId="08C5B6C9" w14:textId="3536BDFA" w:rsidR="00A22CB2" w:rsidRPr="00E7436B" w:rsidRDefault="00A22CB2" w:rsidP="00444AC5">
      <w:pPr>
        <w:pStyle w:val="FootnoteText"/>
        <w:jc w:val="both"/>
        <w:rPr>
          <w:rFonts w:ascii="Times New Roman" w:hAnsi="Times New Roman" w:cs="Times New Roman"/>
          <w:color w:val="FF0000"/>
        </w:rPr>
      </w:pPr>
      <w:r w:rsidRPr="002B2CAA">
        <w:rPr>
          <w:rStyle w:val="FootnoteReference"/>
          <w:rFonts w:ascii="Times New Roman" w:hAnsi="Times New Roman" w:cs="Times New Roman"/>
        </w:rPr>
        <w:footnoteRef/>
      </w:r>
      <w:r w:rsidRPr="002B2CAA">
        <w:rPr>
          <w:rFonts w:ascii="Times New Roman" w:hAnsi="Times New Roman" w:cs="Times New Roman"/>
        </w:rPr>
        <w:t xml:space="preserve"> </w:t>
      </w:r>
      <w:r>
        <w:rPr>
          <w:rFonts w:ascii="Times New Roman" w:hAnsi="Times New Roman" w:cs="Times New Roman"/>
        </w:rPr>
        <w:t xml:space="preserve">Mental Capacity Act 2005, s 31 (5) (a). </w:t>
      </w:r>
    </w:p>
    <w:p w14:paraId="2401F4B1" w14:textId="77777777" w:rsidR="00A22CB2" w:rsidRPr="00E7436B" w:rsidRDefault="00A22CB2" w:rsidP="00444AC5">
      <w:pPr>
        <w:pStyle w:val="FootnoteText"/>
        <w:jc w:val="both"/>
        <w:rPr>
          <w:rFonts w:ascii="Times New Roman" w:hAnsi="Times New Roman" w:cs="Times New Roman"/>
          <w:color w:val="FF0000"/>
        </w:rPr>
      </w:pPr>
    </w:p>
  </w:footnote>
  <w:footnote w:id="64">
    <w:p w14:paraId="7A150290" w14:textId="7BB83F2D" w:rsidR="00A22CB2" w:rsidRPr="002B2CAA" w:rsidRDefault="00A22CB2" w:rsidP="00444AC5">
      <w:pPr>
        <w:pStyle w:val="FootnoteText"/>
        <w:jc w:val="both"/>
        <w:rPr>
          <w:rFonts w:ascii="Times New Roman" w:hAnsi="Times New Roman" w:cs="Times New Roman"/>
        </w:rPr>
      </w:pPr>
      <w:r w:rsidRPr="002B2CAA">
        <w:rPr>
          <w:rStyle w:val="FootnoteReference"/>
          <w:rFonts w:ascii="Times New Roman" w:hAnsi="Times New Roman" w:cs="Times New Roman"/>
        </w:rPr>
        <w:footnoteRef/>
      </w:r>
      <w:r>
        <w:rPr>
          <w:rFonts w:ascii="Times New Roman" w:hAnsi="Times New Roman" w:cs="Times New Roman"/>
        </w:rPr>
        <w:t xml:space="preserve"> Above n 18.</w:t>
      </w:r>
    </w:p>
    <w:p w14:paraId="13104D78" w14:textId="77777777" w:rsidR="00A22CB2" w:rsidRPr="00E7436B" w:rsidRDefault="00A22CB2" w:rsidP="00444AC5">
      <w:pPr>
        <w:pStyle w:val="FootnoteText"/>
        <w:jc w:val="both"/>
        <w:rPr>
          <w:rFonts w:ascii="Times New Roman" w:hAnsi="Times New Roman" w:cs="Times New Roman"/>
          <w:color w:val="FF0000"/>
        </w:rPr>
      </w:pPr>
    </w:p>
  </w:footnote>
  <w:footnote w:id="65">
    <w:p w14:paraId="6A6DDDED" w14:textId="3A8C8974" w:rsidR="00A22CB2" w:rsidRPr="00674513" w:rsidRDefault="00A22CB2" w:rsidP="00674513">
      <w:pPr>
        <w:pStyle w:val="FootnoteText"/>
        <w:jc w:val="both"/>
        <w:rPr>
          <w:rFonts w:ascii="Times New Roman" w:hAnsi="Times New Roman" w:cs="Times New Roman"/>
        </w:rPr>
      </w:pPr>
      <w:r w:rsidRPr="00674513">
        <w:rPr>
          <w:rStyle w:val="FootnoteReference"/>
          <w:rFonts w:ascii="Times New Roman" w:hAnsi="Times New Roman" w:cs="Times New Roman"/>
        </w:rPr>
        <w:footnoteRef/>
      </w:r>
      <w:r w:rsidRPr="00674513">
        <w:rPr>
          <w:rFonts w:ascii="Times New Roman" w:hAnsi="Times New Roman" w:cs="Times New Roman"/>
        </w:rPr>
        <w:t xml:space="preserve"> </w:t>
      </w:r>
      <w:r>
        <w:rPr>
          <w:rFonts w:ascii="Times New Roman" w:hAnsi="Times New Roman" w:cs="Times New Roman"/>
        </w:rPr>
        <w:t xml:space="preserve">Matthew J </w:t>
      </w:r>
      <w:r w:rsidRPr="00674513">
        <w:rPr>
          <w:rFonts w:ascii="Times New Roman" w:hAnsi="Times New Roman" w:cs="Times New Roman"/>
        </w:rPr>
        <w:t xml:space="preserve">Leach, ‘Evidence Based Practice in Traditional &amp; Complementary Medicine: An Agenda for Policy, Practice, Education and Research’ (2018) 31 </w:t>
      </w:r>
      <w:r w:rsidRPr="00674513">
        <w:rPr>
          <w:rFonts w:ascii="Times New Roman" w:hAnsi="Times New Roman" w:cs="Times New Roman"/>
          <w:i/>
        </w:rPr>
        <w:t>Complementary Therapies in Clinical Practice</w:t>
      </w:r>
      <w:r>
        <w:rPr>
          <w:rFonts w:ascii="Times New Roman" w:hAnsi="Times New Roman" w:cs="Times New Roman"/>
        </w:rPr>
        <w:t xml:space="preserve"> 38; Matthew J </w:t>
      </w:r>
      <w:r w:rsidRPr="00674513">
        <w:rPr>
          <w:rFonts w:ascii="Times New Roman" w:hAnsi="Times New Roman" w:cs="Times New Roman"/>
        </w:rPr>
        <w:t>Leach, ‘Evidence-Based Practice: A Framework for Clinic</w:t>
      </w:r>
      <w:r>
        <w:rPr>
          <w:rFonts w:ascii="Times New Roman" w:hAnsi="Times New Roman" w:cs="Times New Roman"/>
        </w:rPr>
        <w:t xml:space="preserve">al Practice and Research Design (2006) </w:t>
      </w:r>
      <w:r w:rsidRPr="00674513">
        <w:rPr>
          <w:rFonts w:ascii="Times New Roman" w:hAnsi="Times New Roman" w:cs="Times New Roman"/>
        </w:rPr>
        <w:t xml:space="preserve">12 </w:t>
      </w:r>
      <w:r w:rsidRPr="00674513">
        <w:rPr>
          <w:rFonts w:ascii="Times New Roman" w:hAnsi="Times New Roman" w:cs="Times New Roman"/>
          <w:i/>
        </w:rPr>
        <w:t xml:space="preserve">International Journal of Nursing Practice </w:t>
      </w:r>
      <w:r>
        <w:rPr>
          <w:rFonts w:ascii="Times New Roman" w:hAnsi="Times New Roman" w:cs="Times New Roman"/>
        </w:rPr>
        <w:t xml:space="preserve">248; </w:t>
      </w:r>
      <w:r w:rsidRPr="00674513">
        <w:rPr>
          <w:rFonts w:ascii="Times New Roman" w:hAnsi="Times New Roman" w:cs="Times New Roman"/>
        </w:rPr>
        <w:t xml:space="preserve">Andrew Miles </w:t>
      </w:r>
      <w:r w:rsidRPr="00674513">
        <w:rPr>
          <w:rFonts w:ascii="Times New Roman" w:hAnsi="Times New Roman" w:cs="Times New Roman"/>
          <w:i/>
        </w:rPr>
        <w:t>et al.</w:t>
      </w:r>
      <w:r w:rsidRPr="00674513">
        <w:rPr>
          <w:rFonts w:ascii="Times New Roman" w:hAnsi="Times New Roman" w:cs="Times New Roman"/>
        </w:rPr>
        <w:t xml:space="preserve">, ‘Evidence-Based Healthcare, Clinical Knowledge and the Rise of Personalised Medicine’ (2008) 14 </w:t>
      </w:r>
      <w:r w:rsidRPr="00674513">
        <w:rPr>
          <w:rFonts w:ascii="Times New Roman" w:hAnsi="Times New Roman" w:cs="Times New Roman"/>
          <w:i/>
        </w:rPr>
        <w:t>Journal of Evaluation in Clinical Practice</w:t>
      </w:r>
      <w:r w:rsidRPr="00674513">
        <w:rPr>
          <w:rFonts w:ascii="Times New Roman" w:hAnsi="Times New Roman" w:cs="Times New Roman"/>
        </w:rPr>
        <w:t xml:space="preserve"> 621.</w:t>
      </w:r>
    </w:p>
    <w:p w14:paraId="038654D2" w14:textId="77777777" w:rsidR="00A22CB2" w:rsidRDefault="00A22CB2">
      <w:pPr>
        <w:pStyle w:val="FootnoteText"/>
      </w:pPr>
    </w:p>
  </w:footnote>
  <w:footnote w:id="66">
    <w:p w14:paraId="7378B182" w14:textId="4B087FAB" w:rsidR="00A22CB2" w:rsidRPr="00E7436B" w:rsidRDefault="00A22CB2" w:rsidP="00444AC5">
      <w:pPr>
        <w:pStyle w:val="FootnoteText"/>
        <w:jc w:val="both"/>
        <w:rPr>
          <w:rFonts w:ascii="Times New Roman" w:hAnsi="Times New Roman" w:cs="Times New Roman"/>
          <w:color w:val="FF0000"/>
        </w:rPr>
      </w:pPr>
      <w:r w:rsidRPr="002B2CAA">
        <w:rPr>
          <w:rStyle w:val="FootnoteReference"/>
          <w:rFonts w:ascii="Times New Roman" w:hAnsi="Times New Roman" w:cs="Times New Roman"/>
        </w:rPr>
        <w:footnoteRef/>
      </w:r>
      <w:r>
        <w:rPr>
          <w:rFonts w:ascii="Times New Roman" w:hAnsi="Times New Roman" w:cs="Times New Roman"/>
        </w:rPr>
        <w:t xml:space="preserve"> </w:t>
      </w:r>
      <w:r w:rsidRPr="00877B19">
        <w:rPr>
          <w:rFonts w:ascii="Times New Roman" w:hAnsi="Times New Roman" w:cs="Times New Roman"/>
        </w:rPr>
        <w:t>Mental Capacity Act 2005: Code of Practice, para [11.14].</w:t>
      </w:r>
    </w:p>
    <w:p w14:paraId="783EBBEA" w14:textId="77777777" w:rsidR="00A22CB2" w:rsidRPr="00E7436B" w:rsidRDefault="00A22CB2" w:rsidP="00444AC5">
      <w:pPr>
        <w:pStyle w:val="FootnoteText"/>
        <w:jc w:val="both"/>
        <w:rPr>
          <w:rFonts w:ascii="Times New Roman" w:hAnsi="Times New Roman" w:cs="Times New Roman"/>
          <w:color w:val="FF0000"/>
        </w:rPr>
      </w:pPr>
    </w:p>
  </w:footnote>
  <w:footnote w:id="67">
    <w:p w14:paraId="19BBEB3C" w14:textId="66F8D5DE" w:rsidR="00A22CB2" w:rsidRPr="00E7436B" w:rsidRDefault="00A22CB2" w:rsidP="00444AC5">
      <w:pPr>
        <w:pStyle w:val="FootnoteText"/>
        <w:jc w:val="both"/>
        <w:rPr>
          <w:rFonts w:ascii="Times New Roman" w:hAnsi="Times New Roman" w:cs="Times New Roman"/>
          <w:color w:val="FF0000"/>
        </w:rPr>
      </w:pPr>
      <w:r w:rsidRPr="00FA3C11">
        <w:rPr>
          <w:rStyle w:val="FootnoteReference"/>
          <w:rFonts w:ascii="Times New Roman" w:hAnsi="Times New Roman" w:cs="Times New Roman"/>
        </w:rPr>
        <w:footnoteRef/>
      </w:r>
      <w:r>
        <w:rPr>
          <w:rFonts w:ascii="Times New Roman" w:hAnsi="Times New Roman" w:cs="Times New Roman"/>
        </w:rPr>
        <w:t xml:space="preserve"> In </w:t>
      </w:r>
      <w:r w:rsidRPr="00E772F7">
        <w:rPr>
          <w:rFonts w:ascii="Times New Roman" w:hAnsi="Times New Roman" w:cs="Times New Roman"/>
          <w:i/>
        </w:rPr>
        <w:t xml:space="preserve">Re A (Mental Patient: Sterilisation) </w:t>
      </w:r>
      <w:r>
        <w:rPr>
          <w:rFonts w:ascii="Times New Roman" w:hAnsi="Times New Roman" w:cs="Times New Roman"/>
        </w:rPr>
        <w:t xml:space="preserve">[1999] 12 WLUK 657; [2000] 1 FLR </w:t>
      </w:r>
      <w:r w:rsidRPr="00E772F7">
        <w:rPr>
          <w:rFonts w:ascii="Times New Roman" w:hAnsi="Times New Roman" w:cs="Times New Roman"/>
        </w:rPr>
        <w:t>549</w:t>
      </w:r>
      <w:r>
        <w:rPr>
          <w:rFonts w:ascii="Times New Roman" w:hAnsi="Times New Roman" w:cs="Times New Roman"/>
        </w:rPr>
        <w:t xml:space="preserve">, </w:t>
      </w:r>
      <w:r w:rsidRPr="00E772F7">
        <w:rPr>
          <w:rFonts w:ascii="Times New Roman" w:hAnsi="Times New Roman" w:cs="Times New Roman"/>
        </w:rPr>
        <w:t>Dame Elizabeth Butler-</w:t>
      </w:r>
      <w:proofErr w:type="spellStart"/>
      <w:r w:rsidRPr="00E772F7">
        <w:rPr>
          <w:rFonts w:ascii="Times New Roman" w:hAnsi="Times New Roman" w:cs="Times New Roman"/>
        </w:rPr>
        <w:t>Sloss</w:t>
      </w:r>
      <w:proofErr w:type="spellEnd"/>
      <w:r w:rsidRPr="00E772F7">
        <w:rPr>
          <w:rFonts w:ascii="Times New Roman" w:hAnsi="Times New Roman" w:cs="Times New Roman"/>
        </w:rPr>
        <w:t xml:space="preserve"> P</w:t>
      </w:r>
      <w:r>
        <w:rPr>
          <w:rFonts w:ascii="Times New Roman" w:hAnsi="Times New Roman" w:cs="Times New Roman"/>
        </w:rPr>
        <w:t xml:space="preserve"> recognised that considering these factors was crucial to any assessment of best interests, at p.10 of the Official Transcript.</w:t>
      </w:r>
    </w:p>
    <w:p w14:paraId="593C0D93" w14:textId="77777777" w:rsidR="00A22CB2" w:rsidRPr="00E7436B" w:rsidRDefault="00A22CB2" w:rsidP="00444AC5">
      <w:pPr>
        <w:pStyle w:val="FootnoteText"/>
        <w:jc w:val="both"/>
        <w:rPr>
          <w:rFonts w:ascii="Times New Roman" w:hAnsi="Times New Roman" w:cs="Times New Roman"/>
          <w:color w:val="FF0000"/>
        </w:rPr>
      </w:pPr>
    </w:p>
  </w:footnote>
  <w:footnote w:id="68">
    <w:p w14:paraId="6FE1A3C1" w14:textId="6852846D" w:rsidR="00A22CB2" w:rsidRPr="00E7436B" w:rsidRDefault="00A22CB2" w:rsidP="00444AC5">
      <w:pPr>
        <w:pStyle w:val="FootnoteText"/>
        <w:jc w:val="both"/>
        <w:rPr>
          <w:rFonts w:ascii="Times New Roman" w:hAnsi="Times New Roman" w:cs="Times New Roman"/>
          <w:color w:val="FF0000"/>
        </w:rPr>
      </w:pPr>
      <w:r w:rsidRPr="00DD405D">
        <w:rPr>
          <w:rStyle w:val="FootnoteReference"/>
          <w:rFonts w:ascii="Times New Roman" w:hAnsi="Times New Roman" w:cs="Times New Roman"/>
        </w:rPr>
        <w:footnoteRef/>
      </w:r>
      <w:r>
        <w:rPr>
          <w:rFonts w:ascii="Times New Roman" w:hAnsi="Times New Roman" w:cs="Times New Roman"/>
        </w:rPr>
        <w:t xml:space="preserve"> </w:t>
      </w:r>
      <w:r w:rsidRPr="00E772F7">
        <w:rPr>
          <w:rFonts w:ascii="Times New Roman" w:hAnsi="Times New Roman" w:cs="Times New Roman"/>
        </w:rPr>
        <w:t>Mental Capacity Act 2005: Code of Practice, para [11.15].</w:t>
      </w:r>
    </w:p>
    <w:p w14:paraId="3E541DC5" w14:textId="77777777" w:rsidR="00A22CB2" w:rsidRPr="00E7436B" w:rsidRDefault="00A22CB2" w:rsidP="00444AC5">
      <w:pPr>
        <w:pStyle w:val="FootnoteText"/>
        <w:jc w:val="both"/>
        <w:rPr>
          <w:rFonts w:ascii="Times New Roman" w:hAnsi="Times New Roman" w:cs="Times New Roman"/>
          <w:color w:val="FF0000"/>
        </w:rPr>
      </w:pPr>
    </w:p>
  </w:footnote>
  <w:footnote w:id="69">
    <w:p w14:paraId="3C06F5BE" w14:textId="5351446B" w:rsidR="00A22CB2" w:rsidRPr="00E7436B" w:rsidRDefault="00A22CB2" w:rsidP="00444AC5">
      <w:pPr>
        <w:pStyle w:val="FootnoteText"/>
        <w:jc w:val="both"/>
        <w:rPr>
          <w:rFonts w:ascii="Times New Roman" w:hAnsi="Times New Roman" w:cs="Times New Roman"/>
          <w:color w:val="FF0000"/>
        </w:rPr>
      </w:pPr>
      <w:r w:rsidRPr="0075306E">
        <w:rPr>
          <w:rStyle w:val="FootnoteReference"/>
          <w:rFonts w:ascii="Times New Roman" w:hAnsi="Times New Roman" w:cs="Times New Roman"/>
        </w:rPr>
        <w:footnoteRef/>
      </w:r>
      <w:r>
        <w:rPr>
          <w:rFonts w:ascii="Times New Roman" w:hAnsi="Times New Roman" w:cs="Times New Roman"/>
        </w:rPr>
        <w:t xml:space="preserve"> Bartlett (n 12).</w:t>
      </w:r>
    </w:p>
    <w:p w14:paraId="720E586E" w14:textId="77777777" w:rsidR="00A22CB2" w:rsidRPr="00E7436B" w:rsidRDefault="00A22CB2" w:rsidP="00444AC5">
      <w:pPr>
        <w:pStyle w:val="FootnoteText"/>
        <w:jc w:val="both"/>
        <w:rPr>
          <w:rFonts w:ascii="Times New Roman" w:hAnsi="Times New Roman" w:cs="Times New Roman"/>
          <w:color w:val="FF0000"/>
        </w:rPr>
      </w:pPr>
    </w:p>
  </w:footnote>
  <w:footnote w:id="70">
    <w:p w14:paraId="20A8C9CD" w14:textId="17748EA7" w:rsidR="00A22CB2" w:rsidRDefault="00A22CB2" w:rsidP="00444AC5">
      <w:pPr>
        <w:pStyle w:val="FootnoteText"/>
        <w:jc w:val="both"/>
        <w:rPr>
          <w:rFonts w:ascii="Times New Roman" w:hAnsi="Times New Roman" w:cs="Times New Roman"/>
        </w:rPr>
      </w:pPr>
      <w:r w:rsidRPr="00EC30CA">
        <w:rPr>
          <w:rStyle w:val="FootnoteReference"/>
          <w:rFonts w:ascii="Times New Roman" w:hAnsi="Times New Roman" w:cs="Times New Roman"/>
        </w:rPr>
        <w:footnoteRef/>
      </w:r>
      <w:r w:rsidRPr="00E7436B">
        <w:rPr>
          <w:rFonts w:ascii="Times New Roman" w:hAnsi="Times New Roman" w:cs="Times New Roman"/>
          <w:color w:val="FF0000"/>
        </w:rPr>
        <w:t xml:space="preserve"> </w:t>
      </w:r>
      <w:r>
        <w:rPr>
          <w:rFonts w:ascii="Times New Roman" w:hAnsi="Times New Roman" w:cs="Times New Roman"/>
        </w:rPr>
        <w:t>Mental Capacity Act 2005, s 31 (5) (a) and (b).</w:t>
      </w:r>
    </w:p>
    <w:p w14:paraId="6D914AD2" w14:textId="77777777" w:rsidR="00A22CB2" w:rsidRPr="00E7436B" w:rsidRDefault="00A22CB2" w:rsidP="00444AC5">
      <w:pPr>
        <w:pStyle w:val="FootnoteText"/>
        <w:jc w:val="both"/>
        <w:rPr>
          <w:rFonts w:ascii="Times New Roman" w:hAnsi="Times New Roman" w:cs="Times New Roman"/>
          <w:color w:val="FF0000"/>
        </w:rPr>
      </w:pPr>
    </w:p>
  </w:footnote>
  <w:footnote w:id="71">
    <w:p w14:paraId="267E6C86" w14:textId="2FE1A711" w:rsidR="00A22CB2" w:rsidRDefault="00A22CB2" w:rsidP="00444AC5">
      <w:pPr>
        <w:pStyle w:val="FootnoteText"/>
        <w:jc w:val="both"/>
        <w:rPr>
          <w:rFonts w:ascii="Times New Roman" w:hAnsi="Times New Roman" w:cs="Times New Roman"/>
        </w:rPr>
      </w:pPr>
      <w:r w:rsidRPr="001607E2">
        <w:rPr>
          <w:rStyle w:val="FootnoteReference"/>
          <w:rFonts w:ascii="Times New Roman" w:hAnsi="Times New Roman" w:cs="Times New Roman"/>
        </w:rPr>
        <w:footnoteRef/>
      </w:r>
      <w:r w:rsidRPr="001607E2">
        <w:rPr>
          <w:rFonts w:ascii="Times New Roman" w:hAnsi="Times New Roman" w:cs="Times New Roman"/>
        </w:rPr>
        <w:t xml:space="preserve"> </w:t>
      </w:r>
      <w:r>
        <w:rPr>
          <w:rFonts w:ascii="Times New Roman" w:hAnsi="Times New Roman" w:cs="Times New Roman"/>
        </w:rPr>
        <w:t>Ibid.</w:t>
      </w:r>
    </w:p>
    <w:p w14:paraId="7ED2FFB4" w14:textId="77777777" w:rsidR="00A22CB2" w:rsidRPr="00E7436B" w:rsidRDefault="00A22CB2" w:rsidP="00444AC5">
      <w:pPr>
        <w:pStyle w:val="FootnoteText"/>
        <w:jc w:val="both"/>
        <w:rPr>
          <w:rFonts w:ascii="Times New Roman" w:hAnsi="Times New Roman" w:cs="Times New Roman"/>
          <w:color w:val="FF0000"/>
        </w:rPr>
      </w:pPr>
    </w:p>
  </w:footnote>
  <w:footnote w:id="72">
    <w:p w14:paraId="5B162619" w14:textId="12B3A59F" w:rsidR="00A22CB2" w:rsidRPr="00962F01" w:rsidRDefault="00A22CB2" w:rsidP="00962F01">
      <w:pPr>
        <w:pStyle w:val="FootnoteText"/>
        <w:jc w:val="both"/>
        <w:rPr>
          <w:rFonts w:ascii="Times New Roman" w:hAnsi="Times New Roman" w:cs="Times New Roman"/>
        </w:rPr>
      </w:pPr>
      <w:r w:rsidRPr="00962F01">
        <w:rPr>
          <w:rStyle w:val="FootnoteReference"/>
          <w:rFonts w:ascii="Times New Roman" w:hAnsi="Times New Roman" w:cs="Times New Roman"/>
        </w:rPr>
        <w:footnoteRef/>
      </w:r>
      <w:r w:rsidRPr="00962F01">
        <w:rPr>
          <w:rFonts w:ascii="Times New Roman" w:hAnsi="Times New Roman" w:cs="Times New Roman"/>
        </w:rPr>
        <w:t xml:space="preserve"> </w:t>
      </w:r>
      <w:r>
        <w:rPr>
          <w:rFonts w:ascii="Times New Roman" w:hAnsi="Times New Roman" w:cs="Times New Roman"/>
          <w:i/>
        </w:rPr>
        <w:t xml:space="preserve">Re A </w:t>
      </w:r>
      <w:r>
        <w:rPr>
          <w:rFonts w:ascii="Times New Roman" w:hAnsi="Times New Roman" w:cs="Times New Roman"/>
        </w:rPr>
        <w:t xml:space="preserve">(n 67); </w:t>
      </w:r>
      <w:r w:rsidRPr="00962F01">
        <w:rPr>
          <w:rFonts w:ascii="Times New Roman" w:hAnsi="Times New Roman" w:cs="Times New Roman"/>
          <w:i/>
        </w:rPr>
        <w:t>Re J (A Minor) (Wardship: Medical Treatment)</w:t>
      </w:r>
      <w:r>
        <w:rPr>
          <w:rFonts w:ascii="Times New Roman" w:hAnsi="Times New Roman" w:cs="Times New Roman"/>
        </w:rPr>
        <w:t xml:space="preserve"> </w:t>
      </w:r>
      <w:r w:rsidRPr="00962F01">
        <w:rPr>
          <w:rFonts w:ascii="Times New Roman" w:hAnsi="Times New Roman" w:cs="Times New Roman"/>
        </w:rPr>
        <w:t>[1991] Fam. 33, 55.</w:t>
      </w:r>
    </w:p>
    <w:p w14:paraId="7BC0699D" w14:textId="77777777" w:rsidR="00A22CB2" w:rsidRPr="00E7436B" w:rsidRDefault="00A22CB2" w:rsidP="00444AC5">
      <w:pPr>
        <w:pStyle w:val="FootnoteText"/>
        <w:jc w:val="both"/>
        <w:rPr>
          <w:rFonts w:ascii="Times New Roman" w:hAnsi="Times New Roman" w:cs="Times New Roman"/>
          <w:color w:val="FF0000"/>
        </w:rPr>
      </w:pPr>
    </w:p>
  </w:footnote>
  <w:footnote w:id="73">
    <w:p w14:paraId="3B45DF29" w14:textId="3899F903" w:rsidR="00A22CB2" w:rsidRDefault="00A22CB2" w:rsidP="001607E2">
      <w:pPr>
        <w:pStyle w:val="FootnoteText"/>
        <w:jc w:val="both"/>
        <w:rPr>
          <w:rFonts w:ascii="Times New Roman" w:hAnsi="Times New Roman" w:cs="Times New Roman"/>
          <w:color w:val="FF0000"/>
        </w:rPr>
      </w:pPr>
      <w:r w:rsidRPr="001607E2">
        <w:rPr>
          <w:rStyle w:val="FootnoteReference"/>
          <w:rFonts w:ascii="Times New Roman" w:hAnsi="Times New Roman" w:cs="Times New Roman"/>
        </w:rPr>
        <w:footnoteRef/>
      </w:r>
      <w:r w:rsidRPr="001607E2">
        <w:rPr>
          <w:rFonts w:ascii="Times New Roman" w:hAnsi="Times New Roman" w:cs="Times New Roman"/>
        </w:rPr>
        <w:t xml:space="preserve"> </w:t>
      </w:r>
      <w:r>
        <w:rPr>
          <w:rFonts w:ascii="Times New Roman" w:hAnsi="Times New Roman" w:cs="Times New Roman"/>
        </w:rPr>
        <w:t>Mental Capacity Act 2005, s 31 (5) (a) and (b).</w:t>
      </w:r>
    </w:p>
    <w:p w14:paraId="73DC7C62" w14:textId="05F2BE7C" w:rsidR="00A22CB2" w:rsidRPr="00E7436B" w:rsidRDefault="00A22CB2" w:rsidP="00444AC5">
      <w:pPr>
        <w:pStyle w:val="FootnoteText"/>
        <w:jc w:val="both"/>
        <w:rPr>
          <w:rFonts w:ascii="Times New Roman" w:hAnsi="Times New Roman" w:cs="Times New Roman"/>
          <w:color w:val="FF0000"/>
        </w:rPr>
      </w:pPr>
    </w:p>
  </w:footnote>
  <w:footnote w:id="74">
    <w:p w14:paraId="6C9CA540" w14:textId="6621D6BA" w:rsidR="00A22CB2" w:rsidRPr="00E7436B" w:rsidRDefault="00A22CB2" w:rsidP="00444AC5">
      <w:pPr>
        <w:pStyle w:val="FootnoteText"/>
        <w:jc w:val="both"/>
        <w:rPr>
          <w:rFonts w:ascii="Times New Roman" w:hAnsi="Times New Roman" w:cs="Times New Roman"/>
          <w:color w:val="FF0000"/>
        </w:rPr>
      </w:pPr>
      <w:r w:rsidRPr="008046F4">
        <w:rPr>
          <w:rStyle w:val="FootnoteReference"/>
          <w:rFonts w:ascii="Times New Roman" w:hAnsi="Times New Roman" w:cs="Times New Roman"/>
        </w:rPr>
        <w:footnoteRef/>
      </w:r>
      <w:r w:rsidRPr="008046F4">
        <w:rPr>
          <w:rFonts w:ascii="Times New Roman" w:hAnsi="Times New Roman" w:cs="Times New Roman"/>
        </w:rPr>
        <w:t xml:space="preserve"> </w:t>
      </w:r>
      <w:r>
        <w:rPr>
          <w:rFonts w:ascii="Times New Roman" w:hAnsi="Times New Roman" w:cs="Times New Roman"/>
        </w:rPr>
        <w:t>Mental Capacity Act 2005, s 31 (5) (b).</w:t>
      </w:r>
    </w:p>
    <w:p w14:paraId="507C6696" w14:textId="77777777" w:rsidR="00A22CB2" w:rsidRPr="00E7436B" w:rsidRDefault="00A22CB2" w:rsidP="00444AC5">
      <w:pPr>
        <w:pStyle w:val="FootnoteText"/>
        <w:jc w:val="both"/>
        <w:rPr>
          <w:rFonts w:ascii="Times New Roman" w:hAnsi="Times New Roman" w:cs="Times New Roman"/>
          <w:color w:val="FF0000"/>
        </w:rPr>
      </w:pPr>
    </w:p>
  </w:footnote>
  <w:footnote w:id="75">
    <w:p w14:paraId="3246FD6D" w14:textId="758C47F8" w:rsidR="00A22CB2" w:rsidRPr="0078107F" w:rsidRDefault="00A22CB2" w:rsidP="0078107F">
      <w:pPr>
        <w:pStyle w:val="FootnoteText"/>
        <w:jc w:val="both"/>
        <w:rPr>
          <w:rFonts w:ascii="Times New Roman" w:hAnsi="Times New Roman" w:cs="Times New Roman"/>
        </w:rPr>
      </w:pPr>
      <w:r w:rsidRPr="0078107F">
        <w:rPr>
          <w:rStyle w:val="FootnoteReference"/>
          <w:rFonts w:ascii="Times New Roman" w:hAnsi="Times New Roman" w:cs="Times New Roman"/>
        </w:rPr>
        <w:footnoteRef/>
      </w:r>
      <w:r>
        <w:rPr>
          <w:rFonts w:ascii="Times New Roman" w:hAnsi="Times New Roman" w:cs="Times New Roman"/>
        </w:rPr>
        <w:t xml:space="preserve"> </w:t>
      </w:r>
      <w:r w:rsidRPr="00827157">
        <w:rPr>
          <w:rFonts w:ascii="Times New Roman" w:hAnsi="Times New Roman" w:cs="Times New Roman"/>
        </w:rPr>
        <w:t xml:space="preserve">Per Holman J in </w:t>
      </w:r>
      <w:r w:rsidRPr="00827157">
        <w:rPr>
          <w:rFonts w:ascii="Times New Roman" w:hAnsi="Times New Roman" w:cs="Times New Roman"/>
          <w:i/>
        </w:rPr>
        <w:t>An NHS Trust v MB and Others</w:t>
      </w:r>
      <w:r w:rsidRPr="00827157">
        <w:rPr>
          <w:rFonts w:ascii="Times New Roman" w:hAnsi="Times New Roman" w:cs="Times New Roman"/>
        </w:rPr>
        <w:t xml:space="preserve"> [2006] EWHC 507 (Fam); [2006] 2 FLR 319 at [16] [v].</w:t>
      </w:r>
    </w:p>
    <w:p w14:paraId="0FE17D0F" w14:textId="77777777" w:rsidR="00A22CB2" w:rsidRDefault="00A22CB2">
      <w:pPr>
        <w:pStyle w:val="FootnoteText"/>
      </w:pPr>
    </w:p>
  </w:footnote>
  <w:footnote w:id="76">
    <w:p w14:paraId="68B66ED1" w14:textId="3A4F7368" w:rsidR="00A22CB2" w:rsidRPr="00E7436B" w:rsidRDefault="00A22CB2" w:rsidP="00444AC5">
      <w:pPr>
        <w:pStyle w:val="FootnoteText"/>
        <w:jc w:val="both"/>
        <w:rPr>
          <w:rFonts w:ascii="Times New Roman" w:hAnsi="Times New Roman" w:cs="Times New Roman"/>
          <w:color w:val="FF0000"/>
        </w:rPr>
      </w:pPr>
      <w:r w:rsidRPr="00E32710">
        <w:rPr>
          <w:rStyle w:val="FootnoteReference"/>
          <w:rFonts w:ascii="Times New Roman" w:hAnsi="Times New Roman" w:cs="Times New Roman"/>
        </w:rPr>
        <w:footnoteRef/>
      </w:r>
      <w:r w:rsidRPr="00E32710">
        <w:rPr>
          <w:rFonts w:ascii="Times New Roman" w:hAnsi="Times New Roman" w:cs="Times New Roman"/>
        </w:rPr>
        <w:t xml:space="preserve"> </w:t>
      </w:r>
      <w:r>
        <w:rPr>
          <w:rFonts w:ascii="Times New Roman" w:hAnsi="Times New Roman" w:cs="Times New Roman"/>
        </w:rPr>
        <w:t>Mental Capacity Act 2005, s 31 (5) (b).</w:t>
      </w:r>
    </w:p>
  </w:footnote>
  <w:footnote w:id="77">
    <w:p w14:paraId="229D3935" w14:textId="347DAEDD" w:rsidR="00A22CB2" w:rsidRPr="00FF68C5" w:rsidRDefault="00A22CB2" w:rsidP="00B929CD">
      <w:pPr>
        <w:pStyle w:val="FootnoteText"/>
        <w:jc w:val="both"/>
        <w:rPr>
          <w:rFonts w:ascii="Times New Roman" w:hAnsi="Times New Roman" w:cs="Times New Roman"/>
          <w:color w:val="FF0000"/>
        </w:rPr>
      </w:pPr>
      <w:r w:rsidRPr="00B929CD">
        <w:rPr>
          <w:rStyle w:val="FootnoteReference"/>
          <w:rFonts w:ascii="Times New Roman" w:hAnsi="Times New Roman" w:cs="Times New Roman"/>
        </w:rPr>
        <w:footnoteRef/>
      </w:r>
      <w:r w:rsidRPr="00B929CD">
        <w:rPr>
          <w:rFonts w:ascii="Times New Roman" w:hAnsi="Times New Roman" w:cs="Times New Roman"/>
        </w:rPr>
        <w:t xml:space="preserve"> </w:t>
      </w:r>
      <w:r>
        <w:rPr>
          <w:rFonts w:ascii="Times New Roman" w:hAnsi="Times New Roman" w:cs="Times New Roman"/>
        </w:rPr>
        <w:t xml:space="preserve">Mental Capacity Act 2005, s 31 (6).  </w:t>
      </w:r>
      <w:r w:rsidRPr="00FF68C5">
        <w:rPr>
          <w:rFonts w:ascii="Times New Roman" w:hAnsi="Times New Roman" w:cs="Times New Roman"/>
        </w:rPr>
        <w:t>As Brazier and Cave note, this is a less onerous test than is applied under the Medicines for Human Use (Clinical Trials) Regulations 2004.  Under</w:t>
      </w:r>
      <w:r>
        <w:rPr>
          <w:rFonts w:ascii="Times New Roman" w:hAnsi="Times New Roman" w:cs="Times New Roman"/>
        </w:rPr>
        <w:t xml:space="preserve"> </w:t>
      </w:r>
      <w:proofErr w:type="spellStart"/>
      <w:r>
        <w:rPr>
          <w:rFonts w:ascii="Times New Roman" w:hAnsi="Times New Roman" w:cs="Times New Roman"/>
        </w:rPr>
        <w:t>Sch</w:t>
      </w:r>
      <w:proofErr w:type="spellEnd"/>
      <w:r>
        <w:rPr>
          <w:rFonts w:ascii="Times New Roman" w:hAnsi="Times New Roman" w:cs="Times New Roman"/>
        </w:rPr>
        <w:t xml:space="preserve"> 1, Part 5, para 9 of </w:t>
      </w:r>
      <w:r w:rsidRPr="00FF68C5">
        <w:rPr>
          <w:rFonts w:ascii="Times New Roman" w:hAnsi="Times New Roman" w:cs="Times New Roman"/>
        </w:rPr>
        <w:t>the Clinical Trials Regulations</w:t>
      </w:r>
      <w:r>
        <w:rPr>
          <w:rFonts w:ascii="Times New Roman" w:hAnsi="Times New Roman" w:cs="Times New Roman"/>
        </w:rPr>
        <w:t>,</w:t>
      </w:r>
      <w:r w:rsidRPr="00FF68C5">
        <w:rPr>
          <w:rFonts w:ascii="Times New Roman" w:hAnsi="Times New Roman" w:cs="Times New Roman"/>
        </w:rPr>
        <w:t xml:space="preserve"> the research must either benefit the patient or produce </w:t>
      </w:r>
      <w:r w:rsidRPr="00FF68C5">
        <w:rPr>
          <w:rFonts w:ascii="Times New Roman" w:hAnsi="Times New Roman" w:cs="Times New Roman"/>
          <w:i/>
        </w:rPr>
        <w:t>no risk at all</w:t>
      </w:r>
      <w:r w:rsidRPr="00FF68C5">
        <w:rPr>
          <w:rFonts w:ascii="Times New Roman" w:hAnsi="Times New Roman" w:cs="Times New Roman"/>
        </w:rPr>
        <w:t xml:space="preserve">.  See Margaret Brazier and Emma Cave, </w:t>
      </w:r>
      <w:r w:rsidRPr="00FF68C5">
        <w:rPr>
          <w:rFonts w:ascii="Times New Roman" w:hAnsi="Times New Roman" w:cs="Times New Roman"/>
          <w:i/>
        </w:rPr>
        <w:t xml:space="preserve">Medicine, Patients and the Law </w:t>
      </w:r>
      <w:r w:rsidRPr="00FF68C5">
        <w:rPr>
          <w:rFonts w:ascii="Times New Roman" w:hAnsi="Times New Roman" w:cs="Times New Roman"/>
        </w:rPr>
        <w:t>(6</w:t>
      </w:r>
      <w:r w:rsidRPr="00FF68C5">
        <w:rPr>
          <w:rFonts w:ascii="Times New Roman" w:hAnsi="Times New Roman" w:cs="Times New Roman"/>
          <w:vertAlign w:val="superscript"/>
        </w:rPr>
        <w:t>th</w:t>
      </w:r>
      <w:r w:rsidRPr="00FF68C5">
        <w:rPr>
          <w:rFonts w:ascii="Times New Roman" w:hAnsi="Times New Roman" w:cs="Times New Roman"/>
        </w:rPr>
        <w:t xml:space="preserve"> </w:t>
      </w:r>
      <w:proofErr w:type="spellStart"/>
      <w:r w:rsidRPr="00FF68C5">
        <w:rPr>
          <w:rFonts w:ascii="Times New Roman" w:hAnsi="Times New Roman" w:cs="Times New Roman"/>
        </w:rPr>
        <w:t>edn</w:t>
      </w:r>
      <w:proofErr w:type="spellEnd"/>
      <w:r w:rsidRPr="00FF68C5">
        <w:rPr>
          <w:rFonts w:ascii="Times New Roman" w:hAnsi="Times New Roman" w:cs="Times New Roman"/>
        </w:rPr>
        <w:t>, Manchester University Press 2016) at 490.</w:t>
      </w:r>
      <w:r>
        <w:rPr>
          <w:rFonts w:ascii="Times New Roman" w:hAnsi="Times New Roman" w:cs="Times New Roman"/>
        </w:rPr>
        <w:t xml:space="preserve"> Analysis of the Clinical Trials Regulations is beyond the scope of this piece.</w:t>
      </w:r>
    </w:p>
    <w:p w14:paraId="02E198AB" w14:textId="7B5D723D" w:rsidR="00A22CB2" w:rsidRPr="00E7436B" w:rsidRDefault="00A22CB2" w:rsidP="00444AC5">
      <w:pPr>
        <w:pStyle w:val="FootnoteText"/>
        <w:jc w:val="both"/>
        <w:rPr>
          <w:rFonts w:ascii="Times New Roman" w:hAnsi="Times New Roman" w:cs="Times New Roman"/>
          <w:color w:val="FF0000"/>
        </w:rPr>
      </w:pPr>
    </w:p>
  </w:footnote>
  <w:footnote w:id="78">
    <w:p w14:paraId="4B6F7AB4" w14:textId="48286F00" w:rsidR="00A22CB2" w:rsidRDefault="00A22CB2" w:rsidP="00444AC5">
      <w:pPr>
        <w:pStyle w:val="FootnoteText"/>
        <w:jc w:val="both"/>
        <w:rPr>
          <w:rFonts w:ascii="Times New Roman" w:hAnsi="Times New Roman" w:cs="Times New Roman"/>
        </w:rPr>
      </w:pPr>
      <w:r w:rsidRPr="00E32710">
        <w:rPr>
          <w:rStyle w:val="FootnoteReference"/>
          <w:rFonts w:ascii="Times New Roman" w:hAnsi="Times New Roman" w:cs="Times New Roman"/>
        </w:rPr>
        <w:footnoteRef/>
      </w:r>
      <w:r>
        <w:rPr>
          <w:rFonts w:ascii="Times New Roman" w:hAnsi="Times New Roman" w:cs="Times New Roman"/>
        </w:rPr>
        <w:t xml:space="preserve"> </w:t>
      </w:r>
      <w:r w:rsidRPr="00AC764D">
        <w:rPr>
          <w:rFonts w:ascii="Times New Roman" w:hAnsi="Times New Roman" w:cs="Times New Roman"/>
        </w:rPr>
        <w:t>Mental Capacity Act 2005: Code of Practice, para [11.18].</w:t>
      </w:r>
    </w:p>
    <w:p w14:paraId="523722F3" w14:textId="77777777" w:rsidR="006B0F30" w:rsidRPr="00A650B2" w:rsidRDefault="006B0F30" w:rsidP="00444AC5">
      <w:pPr>
        <w:pStyle w:val="FootnoteText"/>
        <w:jc w:val="both"/>
        <w:rPr>
          <w:rFonts w:ascii="Times New Roman" w:hAnsi="Times New Roman" w:cs="Times New Roman"/>
        </w:rPr>
      </w:pPr>
    </w:p>
  </w:footnote>
  <w:footnote w:id="79">
    <w:p w14:paraId="52E35209" w14:textId="70699057" w:rsidR="00A22CB2" w:rsidRDefault="00A22CB2" w:rsidP="00941CC6">
      <w:pPr>
        <w:pStyle w:val="FootnoteText"/>
        <w:jc w:val="both"/>
        <w:rPr>
          <w:rFonts w:ascii="Times New Roman" w:hAnsi="Times New Roman" w:cs="Times New Roman"/>
        </w:rPr>
      </w:pPr>
      <w:r w:rsidRPr="00833440">
        <w:rPr>
          <w:rStyle w:val="FootnoteReference"/>
          <w:rFonts w:ascii="Times New Roman" w:hAnsi="Times New Roman" w:cs="Times New Roman"/>
        </w:rPr>
        <w:footnoteRef/>
      </w:r>
      <w:r w:rsidRPr="00833440">
        <w:rPr>
          <w:rFonts w:ascii="Times New Roman" w:hAnsi="Times New Roman" w:cs="Times New Roman"/>
        </w:rPr>
        <w:t xml:space="preserve"> See J Richard </w:t>
      </w:r>
      <w:proofErr w:type="spellStart"/>
      <w:r w:rsidRPr="00833440">
        <w:rPr>
          <w:rFonts w:ascii="Times New Roman" w:hAnsi="Times New Roman" w:cs="Times New Roman"/>
        </w:rPr>
        <w:t>Eiser</w:t>
      </w:r>
      <w:proofErr w:type="spellEnd"/>
      <w:r>
        <w:rPr>
          <w:rFonts w:ascii="Times New Roman" w:hAnsi="Times New Roman" w:cs="Times New Roman"/>
        </w:rPr>
        <w:t xml:space="preserve"> </w:t>
      </w:r>
      <w:r w:rsidRPr="00833440">
        <w:rPr>
          <w:rFonts w:ascii="Times New Roman" w:hAnsi="Times New Roman" w:cs="Times New Roman"/>
          <w:i/>
        </w:rPr>
        <w:t>et al.</w:t>
      </w:r>
      <w:r w:rsidRPr="00833440">
        <w:rPr>
          <w:rFonts w:ascii="Times New Roman" w:hAnsi="Times New Roman" w:cs="Times New Roman"/>
        </w:rPr>
        <w:t xml:space="preserve">, ‘Risk Interpretation and Action: A Conceptual Framework for Responses to Natural Hazards (2012) 1 </w:t>
      </w:r>
      <w:r w:rsidRPr="00833440">
        <w:rPr>
          <w:rFonts w:ascii="Times New Roman" w:hAnsi="Times New Roman" w:cs="Times New Roman"/>
          <w:i/>
        </w:rPr>
        <w:t>International Journal of Disaster Risk Reduction</w:t>
      </w:r>
      <w:r>
        <w:rPr>
          <w:rFonts w:ascii="Times New Roman" w:hAnsi="Times New Roman" w:cs="Times New Roman"/>
        </w:rPr>
        <w:t xml:space="preserve"> 5.</w:t>
      </w:r>
    </w:p>
    <w:p w14:paraId="1CD33D0A" w14:textId="77777777" w:rsidR="00A22CB2" w:rsidRPr="00941CC6" w:rsidRDefault="00A22CB2" w:rsidP="00941CC6">
      <w:pPr>
        <w:pStyle w:val="FootnoteText"/>
        <w:jc w:val="both"/>
        <w:rPr>
          <w:rFonts w:ascii="Times New Roman" w:hAnsi="Times New Roman" w:cs="Times New Roman"/>
        </w:rPr>
      </w:pPr>
    </w:p>
  </w:footnote>
  <w:footnote w:id="80">
    <w:p w14:paraId="3C35CB3B" w14:textId="6C3AF71C" w:rsidR="00A22CB2" w:rsidRPr="00F717A4" w:rsidRDefault="00A22CB2" w:rsidP="00F717A4">
      <w:pPr>
        <w:pStyle w:val="FootnoteText"/>
        <w:jc w:val="both"/>
        <w:rPr>
          <w:rFonts w:ascii="Times New Roman" w:hAnsi="Times New Roman" w:cs="Times New Roman"/>
          <w:color w:val="FF0000"/>
        </w:rPr>
      </w:pPr>
      <w:r w:rsidRPr="00F717A4">
        <w:rPr>
          <w:rStyle w:val="FootnoteReference"/>
          <w:rFonts w:ascii="Times New Roman" w:hAnsi="Times New Roman" w:cs="Times New Roman"/>
        </w:rPr>
        <w:footnoteRef/>
      </w:r>
      <w:r w:rsidRPr="00F717A4">
        <w:rPr>
          <w:rFonts w:ascii="Times New Roman" w:hAnsi="Times New Roman" w:cs="Times New Roman"/>
        </w:rPr>
        <w:t xml:space="preserve"> </w:t>
      </w:r>
      <w:r>
        <w:rPr>
          <w:rFonts w:ascii="Times New Roman" w:hAnsi="Times New Roman" w:cs="Times New Roman"/>
        </w:rPr>
        <w:t xml:space="preserve">Recently, the Supreme Court stressed the importance of the need to consider things from the </w:t>
      </w:r>
      <w:r w:rsidRPr="00AF5D1F">
        <w:rPr>
          <w:rFonts w:ascii="Times New Roman" w:hAnsi="Times New Roman" w:cs="Times New Roman"/>
          <w:i/>
        </w:rPr>
        <w:t>particular</w:t>
      </w:r>
      <w:r>
        <w:rPr>
          <w:rFonts w:ascii="Times New Roman" w:hAnsi="Times New Roman" w:cs="Times New Roman"/>
        </w:rPr>
        <w:t xml:space="preserve"> patient’s perspective.  What amounts to a significant invasion of privacy could, for example, depend on cultural beliefs and different perceptions of privacy. See </w:t>
      </w:r>
      <w:r w:rsidRPr="00F717A4">
        <w:rPr>
          <w:rFonts w:ascii="Times New Roman" w:hAnsi="Times New Roman" w:cs="Times New Roman"/>
          <w:i/>
        </w:rPr>
        <w:t>Montgomery v Lanarkshire</w:t>
      </w:r>
      <w:r w:rsidRPr="00F717A4">
        <w:rPr>
          <w:rFonts w:ascii="Times New Roman" w:hAnsi="Times New Roman" w:cs="Times New Roman"/>
        </w:rPr>
        <w:t xml:space="preserve"> [2015] UKSC 11; [2015] AC 1430.</w:t>
      </w:r>
    </w:p>
    <w:p w14:paraId="76C27C68" w14:textId="77777777" w:rsidR="00A22CB2" w:rsidRPr="00F717A4" w:rsidRDefault="00A22CB2" w:rsidP="00F717A4">
      <w:pPr>
        <w:pStyle w:val="FootnoteText"/>
        <w:jc w:val="both"/>
        <w:rPr>
          <w:rFonts w:ascii="Times New Roman" w:hAnsi="Times New Roman" w:cs="Times New Roman"/>
          <w:color w:val="FF0000"/>
        </w:rPr>
      </w:pPr>
    </w:p>
  </w:footnote>
  <w:footnote w:id="81">
    <w:p w14:paraId="30AC6A8F" w14:textId="43DB9CD4" w:rsidR="00A22CB2" w:rsidRPr="00F717A4" w:rsidRDefault="00A22CB2" w:rsidP="00F717A4">
      <w:pPr>
        <w:pStyle w:val="FootnoteText"/>
        <w:jc w:val="both"/>
        <w:rPr>
          <w:rFonts w:ascii="Times New Roman" w:hAnsi="Times New Roman" w:cs="Times New Roman"/>
        </w:rPr>
      </w:pPr>
      <w:r w:rsidRPr="00F717A4">
        <w:rPr>
          <w:rStyle w:val="FootnoteReference"/>
          <w:rFonts w:ascii="Times New Roman" w:hAnsi="Times New Roman" w:cs="Times New Roman"/>
        </w:rPr>
        <w:footnoteRef/>
      </w:r>
      <w:r w:rsidRPr="00F717A4">
        <w:rPr>
          <w:rFonts w:ascii="Times New Roman" w:hAnsi="Times New Roman" w:cs="Times New Roman"/>
        </w:rPr>
        <w:t xml:space="preserve"> See Victoria Shepherd, ‘Research Involving Adults Lacking Capacity to Consent: The Impact of Research Regulation on ‘Evidence </w:t>
      </w:r>
      <w:r w:rsidRPr="00F717A4">
        <w:rPr>
          <w:rFonts w:ascii="Times New Roman" w:hAnsi="Times New Roman" w:cs="Times New Roman"/>
          <w:i/>
        </w:rPr>
        <w:t>Biased’</w:t>
      </w:r>
      <w:r w:rsidRPr="00F717A4">
        <w:rPr>
          <w:rFonts w:ascii="Times New Roman" w:hAnsi="Times New Roman" w:cs="Times New Roman"/>
        </w:rPr>
        <w:t xml:space="preserve"> Medicine (2016) </w:t>
      </w:r>
      <w:r w:rsidRPr="00F717A4">
        <w:rPr>
          <w:rFonts w:ascii="Times New Roman" w:hAnsi="Times New Roman" w:cs="Times New Roman"/>
          <w:i/>
        </w:rPr>
        <w:t>BMC Medical Ethics</w:t>
      </w:r>
      <w:r w:rsidRPr="00F717A4">
        <w:rPr>
          <w:rFonts w:ascii="Times New Roman" w:hAnsi="Times New Roman" w:cs="Times New Roman"/>
        </w:rPr>
        <w:t xml:space="preserve"> </w:t>
      </w:r>
      <w:hyperlink r:id="rId10" w:history="1">
        <w:r w:rsidRPr="00F717A4">
          <w:rPr>
            <w:rStyle w:val="Hyperlink"/>
            <w:rFonts w:ascii="Times New Roman" w:hAnsi="Times New Roman" w:cs="Times New Roman"/>
            <w:color w:val="auto"/>
          </w:rPr>
          <w:t>https://doi.org/10.1186/s12910-016-0138-9</w:t>
        </w:r>
      </w:hyperlink>
      <w:r w:rsidRPr="00F717A4">
        <w:rPr>
          <w:rFonts w:ascii="Times New Roman" w:hAnsi="Times New Roman" w:cs="Times New Roman"/>
        </w:rPr>
        <w:t xml:space="preserve">; Herbert C </w:t>
      </w:r>
      <w:proofErr w:type="spellStart"/>
      <w:r w:rsidRPr="00F717A4">
        <w:rPr>
          <w:rFonts w:ascii="Times New Roman" w:hAnsi="Times New Roman" w:cs="Times New Roman"/>
        </w:rPr>
        <w:t>Kelman</w:t>
      </w:r>
      <w:proofErr w:type="spellEnd"/>
      <w:r w:rsidRPr="00F717A4">
        <w:rPr>
          <w:rFonts w:ascii="Times New Roman" w:hAnsi="Times New Roman" w:cs="Times New Roman"/>
        </w:rPr>
        <w:t xml:space="preserve">, ‘Privacy and Research with Human Beings’ (1977) 33 </w:t>
      </w:r>
      <w:r w:rsidRPr="00F717A4">
        <w:rPr>
          <w:rFonts w:ascii="Times New Roman" w:hAnsi="Times New Roman" w:cs="Times New Roman"/>
          <w:i/>
        </w:rPr>
        <w:t>Journal of Social Issues</w:t>
      </w:r>
      <w:r w:rsidRPr="00F717A4">
        <w:rPr>
          <w:rFonts w:ascii="Times New Roman" w:hAnsi="Times New Roman" w:cs="Times New Roman"/>
        </w:rPr>
        <w:t xml:space="preserve"> 177.</w:t>
      </w:r>
    </w:p>
    <w:p w14:paraId="0C2B6420" w14:textId="77777777" w:rsidR="00A22CB2" w:rsidRPr="00E7436B" w:rsidRDefault="00A22CB2" w:rsidP="00444AC5">
      <w:pPr>
        <w:pStyle w:val="FootnoteText"/>
        <w:jc w:val="both"/>
        <w:rPr>
          <w:rFonts w:ascii="Times New Roman" w:hAnsi="Times New Roman" w:cs="Times New Roman"/>
          <w:color w:val="FF0000"/>
        </w:rPr>
      </w:pPr>
    </w:p>
  </w:footnote>
  <w:footnote w:id="82">
    <w:p w14:paraId="77ACDDD0" w14:textId="3092EB5C" w:rsidR="00A22CB2" w:rsidRDefault="00A22CB2" w:rsidP="00962F93">
      <w:pPr>
        <w:pStyle w:val="FootnoteText"/>
        <w:jc w:val="both"/>
        <w:rPr>
          <w:rFonts w:ascii="Times New Roman" w:hAnsi="Times New Roman" w:cs="Times New Roman"/>
          <w:color w:val="FF0000"/>
        </w:rPr>
      </w:pPr>
      <w:r w:rsidRPr="00B01254">
        <w:rPr>
          <w:rStyle w:val="FootnoteReference"/>
          <w:rFonts w:ascii="Times New Roman" w:hAnsi="Times New Roman" w:cs="Times New Roman"/>
        </w:rPr>
        <w:footnoteRef/>
      </w:r>
      <w:r w:rsidRPr="00B01254">
        <w:rPr>
          <w:rFonts w:ascii="Times New Roman" w:hAnsi="Times New Roman" w:cs="Times New Roman"/>
        </w:rPr>
        <w:t xml:space="preserve"> </w:t>
      </w:r>
      <w:r w:rsidRPr="005F22AB">
        <w:rPr>
          <w:rFonts w:ascii="Times New Roman" w:hAnsi="Times New Roman" w:cs="Times New Roman"/>
        </w:rPr>
        <w:t>Donnelly</w:t>
      </w:r>
      <w:r>
        <w:rPr>
          <w:rFonts w:ascii="Times New Roman" w:hAnsi="Times New Roman" w:cs="Times New Roman"/>
        </w:rPr>
        <w:t xml:space="preserve"> (n 1); </w:t>
      </w:r>
      <w:r w:rsidRPr="005F22AB">
        <w:rPr>
          <w:rFonts w:ascii="Times New Roman" w:hAnsi="Times New Roman" w:cs="Times New Roman"/>
        </w:rPr>
        <w:t>Donnelly</w:t>
      </w:r>
      <w:r>
        <w:rPr>
          <w:rFonts w:ascii="Times New Roman" w:hAnsi="Times New Roman" w:cs="Times New Roman"/>
        </w:rPr>
        <w:t xml:space="preserve"> (n 2). </w:t>
      </w:r>
    </w:p>
    <w:p w14:paraId="3DC66BA0" w14:textId="77777777" w:rsidR="00A22CB2" w:rsidRPr="00E7436B" w:rsidRDefault="00A22CB2" w:rsidP="00962F93">
      <w:pPr>
        <w:pStyle w:val="FootnoteText"/>
        <w:jc w:val="both"/>
        <w:rPr>
          <w:rFonts w:ascii="Times New Roman" w:hAnsi="Times New Roman" w:cs="Times New Roman"/>
          <w:color w:val="FF0000"/>
        </w:rPr>
      </w:pPr>
    </w:p>
  </w:footnote>
  <w:footnote w:id="83">
    <w:p w14:paraId="2E2D38D9" w14:textId="70F3589C" w:rsidR="00A22CB2" w:rsidRDefault="00A22CB2" w:rsidP="00FA7CDC">
      <w:pPr>
        <w:pStyle w:val="FootnoteText"/>
        <w:jc w:val="both"/>
        <w:rPr>
          <w:rFonts w:ascii="Times New Roman" w:hAnsi="Times New Roman" w:cs="Times New Roman"/>
        </w:rPr>
      </w:pPr>
      <w:r w:rsidRPr="00FA7CDC">
        <w:rPr>
          <w:rStyle w:val="FootnoteReference"/>
          <w:rFonts w:ascii="Times New Roman" w:hAnsi="Times New Roman" w:cs="Times New Roman"/>
        </w:rPr>
        <w:footnoteRef/>
      </w:r>
      <w:r w:rsidRPr="00FA7CDC">
        <w:rPr>
          <w:rFonts w:ascii="Times New Roman" w:hAnsi="Times New Roman" w:cs="Times New Roman"/>
        </w:rPr>
        <w:t xml:space="preserve"> Me</w:t>
      </w:r>
      <w:r>
        <w:rPr>
          <w:rFonts w:ascii="Times New Roman" w:hAnsi="Times New Roman" w:cs="Times New Roman"/>
        </w:rPr>
        <w:t>ntal Capacity Act 2005, s 4 (6) (a).</w:t>
      </w:r>
    </w:p>
    <w:p w14:paraId="429B520E" w14:textId="77777777" w:rsidR="00A22CB2" w:rsidRPr="00FA7CDC" w:rsidRDefault="00A22CB2" w:rsidP="00FA7CDC">
      <w:pPr>
        <w:pStyle w:val="FootnoteText"/>
        <w:jc w:val="both"/>
        <w:rPr>
          <w:rFonts w:ascii="Times New Roman" w:hAnsi="Times New Roman" w:cs="Times New Roman"/>
        </w:rPr>
      </w:pPr>
    </w:p>
  </w:footnote>
  <w:footnote w:id="84">
    <w:p w14:paraId="2D3EE290" w14:textId="452F1874" w:rsidR="00A22CB2" w:rsidRDefault="00A22CB2" w:rsidP="00FA7CDC">
      <w:pPr>
        <w:pStyle w:val="FootnoteText"/>
        <w:jc w:val="both"/>
        <w:rPr>
          <w:rFonts w:ascii="Times New Roman" w:hAnsi="Times New Roman" w:cs="Times New Roman"/>
        </w:rPr>
      </w:pPr>
      <w:r w:rsidRPr="00FA7CDC">
        <w:rPr>
          <w:rStyle w:val="FootnoteReference"/>
          <w:rFonts w:ascii="Times New Roman" w:hAnsi="Times New Roman" w:cs="Times New Roman"/>
        </w:rPr>
        <w:footnoteRef/>
      </w:r>
      <w:r w:rsidRPr="00FA7CDC">
        <w:rPr>
          <w:rFonts w:ascii="Times New Roman" w:hAnsi="Times New Roman" w:cs="Times New Roman"/>
        </w:rPr>
        <w:t xml:space="preserve"> Mental Capacity Act 2005, s 4 </w:t>
      </w:r>
      <w:r>
        <w:rPr>
          <w:rFonts w:ascii="Times New Roman" w:hAnsi="Times New Roman" w:cs="Times New Roman"/>
        </w:rPr>
        <w:t>(6) (b).</w:t>
      </w:r>
    </w:p>
    <w:p w14:paraId="3AC9F794" w14:textId="77777777" w:rsidR="00A22CB2" w:rsidRPr="00FA7CDC" w:rsidRDefault="00A22CB2" w:rsidP="00FA7CDC">
      <w:pPr>
        <w:pStyle w:val="FootnoteText"/>
        <w:jc w:val="both"/>
        <w:rPr>
          <w:rFonts w:ascii="Times New Roman" w:hAnsi="Times New Roman" w:cs="Times New Roman"/>
        </w:rPr>
      </w:pPr>
    </w:p>
  </w:footnote>
  <w:footnote w:id="85">
    <w:p w14:paraId="4E00C3E9" w14:textId="5D79477B" w:rsidR="00A22CB2" w:rsidRDefault="00A22CB2" w:rsidP="00FA7CDC">
      <w:pPr>
        <w:pStyle w:val="FootnoteText"/>
        <w:jc w:val="both"/>
        <w:rPr>
          <w:rFonts w:ascii="Times New Roman" w:hAnsi="Times New Roman" w:cs="Times New Roman"/>
        </w:rPr>
      </w:pPr>
      <w:r w:rsidRPr="00FA7CDC">
        <w:rPr>
          <w:rStyle w:val="FootnoteReference"/>
          <w:rFonts w:ascii="Times New Roman" w:hAnsi="Times New Roman" w:cs="Times New Roman"/>
        </w:rPr>
        <w:footnoteRef/>
      </w:r>
      <w:r w:rsidRPr="00FA7CDC">
        <w:rPr>
          <w:rFonts w:ascii="Times New Roman" w:hAnsi="Times New Roman" w:cs="Times New Roman"/>
        </w:rPr>
        <w:t xml:space="preserve"> Mental</w:t>
      </w:r>
      <w:r>
        <w:rPr>
          <w:rFonts w:ascii="Times New Roman" w:hAnsi="Times New Roman" w:cs="Times New Roman"/>
        </w:rPr>
        <w:t xml:space="preserve"> Capacity Act 2005, s 4 (6) (c).</w:t>
      </w:r>
    </w:p>
    <w:p w14:paraId="05029DC5" w14:textId="77777777" w:rsidR="00A22CB2" w:rsidRPr="00FA7CDC" w:rsidRDefault="00A22CB2" w:rsidP="00FA7CDC">
      <w:pPr>
        <w:pStyle w:val="FootnoteText"/>
        <w:jc w:val="both"/>
        <w:rPr>
          <w:rFonts w:ascii="Times New Roman" w:hAnsi="Times New Roman" w:cs="Times New Roman"/>
        </w:rPr>
      </w:pPr>
    </w:p>
  </w:footnote>
  <w:footnote w:id="86">
    <w:p w14:paraId="61609040" w14:textId="0E89E0B3" w:rsidR="00A22CB2" w:rsidRDefault="00A22CB2" w:rsidP="00FA7CDC">
      <w:pPr>
        <w:pStyle w:val="FootnoteText"/>
        <w:jc w:val="both"/>
        <w:rPr>
          <w:rFonts w:ascii="Times New Roman" w:hAnsi="Times New Roman" w:cs="Times New Roman"/>
        </w:rPr>
      </w:pPr>
      <w:r w:rsidRPr="00FA7CDC">
        <w:rPr>
          <w:rStyle w:val="FootnoteReference"/>
          <w:rFonts w:ascii="Times New Roman" w:hAnsi="Times New Roman" w:cs="Times New Roman"/>
        </w:rPr>
        <w:footnoteRef/>
      </w:r>
      <w:r w:rsidRPr="00FA7CDC">
        <w:rPr>
          <w:rFonts w:ascii="Times New Roman" w:hAnsi="Times New Roman" w:cs="Times New Roman"/>
        </w:rPr>
        <w:t xml:space="preserve"> </w:t>
      </w:r>
      <w:r>
        <w:rPr>
          <w:rFonts w:ascii="Times New Roman" w:hAnsi="Times New Roman" w:cs="Times New Roman"/>
        </w:rPr>
        <w:t>Mental Capacity Act 2005, s 4 (7</w:t>
      </w:r>
      <w:r w:rsidRPr="00FA7CDC">
        <w:rPr>
          <w:rFonts w:ascii="Times New Roman" w:hAnsi="Times New Roman" w:cs="Times New Roman"/>
        </w:rPr>
        <w:t>) (a).</w:t>
      </w:r>
    </w:p>
    <w:p w14:paraId="2CF19AF5" w14:textId="77777777" w:rsidR="00A22CB2" w:rsidRPr="00FA7CDC" w:rsidRDefault="00A22CB2" w:rsidP="00FA7CDC">
      <w:pPr>
        <w:pStyle w:val="FootnoteText"/>
        <w:jc w:val="both"/>
        <w:rPr>
          <w:rFonts w:ascii="Times New Roman" w:hAnsi="Times New Roman" w:cs="Times New Roman"/>
        </w:rPr>
      </w:pPr>
    </w:p>
  </w:footnote>
  <w:footnote w:id="87">
    <w:p w14:paraId="43CED28B" w14:textId="775A90D7" w:rsidR="00A22CB2" w:rsidRDefault="00A22CB2" w:rsidP="00FA7CDC">
      <w:pPr>
        <w:pStyle w:val="FootnoteText"/>
        <w:jc w:val="both"/>
        <w:rPr>
          <w:rFonts w:ascii="Times New Roman" w:hAnsi="Times New Roman" w:cs="Times New Roman"/>
        </w:rPr>
      </w:pPr>
      <w:r w:rsidRPr="00FA7CDC">
        <w:rPr>
          <w:rStyle w:val="FootnoteReference"/>
          <w:rFonts w:ascii="Times New Roman" w:hAnsi="Times New Roman" w:cs="Times New Roman"/>
        </w:rPr>
        <w:footnoteRef/>
      </w:r>
      <w:r w:rsidRPr="00FA7CDC">
        <w:rPr>
          <w:rFonts w:ascii="Times New Roman" w:hAnsi="Times New Roman" w:cs="Times New Roman"/>
        </w:rPr>
        <w:t xml:space="preserve"> Mental Capacity Act 2</w:t>
      </w:r>
      <w:r>
        <w:rPr>
          <w:rFonts w:ascii="Times New Roman" w:hAnsi="Times New Roman" w:cs="Times New Roman"/>
        </w:rPr>
        <w:t>005, s 4 (7) (b</w:t>
      </w:r>
      <w:r w:rsidRPr="00FA7CDC">
        <w:rPr>
          <w:rFonts w:ascii="Times New Roman" w:hAnsi="Times New Roman" w:cs="Times New Roman"/>
        </w:rPr>
        <w:t>).</w:t>
      </w:r>
    </w:p>
    <w:p w14:paraId="02031801" w14:textId="77777777" w:rsidR="00A22CB2" w:rsidRPr="00FA7CDC" w:rsidRDefault="00A22CB2" w:rsidP="00FA7CDC">
      <w:pPr>
        <w:pStyle w:val="FootnoteText"/>
        <w:jc w:val="both"/>
        <w:rPr>
          <w:rFonts w:ascii="Times New Roman" w:hAnsi="Times New Roman" w:cs="Times New Roman"/>
        </w:rPr>
      </w:pPr>
    </w:p>
  </w:footnote>
  <w:footnote w:id="88">
    <w:p w14:paraId="001BA4BB" w14:textId="42B621A6" w:rsidR="00A22CB2" w:rsidRPr="00EF7667" w:rsidRDefault="00A22CB2" w:rsidP="00646F6E">
      <w:pPr>
        <w:pStyle w:val="FootnoteText"/>
        <w:jc w:val="both"/>
        <w:rPr>
          <w:rFonts w:ascii="Times New Roman" w:hAnsi="Times New Roman" w:cs="Times New Roman"/>
        </w:rPr>
      </w:pPr>
      <w:r w:rsidRPr="00EF7667">
        <w:rPr>
          <w:rStyle w:val="FootnoteReference"/>
          <w:rFonts w:ascii="Times New Roman" w:hAnsi="Times New Roman" w:cs="Times New Roman"/>
        </w:rPr>
        <w:footnoteRef/>
      </w:r>
      <w:r>
        <w:rPr>
          <w:rFonts w:ascii="Times New Roman" w:hAnsi="Times New Roman" w:cs="Times New Roman"/>
        </w:rPr>
        <w:t xml:space="preserve"> </w:t>
      </w:r>
      <w:r w:rsidRPr="00EF7667">
        <w:rPr>
          <w:rFonts w:ascii="Times New Roman" w:hAnsi="Times New Roman" w:cs="Times New Roman"/>
        </w:rPr>
        <w:t xml:space="preserve">Benjamin W. J. Spencer </w:t>
      </w:r>
      <w:r w:rsidRPr="00EF7667">
        <w:rPr>
          <w:rFonts w:ascii="Times New Roman" w:hAnsi="Times New Roman" w:cs="Times New Roman"/>
          <w:i/>
        </w:rPr>
        <w:t>et al</w:t>
      </w:r>
      <w:r w:rsidRPr="00EF7667">
        <w:rPr>
          <w:rFonts w:ascii="Times New Roman" w:hAnsi="Times New Roman" w:cs="Times New Roman"/>
        </w:rPr>
        <w:t>., ‘Unwell in Hospital but not Incapable: Cross-Sectional Study on the Dissociation of Decision-Making Capacity fo</w:t>
      </w:r>
      <w:r>
        <w:rPr>
          <w:rFonts w:ascii="Times New Roman" w:hAnsi="Times New Roman" w:cs="Times New Roman"/>
        </w:rPr>
        <w:t>r Treatment and Research in In-P</w:t>
      </w:r>
      <w:r w:rsidRPr="00EF7667">
        <w:rPr>
          <w:rFonts w:ascii="Times New Roman" w:hAnsi="Times New Roman" w:cs="Times New Roman"/>
        </w:rPr>
        <w:t>atients with Schizophrenia and Related Psychoses’ (2018)</w:t>
      </w:r>
      <w:r>
        <w:rPr>
          <w:rFonts w:ascii="Times New Roman" w:hAnsi="Times New Roman" w:cs="Times New Roman"/>
        </w:rPr>
        <w:t xml:space="preserve"> 213 </w:t>
      </w:r>
      <w:r w:rsidRPr="00EF7667">
        <w:rPr>
          <w:rFonts w:ascii="Times New Roman" w:hAnsi="Times New Roman" w:cs="Times New Roman"/>
          <w:i/>
        </w:rPr>
        <w:t>The British Journal of Psychiatry</w:t>
      </w:r>
      <w:r>
        <w:rPr>
          <w:rFonts w:ascii="Times New Roman" w:hAnsi="Times New Roman" w:cs="Times New Roman"/>
        </w:rPr>
        <w:t xml:space="preserve"> 484; Mark J. </w:t>
      </w:r>
      <w:proofErr w:type="spellStart"/>
      <w:r>
        <w:rPr>
          <w:rFonts w:ascii="Times New Roman" w:hAnsi="Times New Roman" w:cs="Times New Roman"/>
        </w:rPr>
        <w:t>Jayes</w:t>
      </w:r>
      <w:proofErr w:type="spellEnd"/>
      <w:r>
        <w:rPr>
          <w:rFonts w:ascii="Times New Roman" w:hAnsi="Times New Roman" w:cs="Times New Roman"/>
        </w:rPr>
        <w:t xml:space="preserve"> and Rebecca L Palmer, </w:t>
      </w:r>
      <w:r w:rsidRPr="00EC5BA9">
        <w:rPr>
          <w:rFonts w:ascii="Times New Roman" w:hAnsi="Times New Roman" w:cs="Times New Roman"/>
        </w:rPr>
        <w:t>‘Stroke Research Staff’s Experiences of Seeking Consent from People with Communica</w:t>
      </w:r>
      <w:r>
        <w:rPr>
          <w:rFonts w:ascii="Times New Roman" w:hAnsi="Times New Roman" w:cs="Times New Roman"/>
        </w:rPr>
        <w:t xml:space="preserve">tion Difficulties: Results of a </w:t>
      </w:r>
      <w:r w:rsidRPr="00EC5BA9">
        <w:rPr>
          <w:rFonts w:ascii="Times New Roman" w:hAnsi="Times New Roman" w:cs="Times New Roman"/>
        </w:rPr>
        <w:t xml:space="preserve">National Online Survey’ </w:t>
      </w:r>
      <w:r>
        <w:rPr>
          <w:rFonts w:ascii="Times New Roman" w:hAnsi="Times New Roman" w:cs="Times New Roman"/>
        </w:rPr>
        <w:t xml:space="preserve">(2014) 21 </w:t>
      </w:r>
      <w:r w:rsidRPr="00EC5BA9">
        <w:rPr>
          <w:rFonts w:ascii="Times New Roman" w:hAnsi="Times New Roman" w:cs="Times New Roman"/>
          <w:i/>
        </w:rPr>
        <w:t>Topics in Stroke Rehabilitation</w:t>
      </w:r>
      <w:r>
        <w:rPr>
          <w:rFonts w:ascii="Times New Roman" w:hAnsi="Times New Roman" w:cs="Times New Roman"/>
        </w:rPr>
        <w:t xml:space="preserve"> 443.</w:t>
      </w:r>
    </w:p>
    <w:p w14:paraId="3F8B57F9" w14:textId="77777777" w:rsidR="00A22CB2" w:rsidRPr="00E7436B" w:rsidRDefault="00A22CB2" w:rsidP="00646F6E">
      <w:pPr>
        <w:pStyle w:val="FootnoteText"/>
        <w:jc w:val="both"/>
        <w:rPr>
          <w:rFonts w:ascii="Times New Roman" w:hAnsi="Times New Roman" w:cs="Times New Roman"/>
          <w:color w:val="FF0000"/>
        </w:rPr>
      </w:pPr>
    </w:p>
  </w:footnote>
  <w:footnote w:id="89">
    <w:p w14:paraId="7F54D23A" w14:textId="61BBBB95" w:rsidR="00A22CB2" w:rsidRPr="00825630" w:rsidRDefault="00A22CB2" w:rsidP="00646F6E">
      <w:pPr>
        <w:pStyle w:val="FootnoteText"/>
        <w:jc w:val="both"/>
        <w:rPr>
          <w:rFonts w:ascii="Times New Roman" w:hAnsi="Times New Roman" w:cs="Times New Roman"/>
        </w:rPr>
      </w:pPr>
      <w:r w:rsidRPr="005D62D9">
        <w:rPr>
          <w:rStyle w:val="FootnoteReference"/>
          <w:rFonts w:ascii="Times New Roman" w:hAnsi="Times New Roman" w:cs="Times New Roman"/>
        </w:rPr>
        <w:footnoteRef/>
      </w:r>
      <w:r>
        <w:rPr>
          <w:rFonts w:ascii="Times New Roman" w:hAnsi="Times New Roman" w:cs="Times New Roman"/>
        </w:rPr>
        <w:t xml:space="preserve"> See, for example, Mencap, </w:t>
      </w:r>
      <w:r w:rsidRPr="00E35A59">
        <w:rPr>
          <w:rFonts w:ascii="Times New Roman" w:hAnsi="Times New Roman" w:cs="Times New Roman"/>
          <w:i/>
        </w:rPr>
        <w:t>Involve Me: Independent Evaluation Report</w:t>
      </w:r>
      <w:r>
        <w:rPr>
          <w:rFonts w:ascii="Times New Roman" w:hAnsi="Times New Roman" w:cs="Times New Roman"/>
        </w:rPr>
        <w:t xml:space="preserve"> (Foundation for People with Learning Disabilities 2011).</w:t>
      </w:r>
    </w:p>
  </w:footnote>
  <w:footnote w:id="90">
    <w:p w14:paraId="38FD64C1" w14:textId="5EDFA8E9" w:rsidR="00A22CB2" w:rsidRDefault="00A22CB2" w:rsidP="007C35B5">
      <w:pPr>
        <w:pStyle w:val="FootnoteText"/>
        <w:jc w:val="both"/>
        <w:rPr>
          <w:rFonts w:ascii="Times New Roman" w:hAnsi="Times New Roman" w:cs="Times New Roman"/>
        </w:rPr>
      </w:pPr>
      <w:r w:rsidRPr="007C35B5">
        <w:rPr>
          <w:rStyle w:val="FootnoteReference"/>
          <w:rFonts w:ascii="Times New Roman" w:hAnsi="Times New Roman" w:cs="Times New Roman"/>
        </w:rPr>
        <w:footnoteRef/>
      </w:r>
      <w:r>
        <w:rPr>
          <w:rFonts w:ascii="Times New Roman" w:hAnsi="Times New Roman" w:cs="Times New Roman"/>
        </w:rPr>
        <w:t xml:space="preserve"> </w:t>
      </w:r>
      <w:r w:rsidRPr="0078107F">
        <w:rPr>
          <w:rFonts w:ascii="Times New Roman" w:hAnsi="Times New Roman" w:cs="Times New Roman"/>
        </w:rPr>
        <w:t>Mental Capacity Act 2005: Code of Practice, paras [11.20], [11.24] and [11.29].</w:t>
      </w:r>
    </w:p>
    <w:p w14:paraId="53331227" w14:textId="77777777" w:rsidR="00A22CB2" w:rsidRPr="007C35B5" w:rsidRDefault="00A22CB2" w:rsidP="007C35B5">
      <w:pPr>
        <w:pStyle w:val="FootnoteText"/>
        <w:jc w:val="both"/>
        <w:rPr>
          <w:rFonts w:ascii="Times New Roman" w:hAnsi="Times New Roman" w:cs="Times New Roman"/>
        </w:rPr>
      </w:pPr>
    </w:p>
  </w:footnote>
  <w:footnote w:id="91">
    <w:p w14:paraId="55B6DBD7" w14:textId="4A3EEE40" w:rsidR="00A22CB2" w:rsidRPr="00825630" w:rsidRDefault="00A22CB2" w:rsidP="00825630">
      <w:pPr>
        <w:pStyle w:val="FootnoteText"/>
        <w:jc w:val="both"/>
        <w:rPr>
          <w:rFonts w:ascii="Times New Roman" w:hAnsi="Times New Roman" w:cs="Times New Roman"/>
        </w:rPr>
      </w:pPr>
      <w:r w:rsidRPr="00825630">
        <w:rPr>
          <w:rStyle w:val="FootnoteReference"/>
          <w:rFonts w:ascii="Times New Roman" w:hAnsi="Times New Roman" w:cs="Times New Roman"/>
        </w:rPr>
        <w:footnoteRef/>
      </w:r>
      <w:r w:rsidRPr="00825630">
        <w:rPr>
          <w:rFonts w:ascii="Times New Roman" w:hAnsi="Times New Roman" w:cs="Times New Roman"/>
        </w:rPr>
        <w:t xml:space="preserve"> </w:t>
      </w:r>
      <w:r w:rsidRPr="003E593A">
        <w:rPr>
          <w:rFonts w:ascii="Times New Roman" w:hAnsi="Times New Roman" w:cs="Times New Roman"/>
          <w:i/>
        </w:rPr>
        <w:t>Re Y (Mental Patient: Bone Marrow Donation)</w:t>
      </w:r>
      <w:r w:rsidRPr="003E593A">
        <w:rPr>
          <w:rFonts w:ascii="Times New Roman" w:hAnsi="Times New Roman" w:cs="Times New Roman"/>
        </w:rPr>
        <w:t xml:space="preserve"> [1997] Fam 110.  </w:t>
      </w:r>
    </w:p>
    <w:p w14:paraId="71418077" w14:textId="77777777" w:rsidR="00A22CB2" w:rsidRPr="00825630" w:rsidRDefault="00A22CB2" w:rsidP="00825630">
      <w:pPr>
        <w:pStyle w:val="FootnoteText"/>
        <w:jc w:val="both"/>
        <w:rPr>
          <w:rFonts w:ascii="Times New Roman" w:hAnsi="Times New Roman" w:cs="Times New Roman"/>
        </w:rPr>
      </w:pPr>
    </w:p>
  </w:footnote>
  <w:footnote w:id="92">
    <w:p w14:paraId="551D3056" w14:textId="5482452E" w:rsidR="00A22CB2" w:rsidRPr="003E593A" w:rsidRDefault="00A22CB2" w:rsidP="003E593A">
      <w:pPr>
        <w:pStyle w:val="FootnoteText"/>
        <w:jc w:val="both"/>
        <w:rPr>
          <w:rFonts w:ascii="Times New Roman" w:hAnsi="Times New Roman" w:cs="Times New Roman"/>
        </w:rPr>
      </w:pPr>
      <w:r w:rsidRPr="003E593A">
        <w:rPr>
          <w:rStyle w:val="FootnoteReference"/>
          <w:rFonts w:ascii="Times New Roman" w:hAnsi="Times New Roman" w:cs="Times New Roman"/>
        </w:rPr>
        <w:footnoteRef/>
      </w:r>
      <w:r w:rsidRPr="003E593A">
        <w:rPr>
          <w:rFonts w:ascii="Times New Roman" w:hAnsi="Times New Roman" w:cs="Times New Roman"/>
        </w:rPr>
        <w:t xml:space="preserve"> </w:t>
      </w:r>
      <w:r w:rsidRPr="003E593A">
        <w:rPr>
          <w:rFonts w:ascii="Times New Roman" w:hAnsi="Times New Roman" w:cs="Times New Roman"/>
          <w:i/>
        </w:rPr>
        <w:t>Re G</w:t>
      </w:r>
      <w:r w:rsidRPr="003E593A">
        <w:rPr>
          <w:rFonts w:ascii="Times New Roman" w:hAnsi="Times New Roman" w:cs="Times New Roman"/>
        </w:rPr>
        <w:t xml:space="preserve"> [2010] EWHC 3005; [2010] 11 WLUK 498</w:t>
      </w:r>
      <w:r>
        <w:rPr>
          <w:rFonts w:ascii="Times New Roman" w:hAnsi="Times New Roman" w:cs="Times New Roman"/>
        </w:rPr>
        <w:t>.</w:t>
      </w:r>
    </w:p>
  </w:footnote>
  <w:footnote w:id="93">
    <w:p w14:paraId="751ADA68" w14:textId="2CA51337" w:rsidR="00A22CB2" w:rsidRPr="00E7436B" w:rsidRDefault="00A22CB2" w:rsidP="00296C69">
      <w:pPr>
        <w:pStyle w:val="FootnoteText"/>
        <w:jc w:val="both"/>
        <w:rPr>
          <w:rFonts w:ascii="Times New Roman" w:hAnsi="Times New Roman" w:cs="Times New Roman"/>
          <w:color w:val="FF0000"/>
        </w:rPr>
      </w:pPr>
      <w:r w:rsidRPr="00BA445E">
        <w:rPr>
          <w:rStyle w:val="FootnoteReference"/>
          <w:rFonts w:ascii="Times New Roman" w:hAnsi="Times New Roman" w:cs="Times New Roman"/>
        </w:rPr>
        <w:footnoteRef/>
      </w:r>
      <w:r w:rsidRPr="00BA445E">
        <w:rPr>
          <w:rFonts w:ascii="Times New Roman" w:hAnsi="Times New Roman" w:cs="Times New Roman"/>
        </w:rPr>
        <w:t xml:space="preserve"> </w:t>
      </w:r>
      <w:r w:rsidRPr="00B86350">
        <w:rPr>
          <w:rFonts w:ascii="Times New Roman" w:hAnsi="Times New Roman" w:cs="Times New Roman"/>
        </w:rPr>
        <w:t>Mental Capacity Act 20</w:t>
      </w:r>
      <w:r>
        <w:rPr>
          <w:rFonts w:ascii="Times New Roman" w:hAnsi="Times New Roman" w:cs="Times New Roman"/>
        </w:rPr>
        <w:t>05: Code of Practice, para [11.4]</w:t>
      </w:r>
      <w:r w:rsidRPr="00B86350">
        <w:rPr>
          <w:rFonts w:ascii="Times New Roman" w:hAnsi="Times New Roman" w:cs="Times New Roman"/>
        </w:rPr>
        <w:t xml:space="preserve">; NHS Health Research Authority, Mental Capacity Act: </w:t>
      </w:r>
      <w:hyperlink r:id="rId11" w:history="1">
        <w:r w:rsidRPr="00941CE5">
          <w:rPr>
            <w:rStyle w:val="Hyperlink"/>
            <w:rFonts w:ascii="Times New Roman" w:hAnsi="Times New Roman" w:cs="Times New Roman"/>
          </w:rPr>
          <w:t>https://www.hra.nhs.uk/planning-and-improving-research/policies-standards-legislation/mental-capacity-act/</w:t>
        </w:r>
      </w:hyperlink>
      <w:r w:rsidRPr="00B86350">
        <w:rPr>
          <w:rFonts w:ascii="Times New Roman" w:hAnsi="Times New Roman" w:cs="Times New Roman"/>
        </w:rPr>
        <w:t>.</w:t>
      </w:r>
      <w:r>
        <w:rPr>
          <w:rFonts w:ascii="Times New Roman" w:hAnsi="Times New Roman" w:cs="Times New Roman"/>
        </w:rPr>
        <w:t xml:space="preserve"> </w:t>
      </w:r>
      <w:r w:rsidRPr="00B86350">
        <w:rPr>
          <w:rFonts w:ascii="Times New Roman" w:hAnsi="Times New Roman" w:cs="Times New Roman"/>
        </w:rPr>
        <w:t>&lt;Accessed 21st February 2019&gt;.</w:t>
      </w:r>
    </w:p>
    <w:p w14:paraId="2239CA75" w14:textId="77777777" w:rsidR="00A22CB2" w:rsidRPr="00E7436B" w:rsidRDefault="00A22CB2" w:rsidP="00296C69">
      <w:pPr>
        <w:pStyle w:val="FootnoteText"/>
        <w:jc w:val="both"/>
        <w:rPr>
          <w:rFonts w:ascii="Times New Roman" w:hAnsi="Times New Roman" w:cs="Times New Roman"/>
          <w:color w:val="FF0000"/>
        </w:rPr>
      </w:pPr>
    </w:p>
  </w:footnote>
  <w:footnote w:id="94">
    <w:p w14:paraId="04837A31" w14:textId="77777777" w:rsidR="00A22CB2" w:rsidRPr="00E7436B" w:rsidRDefault="00A22CB2" w:rsidP="00CF3B3C">
      <w:pPr>
        <w:pStyle w:val="FootnoteText"/>
        <w:jc w:val="both"/>
        <w:rPr>
          <w:rFonts w:ascii="Times New Roman" w:hAnsi="Times New Roman" w:cs="Times New Roman"/>
          <w:color w:val="FF0000"/>
        </w:rPr>
      </w:pPr>
      <w:r w:rsidRPr="00B929CD">
        <w:rPr>
          <w:rStyle w:val="FootnoteReference"/>
          <w:rFonts w:ascii="Times New Roman" w:hAnsi="Times New Roman" w:cs="Times New Roman"/>
        </w:rPr>
        <w:footnoteRef/>
      </w:r>
      <w:r w:rsidRPr="00B929CD">
        <w:rPr>
          <w:rFonts w:ascii="Times New Roman" w:hAnsi="Times New Roman" w:cs="Times New Roman"/>
        </w:rPr>
        <w:t xml:space="preserve"> </w:t>
      </w:r>
      <w:r>
        <w:rPr>
          <w:rFonts w:ascii="Times New Roman" w:hAnsi="Times New Roman" w:cs="Times New Roman"/>
        </w:rPr>
        <w:t>Mental Capacity Act 2005, s 1 (2).</w:t>
      </w:r>
    </w:p>
    <w:p w14:paraId="42F352A3" w14:textId="77777777" w:rsidR="00A22CB2" w:rsidRPr="00E7436B" w:rsidRDefault="00A22CB2" w:rsidP="00CF3B3C">
      <w:pPr>
        <w:pStyle w:val="FootnoteText"/>
        <w:jc w:val="both"/>
        <w:rPr>
          <w:rFonts w:ascii="Times New Roman" w:hAnsi="Times New Roman" w:cs="Times New Roman"/>
          <w:color w:val="FF0000"/>
        </w:rPr>
      </w:pPr>
    </w:p>
  </w:footnote>
  <w:footnote w:id="95">
    <w:p w14:paraId="37155A37" w14:textId="1EECC673" w:rsidR="00A22CB2" w:rsidRPr="00E7436B" w:rsidRDefault="00A22CB2" w:rsidP="00296C69">
      <w:pPr>
        <w:pStyle w:val="FootnoteText"/>
        <w:jc w:val="both"/>
        <w:rPr>
          <w:rFonts w:ascii="Times New Roman" w:hAnsi="Times New Roman" w:cs="Times New Roman"/>
          <w:color w:val="FF0000"/>
        </w:rPr>
      </w:pPr>
      <w:r w:rsidRPr="009F3381">
        <w:rPr>
          <w:rStyle w:val="FootnoteReference"/>
          <w:rFonts w:ascii="Times New Roman" w:hAnsi="Times New Roman" w:cs="Times New Roman"/>
        </w:rPr>
        <w:footnoteRef/>
      </w:r>
      <w:r w:rsidRPr="009F3381">
        <w:rPr>
          <w:rFonts w:ascii="Times New Roman" w:hAnsi="Times New Roman" w:cs="Times New Roman"/>
        </w:rPr>
        <w:t xml:space="preserve"> </w:t>
      </w:r>
      <w:r>
        <w:rPr>
          <w:rFonts w:ascii="Times New Roman" w:hAnsi="Times New Roman" w:cs="Times New Roman"/>
        </w:rPr>
        <w:t xml:space="preserve">Mental Capacity Act 2005, s 2 (1) </w:t>
      </w:r>
    </w:p>
    <w:p w14:paraId="4932BA9C" w14:textId="77777777" w:rsidR="00A22CB2" w:rsidRPr="00E7436B" w:rsidRDefault="00A22CB2" w:rsidP="00296C69">
      <w:pPr>
        <w:pStyle w:val="FootnoteText"/>
        <w:jc w:val="both"/>
        <w:rPr>
          <w:rFonts w:ascii="Times New Roman" w:hAnsi="Times New Roman" w:cs="Times New Roman"/>
          <w:color w:val="FF0000"/>
        </w:rPr>
      </w:pPr>
    </w:p>
  </w:footnote>
  <w:footnote w:id="96">
    <w:p w14:paraId="3A2DC937" w14:textId="43FAFEA0" w:rsidR="00A22CB2" w:rsidRPr="00E7436B" w:rsidRDefault="00A22CB2" w:rsidP="00296C69">
      <w:pPr>
        <w:pStyle w:val="FootnoteText"/>
        <w:jc w:val="both"/>
        <w:rPr>
          <w:rFonts w:ascii="Times New Roman" w:hAnsi="Times New Roman" w:cs="Times New Roman"/>
          <w:color w:val="FF0000"/>
        </w:rPr>
      </w:pPr>
      <w:r w:rsidRPr="00B50142">
        <w:rPr>
          <w:rStyle w:val="FootnoteReference"/>
          <w:rFonts w:ascii="Times New Roman" w:hAnsi="Times New Roman" w:cs="Times New Roman"/>
        </w:rPr>
        <w:footnoteRef/>
      </w:r>
      <w:r w:rsidRPr="00E7436B">
        <w:rPr>
          <w:rFonts w:ascii="Times New Roman" w:hAnsi="Times New Roman" w:cs="Times New Roman"/>
          <w:color w:val="FF0000"/>
        </w:rPr>
        <w:t xml:space="preserve"> </w:t>
      </w:r>
      <w:r>
        <w:rPr>
          <w:rFonts w:ascii="Times New Roman" w:hAnsi="Times New Roman" w:cs="Times New Roman"/>
        </w:rPr>
        <w:t xml:space="preserve">Mental Capacity Act 2005, s 3 (1) (a) (b) (c) and (d); See also </w:t>
      </w:r>
      <w:r w:rsidRPr="00987296">
        <w:rPr>
          <w:rFonts w:ascii="Times New Roman" w:hAnsi="Times New Roman" w:cs="Times New Roman"/>
          <w:i/>
        </w:rPr>
        <w:t>Re C (Refusal of Medical Treatment)</w:t>
      </w:r>
      <w:r>
        <w:rPr>
          <w:rFonts w:ascii="Times New Roman" w:hAnsi="Times New Roman" w:cs="Times New Roman"/>
        </w:rPr>
        <w:t xml:space="preserve"> [1994] 1 WLR 290. </w:t>
      </w:r>
    </w:p>
    <w:p w14:paraId="098D14F5" w14:textId="77777777" w:rsidR="00A22CB2" w:rsidRPr="00E7436B" w:rsidRDefault="00A22CB2" w:rsidP="00296C69">
      <w:pPr>
        <w:pStyle w:val="FootnoteText"/>
        <w:jc w:val="both"/>
        <w:rPr>
          <w:rFonts w:ascii="Times New Roman" w:hAnsi="Times New Roman" w:cs="Times New Roman"/>
          <w:color w:val="FF0000"/>
        </w:rPr>
      </w:pPr>
    </w:p>
  </w:footnote>
  <w:footnote w:id="97">
    <w:p w14:paraId="0469A38B" w14:textId="02B04539" w:rsidR="00A22CB2" w:rsidRPr="00E7436B" w:rsidRDefault="00A22CB2" w:rsidP="00296C69">
      <w:pPr>
        <w:pStyle w:val="FootnoteText"/>
        <w:jc w:val="both"/>
        <w:rPr>
          <w:rFonts w:ascii="Times New Roman" w:hAnsi="Times New Roman" w:cs="Times New Roman"/>
          <w:color w:val="FF0000"/>
        </w:rPr>
      </w:pPr>
      <w:r w:rsidRPr="00561694">
        <w:rPr>
          <w:rStyle w:val="FootnoteReference"/>
          <w:rFonts w:ascii="Times New Roman" w:hAnsi="Times New Roman" w:cs="Times New Roman"/>
        </w:rPr>
        <w:footnoteRef/>
      </w:r>
      <w:r w:rsidRPr="00561694">
        <w:rPr>
          <w:rFonts w:ascii="Times New Roman" w:hAnsi="Times New Roman" w:cs="Times New Roman"/>
        </w:rPr>
        <w:t xml:space="preserve"> Michael Gunn, ‘The Meaning of Incapacity’ (1994) 2 </w:t>
      </w:r>
      <w:r w:rsidRPr="00561694">
        <w:rPr>
          <w:rFonts w:ascii="Times New Roman" w:hAnsi="Times New Roman" w:cs="Times New Roman"/>
          <w:i/>
        </w:rPr>
        <w:t>Medical Law Review</w:t>
      </w:r>
      <w:r w:rsidRPr="00561694">
        <w:rPr>
          <w:rFonts w:ascii="Times New Roman" w:hAnsi="Times New Roman" w:cs="Times New Roman"/>
        </w:rPr>
        <w:t xml:space="preserve"> 8.  </w:t>
      </w:r>
    </w:p>
    <w:p w14:paraId="63B3C93C" w14:textId="77777777" w:rsidR="00A22CB2" w:rsidRPr="00E7436B" w:rsidRDefault="00A22CB2" w:rsidP="00296C69">
      <w:pPr>
        <w:pStyle w:val="FootnoteText"/>
        <w:jc w:val="both"/>
        <w:rPr>
          <w:color w:val="FF0000"/>
        </w:rPr>
      </w:pPr>
    </w:p>
  </w:footnote>
  <w:footnote w:id="98">
    <w:p w14:paraId="37BCFA87" w14:textId="5F3B3375" w:rsidR="00A22CB2" w:rsidRDefault="00A22CB2" w:rsidP="009F2F75">
      <w:pPr>
        <w:pStyle w:val="FootnoteText"/>
        <w:jc w:val="both"/>
        <w:rPr>
          <w:rFonts w:ascii="Times New Roman" w:hAnsi="Times New Roman" w:cs="Times New Roman"/>
        </w:rPr>
      </w:pPr>
      <w:r w:rsidRPr="00CF3B3C">
        <w:rPr>
          <w:rStyle w:val="FootnoteReference"/>
          <w:rFonts w:ascii="Times New Roman" w:hAnsi="Times New Roman" w:cs="Times New Roman"/>
        </w:rPr>
        <w:footnoteRef/>
      </w:r>
      <w:r w:rsidRPr="00CF3B3C">
        <w:rPr>
          <w:rFonts w:ascii="Times New Roman" w:hAnsi="Times New Roman" w:cs="Times New Roman"/>
        </w:rPr>
        <w:t xml:space="preserve"> </w:t>
      </w:r>
      <w:r>
        <w:rPr>
          <w:rFonts w:ascii="Times New Roman" w:hAnsi="Times New Roman" w:cs="Times New Roman"/>
        </w:rPr>
        <w:t>I</w:t>
      </w:r>
      <w:r w:rsidRPr="00CF3B3C">
        <w:rPr>
          <w:rFonts w:ascii="Times New Roman" w:hAnsi="Times New Roman" w:cs="Times New Roman"/>
        </w:rPr>
        <w:t>t was</w:t>
      </w:r>
      <w:r>
        <w:rPr>
          <w:rFonts w:ascii="Times New Roman" w:hAnsi="Times New Roman" w:cs="Times New Roman"/>
        </w:rPr>
        <w:t xml:space="preserve"> stated by Lord Donaldson MR in </w:t>
      </w:r>
      <w:r w:rsidRPr="007A4FE7">
        <w:rPr>
          <w:rFonts w:ascii="Times New Roman" w:hAnsi="Times New Roman" w:cs="Times New Roman"/>
          <w:i/>
        </w:rPr>
        <w:t>Re T (Adult: Refusal of Treatment)</w:t>
      </w:r>
      <w:r>
        <w:t xml:space="preserve"> </w:t>
      </w:r>
      <w:r>
        <w:rPr>
          <w:rFonts w:ascii="Times New Roman" w:hAnsi="Times New Roman" w:cs="Times New Roman"/>
        </w:rPr>
        <w:t xml:space="preserve">[1993] Fam </w:t>
      </w:r>
      <w:r w:rsidRPr="007A4FE7">
        <w:rPr>
          <w:rFonts w:ascii="Times New Roman" w:hAnsi="Times New Roman" w:cs="Times New Roman"/>
        </w:rPr>
        <w:t>95</w:t>
      </w:r>
      <w:r>
        <w:rPr>
          <w:rFonts w:ascii="Times New Roman" w:hAnsi="Times New Roman" w:cs="Times New Roman"/>
        </w:rPr>
        <w:t xml:space="preserve"> at 102 that ‘a</w:t>
      </w:r>
      <w:r w:rsidRPr="00CF3B3C">
        <w:rPr>
          <w:rFonts w:ascii="Times New Roman" w:hAnsi="Times New Roman" w:cs="Times New Roman"/>
        </w:rPr>
        <w:t>n adult who suffers from no mental incapacity has an absolute right to choose whether to consent to medical treatment, to refuse it or to choose one rather than another of the treatments being offered</w:t>
      </w:r>
      <w:r>
        <w:rPr>
          <w:rFonts w:ascii="Times New Roman" w:hAnsi="Times New Roman" w:cs="Times New Roman"/>
        </w:rPr>
        <w:t>...</w:t>
      </w:r>
      <w:r w:rsidRPr="00CF3B3C">
        <w:rPr>
          <w:rFonts w:ascii="Times New Roman" w:hAnsi="Times New Roman" w:cs="Times New Roman"/>
        </w:rPr>
        <w:t>This right of choice is not limited to decisions which others might regard as sensible. It exists notwithstanding that the reasons for making the choice are rational, irrational, unknown or even non-existent.</w:t>
      </w:r>
      <w:r>
        <w:rPr>
          <w:rFonts w:ascii="Times New Roman" w:hAnsi="Times New Roman" w:cs="Times New Roman"/>
        </w:rPr>
        <w:t>’ The same principles would apply to research.</w:t>
      </w:r>
    </w:p>
    <w:p w14:paraId="7D320823" w14:textId="77777777" w:rsidR="00A22CB2" w:rsidRPr="009F2F75" w:rsidRDefault="00A22CB2" w:rsidP="009F2F75">
      <w:pPr>
        <w:pStyle w:val="FootnoteText"/>
        <w:jc w:val="both"/>
        <w:rPr>
          <w:rFonts w:ascii="Times New Roman" w:hAnsi="Times New Roman" w:cs="Times New Roman"/>
        </w:rPr>
      </w:pPr>
    </w:p>
  </w:footnote>
  <w:footnote w:id="99">
    <w:p w14:paraId="033BF66A" w14:textId="4ABEED5B" w:rsidR="00A22CB2" w:rsidRPr="00E7436B" w:rsidRDefault="00A22CB2" w:rsidP="00296C69">
      <w:pPr>
        <w:pStyle w:val="FootnoteText"/>
        <w:jc w:val="both"/>
        <w:rPr>
          <w:rFonts w:ascii="Times New Roman" w:hAnsi="Times New Roman" w:cs="Times New Roman"/>
          <w:color w:val="FF0000"/>
        </w:rPr>
      </w:pPr>
      <w:r w:rsidRPr="004426D0">
        <w:rPr>
          <w:rStyle w:val="FootnoteReference"/>
          <w:rFonts w:ascii="Times New Roman" w:hAnsi="Times New Roman" w:cs="Times New Roman"/>
        </w:rPr>
        <w:footnoteRef/>
      </w:r>
      <w:r w:rsidRPr="004426D0">
        <w:rPr>
          <w:rFonts w:ascii="Times New Roman" w:hAnsi="Times New Roman" w:cs="Times New Roman"/>
        </w:rPr>
        <w:t xml:space="preserve"> Mark </w:t>
      </w:r>
      <w:proofErr w:type="spellStart"/>
      <w:r w:rsidRPr="004426D0">
        <w:rPr>
          <w:rFonts w:ascii="Times New Roman" w:hAnsi="Times New Roman" w:cs="Times New Roman"/>
        </w:rPr>
        <w:t>Jayes</w:t>
      </w:r>
      <w:proofErr w:type="spellEnd"/>
      <w:r w:rsidRPr="004426D0">
        <w:rPr>
          <w:rFonts w:ascii="Times New Roman" w:hAnsi="Times New Roman" w:cs="Times New Roman"/>
        </w:rPr>
        <w:t xml:space="preserve"> </w:t>
      </w:r>
      <w:r w:rsidRPr="008C0030">
        <w:rPr>
          <w:rFonts w:ascii="Times New Roman" w:hAnsi="Times New Roman" w:cs="Times New Roman"/>
          <w:i/>
        </w:rPr>
        <w:t>et al</w:t>
      </w:r>
      <w:r w:rsidRPr="004426D0">
        <w:rPr>
          <w:rFonts w:ascii="Times New Roman" w:hAnsi="Times New Roman" w:cs="Times New Roman"/>
        </w:rPr>
        <w:t xml:space="preserve">., ‘How do Health and Social Care Professionals in England and Wales Assess Mental Capacity? A Literature Review’ (2019) </w:t>
      </w:r>
      <w:r w:rsidRPr="004426D0">
        <w:rPr>
          <w:rFonts w:ascii="Times New Roman" w:hAnsi="Times New Roman" w:cs="Times New Roman"/>
          <w:i/>
        </w:rPr>
        <w:t>Disability and Rehabilitation</w:t>
      </w:r>
      <w:r w:rsidRPr="004426D0">
        <w:rPr>
          <w:rFonts w:ascii="Times New Roman" w:hAnsi="Times New Roman" w:cs="Times New Roman"/>
        </w:rPr>
        <w:t xml:space="preserve"> </w:t>
      </w:r>
      <w:r>
        <w:rPr>
          <w:rFonts w:ascii="Times New Roman" w:hAnsi="Times New Roman" w:cs="Times New Roman"/>
        </w:rPr>
        <w:t xml:space="preserve">1. </w:t>
      </w:r>
      <w:r w:rsidRPr="00AE4EEA">
        <w:rPr>
          <w:rFonts w:ascii="Times New Roman" w:hAnsi="Times New Roman" w:cs="Times New Roman"/>
        </w:rPr>
        <w:t>Doi: 10.1080/09638288.2019.157293</w:t>
      </w:r>
      <w:r>
        <w:rPr>
          <w:rFonts w:ascii="Times New Roman" w:hAnsi="Times New Roman" w:cs="Times New Roman"/>
        </w:rPr>
        <w:t xml:space="preserve">; </w:t>
      </w:r>
      <w:r w:rsidRPr="00BC0E87">
        <w:rPr>
          <w:rFonts w:ascii="Times New Roman" w:hAnsi="Times New Roman" w:cs="Times New Roman"/>
        </w:rPr>
        <w:t>Paula Case, ‘</w:t>
      </w:r>
      <w:r>
        <w:rPr>
          <w:rFonts w:ascii="Times New Roman" w:hAnsi="Times New Roman" w:cs="Times New Roman"/>
        </w:rPr>
        <w:t>Negotiating the Domain of Mental C</w:t>
      </w:r>
      <w:r w:rsidRPr="00BC0E87">
        <w:rPr>
          <w:rFonts w:ascii="Times New Roman" w:hAnsi="Times New Roman" w:cs="Times New Roman"/>
        </w:rPr>
        <w:t xml:space="preserve">apacity: Clinical </w:t>
      </w:r>
      <w:r>
        <w:rPr>
          <w:rFonts w:ascii="Times New Roman" w:hAnsi="Times New Roman" w:cs="Times New Roman"/>
        </w:rPr>
        <w:t>J</w:t>
      </w:r>
      <w:r w:rsidRPr="00BC0E87">
        <w:rPr>
          <w:rFonts w:ascii="Times New Roman" w:hAnsi="Times New Roman" w:cs="Times New Roman"/>
        </w:rPr>
        <w:t>udgement</w:t>
      </w:r>
      <w:r>
        <w:rPr>
          <w:rFonts w:ascii="Times New Roman" w:hAnsi="Times New Roman" w:cs="Times New Roman"/>
        </w:rPr>
        <w:t xml:space="preserve"> or Judicial D</w:t>
      </w:r>
      <w:r w:rsidRPr="00BC0E87">
        <w:rPr>
          <w:rFonts w:ascii="Times New Roman" w:hAnsi="Times New Roman" w:cs="Times New Roman"/>
        </w:rPr>
        <w:t xml:space="preserve">iagnosis?’ (2016) 16 </w:t>
      </w:r>
      <w:r w:rsidRPr="00BC0E87">
        <w:rPr>
          <w:rFonts w:ascii="Times New Roman" w:hAnsi="Times New Roman" w:cs="Times New Roman"/>
          <w:i/>
        </w:rPr>
        <w:t>Medical Law International</w:t>
      </w:r>
      <w:r>
        <w:rPr>
          <w:rFonts w:ascii="Times New Roman" w:hAnsi="Times New Roman" w:cs="Times New Roman"/>
        </w:rPr>
        <w:t xml:space="preserve"> 174; Mary Dixon-Woods </w:t>
      </w:r>
      <w:r w:rsidRPr="008C0030">
        <w:rPr>
          <w:rFonts w:ascii="Times New Roman" w:hAnsi="Times New Roman" w:cs="Times New Roman"/>
          <w:i/>
        </w:rPr>
        <w:t>et al</w:t>
      </w:r>
      <w:r>
        <w:rPr>
          <w:rFonts w:ascii="Times New Roman" w:hAnsi="Times New Roman" w:cs="Times New Roman"/>
        </w:rPr>
        <w:t xml:space="preserve">., ‘Research Involving Adults who Lack Capacity: How have Research Ethics Committees Interpreted the Requirements?’ (2009) 35 </w:t>
      </w:r>
      <w:r w:rsidRPr="00AE4EEA">
        <w:rPr>
          <w:rFonts w:ascii="Times New Roman" w:hAnsi="Times New Roman" w:cs="Times New Roman"/>
          <w:i/>
        </w:rPr>
        <w:t>Journal of Medical Ethics</w:t>
      </w:r>
      <w:r>
        <w:rPr>
          <w:rFonts w:ascii="Times New Roman" w:hAnsi="Times New Roman" w:cs="Times New Roman"/>
        </w:rPr>
        <w:t xml:space="preserve"> 377. </w:t>
      </w:r>
    </w:p>
    <w:p w14:paraId="2E68FE66" w14:textId="77777777" w:rsidR="00A22CB2" w:rsidRPr="00E7436B" w:rsidRDefault="00A22CB2" w:rsidP="00296C69">
      <w:pPr>
        <w:pStyle w:val="FootnoteText"/>
        <w:jc w:val="both"/>
        <w:rPr>
          <w:rFonts w:ascii="Times New Roman" w:hAnsi="Times New Roman" w:cs="Times New Roman"/>
          <w:color w:val="FF0000"/>
        </w:rPr>
      </w:pPr>
    </w:p>
  </w:footnote>
  <w:footnote w:id="100">
    <w:p w14:paraId="0CF46A40" w14:textId="6A28A61C" w:rsidR="00A22CB2" w:rsidRPr="00EC5BA9" w:rsidRDefault="00A22CB2" w:rsidP="00296C69">
      <w:pPr>
        <w:pStyle w:val="FootnoteText"/>
        <w:jc w:val="both"/>
        <w:rPr>
          <w:rFonts w:ascii="Times New Roman" w:hAnsi="Times New Roman" w:cs="Times New Roman"/>
        </w:rPr>
      </w:pPr>
      <w:r w:rsidRPr="00EC5BA9">
        <w:rPr>
          <w:rStyle w:val="FootnoteReference"/>
          <w:rFonts w:ascii="Times New Roman" w:hAnsi="Times New Roman" w:cs="Times New Roman"/>
        </w:rPr>
        <w:footnoteRef/>
      </w:r>
      <w:r>
        <w:rPr>
          <w:rFonts w:ascii="Times New Roman" w:hAnsi="Times New Roman" w:cs="Times New Roman"/>
        </w:rPr>
        <w:t xml:space="preserve"> </w:t>
      </w:r>
      <w:proofErr w:type="spellStart"/>
      <w:r w:rsidRPr="00EC5BA9">
        <w:rPr>
          <w:rFonts w:ascii="Times New Roman" w:hAnsi="Times New Roman" w:cs="Times New Roman"/>
        </w:rPr>
        <w:t>Jayes</w:t>
      </w:r>
      <w:proofErr w:type="spellEnd"/>
      <w:r>
        <w:rPr>
          <w:rFonts w:ascii="Times New Roman" w:hAnsi="Times New Roman" w:cs="Times New Roman"/>
        </w:rPr>
        <w:t xml:space="preserve"> (n 99); Daniel Ratcliff </w:t>
      </w:r>
      <w:r w:rsidRPr="00353A56">
        <w:rPr>
          <w:rFonts w:ascii="Times New Roman" w:hAnsi="Times New Roman" w:cs="Times New Roman"/>
          <w:i/>
        </w:rPr>
        <w:t>et al</w:t>
      </w:r>
      <w:r>
        <w:rPr>
          <w:rFonts w:ascii="Times New Roman" w:hAnsi="Times New Roman" w:cs="Times New Roman"/>
        </w:rPr>
        <w:t xml:space="preserve">., ‘Health and Social Care Practitioners’ Experiences of Assessing Mental Capacity in a Community Learning Disability Team’ (2016) 44 </w:t>
      </w:r>
      <w:r w:rsidRPr="00353A56">
        <w:rPr>
          <w:rFonts w:ascii="Times New Roman" w:hAnsi="Times New Roman" w:cs="Times New Roman"/>
          <w:i/>
        </w:rPr>
        <w:t>British Journal of Learning Disabilities</w:t>
      </w:r>
      <w:r>
        <w:rPr>
          <w:rFonts w:ascii="Times New Roman" w:hAnsi="Times New Roman" w:cs="Times New Roman"/>
        </w:rPr>
        <w:t xml:space="preserve"> 329; </w:t>
      </w:r>
    </w:p>
    <w:p w14:paraId="179CBF8B" w14:textId="77777777" w:rsidR="00A22CB2" w:rsidRPr="00E7436B" w:rsidRDefault="00A22CB2" w:rsidP="00296C69">
      <w:pPr>
        <w:pStyle w:val="FootnoteText"/>
        <w:jc w:val="both"/>
        <w:rPr>
          <w:rFonts w:ascii="Times New Roman" w:hAnsi="Times New Roman" w:cs="Times New Roman"/>
          <w:color w:val="FF0000"/>
        </w:rPr>
      </w:pPr>
    </w:p>
  </w:footnote>
  <w:footnote w:id="101">
    <w:p w14:paraId="736CE400" w14:textId="35311431" w:rsidR="00A22CB2" w:rsidRPr="00EC5BA9" w:rsidRDefault="00A22CB2" w:rsidP="00296C69">
      <w:pPr>
        <w:pStyle w:val="FootnoteText"/>
        <w:jc w:val="both"/>
        <w:rPr>
          <w:rFonts w:ascii="Times New Roman" w:hAnsi="Times New Roman" w:cs="Times New Roman"/>
        </w:rPr>
      </w:pPr>
      <w:r w:rsidRPr="00EC5BA9">
        <w:rPr>
          <w:rStyle w:val="FootnoteReference"/>
          <w:rFonts w:ascii="Times New Roman" w:hAnsi="Times New Roman" w:cs="Times New Roman"/>
        </w:rPr>
        <w:footnoteRef/>
      </w:r>
      <w:r w:rsidRPr="00EC5BA9">
        <w:rPr>
          <w:rFonts w:ascii="Times New Roman" w:hAnsi="Times New Roman" w:cs="Times New Roman"/>
        </w:rPr>
        <w:t xml:space="preserve"> Ibid. </w:t>
      </w:r>
    </w:p>
    <w:p w14:paraId="3373D028" w14:textId="77777777" w:rsidR="00A22CB2" w:rsidRPr="00E7436B" w:rsidRDefault="00A22CB2" w:rsidP="00296C69">
      <w:pPr>
        <w:pStyle w:val="FootnoteText"/>
        <w:jc w:val="both"/>
        <w:rPr>
          <w:rFonts w:ascii="Times New Roman" w:hAnsi="Times New Roman" w:cs="Times New Roman"/>
          <w:color w:val="FF0000"/>
        </w:rPr>
      </w:pPr>
    </w:p>
  </w:footnote>
  <w:footnote w:id="102">
    <w:p w14:paraId="7D05679E" w14:textId="7F68B2F1" w:rsidR="00A22CB2" w:rsidRPr="00BC0E87" w:rsidRDefault="00A22CB2" w:rsidP="00296C69">
      <w:pPr>
        <w:pStyle w:val="FootnoteText"/>
        <w:jc w:val="both"/>
        <w:rPr>
          <w:rFonts w:ascii="Times New Roman" w:hAnsi="Times New Roman" w:cs="Times New Roman"/>
        </w:rPr>
      </w:pPr>
      <w:r w:rsidRPr="00BC0E87">
        <w:rPr>
          <w:rStyle w:val="FootnoteReference"/>
          <w:rFonts w:ascii="Times New Roman" w:hAnsi="Times New Roman" w:cs="Times New Roman"/>
        </w:rPr>
        <w:footnoteRef/>
      </w:r>
      <w:r w:rsidRPr="00BC0E87">
        <w:rPr>
          <w:rFonts w:ascii="Times New Roman" w:hAnsi="Times New Roman" w:cs="Times New Roman"/>
        </w:rPr>
        <w:t xml:space="preserve"> </w:t>
      </w:r>
      <w:r w:rsidR="00480E3D">
        <w:rPr>
          <w:rFonts w:ascii="Times New Roman" w:hAnsi="Times New Roman" w:cs="Times New Roman"/>
        </w:rPr>
        <w:t>Case (n 99</w:t>
      </w:r>
      <w:r>
        <w:rPr>
          <w:rFonts w:ascii="Times New Roman" w:hAnsi="Times New Roman" w:cs="Times New Roman"/>
        </w:rPr>
        <w:t xml:space="preserve">). </w:t>
      </w:r>
      <w:r w:rsidRPr="00BC0E87">
        <w:rPr>
          <w:rFonts w:ascii="Times New Roman" w:hAnsi="Times New Roman" w:cs="Times New Roman"/>
        </w:rPr>
        <w:t xml:space="preserve"> </w:t>
      </w:r>
    </w:p>
    <w:p w14:paraId="5365177A" w14:textId="77777777" w:rsidR="00A22CB2" w:rsidRPr="00E7436B" w:rsidRDefault="00A22CB2" w:rsidP="00296C69">
      <w:pPr>
        <w:pStyle w:val="FootnoteText"/>
        <w:jc w:val="both"/>
        <w:rPr>
          <w:rFonts w:ascii="Times New Roman" w:hAnsi="Times New Roman" w:cs="Times New Roman"/>
          <w:color w:val="FF0000"/>
        </w:rPr>
      </w:pPr>
    </w:p>
  </w:footnote>
  <w:footnote w:id="103">
    <w:p w14:paraId="1E58C056" w14:textId="428AF136" w:rsidR="00A22CB2" w:rsidRDefault="00A22CB2" w:rsidP="00F20779">
      <w:pPr>
        <w:pStyle w:val="FootnoteText"/>
        <w:jc w:val="both"/>
        <w:rPr>
          <w:rFonts w:ascii="Times New Roman" w:hAnsi="Times New Roman" w:cs="Times New Roman"/>
        </w:rPr>
      </w:pPr>
      <w:r w:rsidRPr="00F20779">
        <w:rPr>
          <w:rStyle w:val="FootnoteReference"/>
          <w:rFonts w:ascii="Times New Roman" w:hAnsi="Times New Roman" w:cs="Times New Roman"/>
        </w:rPr>
        <w:footnoteRef/>
      </w:r>
      <w:r>
        <w:rPr>
          <w:rFonts w:ascii="Times New Roman" w:hAnsi="Times New Roman" w:cs="Times New Roman"/>
        </w:rPr>
        <w:t xml:space="preserve"> Mental Capacity Act 2005, s 15.</w:t>
      </w:r>
    </w:p>
    <w:p w14:paraId="67547636" w14:textId="77777777" w:rsidR="00A22CB2" w:rsidRPr="00F20779" w:rsidRDefault="00A22CB2" w:rsidP="00F20779">
      <w:pPr>
        <w:pStyle w:val="FootnoteText"/>
        <w:jc w:val="both"/>
        <w:rPr>
          <w:rFonts w:ascii="Times New Roman" w:hAnsi="Times New Roman" w:cs="Times New Roman"/>
        </w:rPr>
      </w:pPr>
    </w:p>
  </w:footnote>
  <w:footnote w:id="104">
    <w:p w14:paraId="1EDB77E6" w14:textId="52630E8F" w:rsidR="00A22CB2" w:rsidRPr="009F2F75" w:rsidRDefault="00A22CB2" w:rsidP="009F2F75">
      <w:pPr>
        <w:pStyle w:val="FootnoteText"/>
        <w:jc w:val="both"/>
        <w:rPr>
          <w:rFonts w:ascii="Times New Roman" w:hAnsi="Times New Roman" w:cs="Times New Roman"/>
        </w:rPr>
      </w:pPr>
      <w:r w:rsidRPr="009F2F75">
        <w:rPr>
          <w:rStyle w:val="FootnoteReference"/>
          <w:rFonts w:ascii="Times New Roman" w:hAnsi="Times New Roman" w:cs="Times New Roman"/>
        </w:rPr>
        <w:footnoteRef/>
      </w:r>
      <w:r w:rsidRPr="009F2F75">
        <w:rPr>
          <w:rFonts w:ascii="Times New Roman" w:hAnsi="Times New Roman" w:cs="Times New Roman"/>
        </w:rPr>
        <w:t xml:space="preserve"> </w:t>
      </w:r>
      <w:r w:rsidR="00E40367">
        <w:rPr>
          <w:rFonts w:ascii="Times New Roman" w:hAnsi="Times New Roman" w:cs="Times New Roman"/>
        </w:rPr>
        <w:t>See discussion above at (n 46</w:t>
      </w:r>
      <w:r>
        <w:rPr>
          <w:rFonts w:ascii="Times New Roman" w:hAnsi="Times New Roman" w:cs="Times New Roman"/>
        </w:rPr>
        <w:t>).</w:t>
      </w:r>
    </w:p>
    <w:p w14:paraId="6F8215BF" w14:textId="77777777" w:rsidR="00A22CB2" w:rsidRDefault="00A22CB2">
      <w:pPr>
        <w:pStyle w:val="FootnoteText"/>
      </w:pPr>
    </w:p>
  </w:footnote>
  <w:footnote w:id="105">
    <w:p w14:paraId="7379B64E" w14:textId="56029504" w:rsidR="00A22CB2" w:rsidRDefault="00A22CB2" w:rsidP="003A19E7">
      <w:pPr>
        <w:pStyle w:val="FootnoteText"/>
        <w:jc w:val="both"/>
        <w:rPr>
          <w:rFonts w:ascii="Times New Roman" w:hAnsi="Times New Roman" w:cs="Times New Roman"/>
        </w:rPr>
      </w:pPr>
      <w:r w:rsidRPr="00F35C1B">
        <w:rPr>
          <w:rStyle w:val="FootnoteReference"/>
          <w:rFonts w:ascii="Times New Roman" w:hAnsi="Times New Roman" w:cs="Times New Roman"/>
        </w:rPr>
        <w:footnoteRef/>
      </w:r>
      <w:r>
        <w:rPr>
          <w:rFonts w:ascii="Times New Roman" w:hAnsi="Times New Roman" w:cs="Times New Roman"/>
        </w:rPr>
        <w:t xml:space="preserve"> In </w:t>
      </w:r>
      <w:r w:rsidRPr="009A07DF">
        <w:rPr>
          <w:rFonts w:ascii="Times New Roman" w:hAnsi="Times New Roman" w:cs="Times New Roman"/>
          <w:i/>
        </w:rPr>
        <w:t>Re MB (Caesarean Section)</w:t>
      </w:r>
      <w:r>
        <w:t xml:space="preserve"> </w:t>
      </w:r>
      <w:r w:rsidRPr="009A07DF">
        <w:rPr>
          <w:rFonts w:ascii="Times New Roman" w:hAnsi="Times New Roman" w:cs="Times New Roman"/>
        </w:rPr>
        <w:t>[1997] 2 WLU</w:t>
      </w:r>
      <w:r>
        <w:rPr>
          <w:rFonts w:ascii="Times New Roman" w:hAnsi="Times New Roman" w:cs="Times New Roman"/>
        </w:rPr>
        <w:t xml:space="preserve">K 313; [1997] 2 FLR </w:t>
      </w:r>
      <w:r w:rsidRPr="009A07DF">
        <w:rPr>
          <w:rFonts w:ascii="Times New Roman" w:hAnsi="Times New Roman" w:cs="Times New Roman"/>
        </w:rPr>
        <w:t>426</w:t>
      </w:r>
      <w:r>
        <w:rPr>
          <w:rFonts w:ascii="Times New Roman" w:hAnsi="Times New Roman" w:cs="Times New Roman"/>
        </w:rPr>
        <w:t xml:space="preserve"> it was confirmed that a person could be rendered ‘temporarily’ incapacitated</w:t>
      </w:r>
      <w:r>
        <w:rPr>
          <w:rFonts w:ascii="Times New Roman" w:hAnsi="Times New Roman" w:cs="Times New Roman"/>
          <w:i/>
        </w:rPr>
        <w:t xml:space="preserve">. </w:t>
      </w:r>
      <w:r w:rsidRPr="009A07DF">
        <w:rPr>
          <w:rFonts w:ascii="Times New Roman" w:hAnsi="Times New Roman" w:cs="Times New Roman"/>
        </w:rPr>
        <w:t>See also</w:t>
      </w:r>
      <w:r>
        <w:rPr>
          <w:rFonts w:ascii="Times New Roman" w:hAnsi="Times New Roman" w:cs="Times New Roman"/>
          <w:i/>
        </w:rPr>
        <w:t xml:space="preserve"> </w:t>
      </w:r>
      <w:r>
        <w:rPr>
          <w:rFonts w:ascii="Times New Roman" w:hAnsi="Times New Roman" w:cs="Times New Roman"/>
        </w:rPr>
        <w:t xml:space="preserve">Barton W </w:t>
      </w:r>
      <w:r w:rsidRPr="0019533D">
        <w:rPr>
          <w:rFonts w:ascii="Times New Roman" w:hAnsi="Times New Roman" w:cs="Times New Roman"/>
        </w:rPr>
        <w:t xml:space="preserve">Palmer </w:t>
      </w:r>
      <w:r w:rsidRPr="0019533D">
        <w:rPr>
          <w:rFonts w:ascii="Times New Roman" w:hAnsi="Times New Roman" w:cs="Times New Roman"/>
          <w:i/>
        </w:rPr>
        <w:t>et al</w:t>
      </w:r>
      <w:r w:rsidRPr="0019533D">
        <w:rPr>
          <w:rFonts w:ascii="Times New Roman" w:hAnsi="Times New Roman" w:cs="Times New Roman"/>
        </w:rPr>
        <w:t>., ‘Changes in Capacity to Consent over time in Patient</w:t>
      </w:r>
      <w:r>
        <w:rPr>
          <w:rFonts w:ascii="Times New Roman" w:hAnsi="Times New Roman" w:cs="Times New Roman"/>
        </w:rPr>
        <w:t xml:space="preserve">s </w:t>
      </w:r>
      <w:r w:rsidRPr="0019533D">
        <w:rPr>
          <w:rFonts w:ascii="Times New Roman" w:hAnsi="Times New Roman" w:cs="Times New Roman"/>
        </w:rPr>
        <w:t xml:space="preserve">Involved in Psychiatric Research’ (2013) 202 </w:t>
      </w:r>
      <w:r w:rsidRPr="0019533D">
        <w:rPr>
          <w:rFonts w:ascii="Times New Roman" w:hAnsi="Times New Roman" w:cs="Times New Roman"/>
          <w:i/>
        </w:rPr>
        <w:t>The British Journal of Psychiatry</w:t>
      </w:r>
      <w:r w:rsidRPr="0019533D">
        <w:rPr>
          <w:rFonts w:ascii="Times New Roman" w:hAnsi="Times New Roman" w:cs="Times New Roman"/>
        </w:rPr>
        <w:t xml:space="preserve"> 454. </w:t>
      </w:r>
    </w:p>
    <w:p w14:paraId="02610830" w14:textId="77777777" w:rsidR="00A22CB2" w:rsidRPr="00E7436B" w:rsidRDefault="00A22CB2" w:rsidP="003A19E7">
      <w:pPr>
        <w:pStyle w:val="FootnoteText"/>
        <w:jc w:val="both"/>
        <w:rPr>
          <w:rFonts w:ascii="Times New Roman" w:hAnsi="Times New Roman" w:cs="Times New Roman"/>
          <w:color w:val="FF0000"/>
        </w:rPr>
      </w:pPr>
    </w:p>
  </w:footnote>
  <w:footnote w:id="106">
    <w:p w14:paraId="1F53CCBE" w14:textId="69C87D07" w:rsidR="00A22CB2" w:rsidRPr="00E7436B" w:rsidRDefault="00A22CB2" w:rsidP="00296C69">
      <w:pPr>
        <w:pStyle w:val="FootnoteText"/>
        <w:jc w:val="both"/>
        <w:rPr>
          <w:rFonts w:ascii="Times New Roman" w:hAnsi="Times New Roman" w:cs="Times New Roman"/>
          <w:color w:val="FF0000"/>
        </w:rPr>
      </w:pPr>
      <w:r w:rsidRPr="00CC7030">
        <w:rPr>
          <w:rStyle w:val="FootnoteReference"/>
          <w:rFonts w:ascii="Times New Roman" w:hAnsi="Times New Roman" w:cs="Times New Roman"/>
        </w:rPr>
        <w:footnoteRef/>
      </w:r>
      <w:r>
        <w:rPr>
          <w:rFonts w:ascii="Times New Roman" w:hAnsi="Times New Roman" w:cs="Times New Roman"/>
        </w:rPr>
        <w:t xml:space="preserve"> </w:t>
      </w:r>
      <w:r w:rsidRPr="009A07DF">
        <w:rPr>
          <w:rFonts w:ascii="Times New Roman" w:hAnsi="Times New Roman" w:cs="Times New Roman"/>
          <w:i/>
        </w:rPr>
        <w:t>An NHS Trust v MB</w:t>
      </w:r>
      <w:r>
        <w:rPr>
          <w:rFonts w:ascii="Times New Roman" w:hAnsi="Times New Roman" w:cs="Times New Roman"/>
          <w:i/>
        </w:rPr>
        <w:t xml:space="preserve"> and Others</w:t>
      </w:r>
      <w:r w:rsidR="00E40367">
        <w:rPr>
          <w:rFonts w:ascii="Times New Roman" w:hAnsi="Times New Roman" w:cs="Times New Roman"/>
        </w:rPr>
        <w:t xml:space="preserve"> (n 75</w:t>
      </w:r>
      <w:r>
        <w:rPr>
          <w:rFonts w:ascii="Times New Roman" w:hAnsi="Times New Roman" w:cs="Times New Roman"/>
        </w:rPr>
        <w:t>).</w:t>
      </w:r>
    </w:p>
    <w:p w14:paraId="6CE258FB" w14:textId="77777777" w:rsidR="00A22CB2" w:rsidRPr="00E7436B" w:rsidRDefault="00A22CB2" w:rsidP="00296C69">
      <w:pPr>
        <w:pStyle w:val="FootnoteText"/>
        <w:jc w:val="both"/>
        <w:rPr>
          <w:color w:val="FF0000"/>
        </w:rPr>
      </w:pPr>
    </w:p>
  </w:footnote>
  <w:footnote w:id="107">
    <w:p w14:paraId="0DFDBFE0" w14:textId="7FF500B2" w:rsidR="00A22CB2" w:rsidRDefault="00A22CB2" w:rsidP="00DA706D">
      <w:pPr>
        <w:pStyle w:val="FootnoteText"/>
        <w:jc w:val="both"/>
        <w:rPr>
          <w:rFonts w:ascii="Times New Roman" w:hAnsi="Times New Roman" w:cs="Times New Roman"/>
        </w:rPr>
      </w:pPr>
      <w:r w:rsidRPr="00DA706D">
        <w:rPr>
          <w:rStyle w:val="FootnoteReference"/>
          <w:rFonts w:ascii="Times New Roman" w:hAnsi="Times New Roman" w:cs="Times New Roman"/>
        </w:rPr>
        <w:footnoteRef/>
      </w:r>
      <w:r w:rsidRPr="00DA706D">
        <w:rPr>
          <w:rFonts w:ascii="Times New Roman" w:hAnsi="Times New Roman" w:cs="Times New Roman"/>
        </w:rPr>
        <w:t xml:space="preserve"> </w:t>
      </w:r>
      <w:r w:rsidR="00E40367">
        <w:rPr>
          <w:rFonts w:ascii="Times New Roman" w:hAnsi="Times New Roman" w:cs="Times New Roman"/>
        </w:rPr>
        <w:t>Above (n 105</w:t>
      </w:r>
      <w:r>
        <w:rPr>
          <w:rFonts w:ascii="Times New Roman" w:hAnsi="Times New Roman" w:cs="Times New Roman"/>
        </w:rPr>
        <w:t>).</w:t>
      </w:r>
    </w:p>
    <w:p w14:paraId="039BDAE0" w14:textId="77777777" w:rsidR="00A22CB2" w:rsidRPr="00DA706D" w:rsidRDefault="00A22CB2" w:rsidP="00DA706D">
      <w:pPr>
        <w:pStyle w:val="FootnoteText"/>
        <w:jc w:val="both"/>
        <w:rPr>
          <w:rFonts w:ascii="Times New Roman" w:hAnsi="Times New Roman" w:cs="Times New Roman"/>
        </w:rPr>
      </w:pPr>
    </w:p>
  </w:footnote>
  <w:footnote w:id="108">
    <w:p w14:paraId="33492E05" w14:textId="2783FF75" w:rsidR="006D5BBB" w:rsidRPr="00FD3498" w:rsidRDefault="006D5BBB" w:rsidP="006D5BBB">
      <w:pPr>
        <w:pStyle w:val="FootnoteText"/>
        <w:jc w:val="both"/>
        <w:rPr>
          <w:rFonts w:ascii="Times New Roman" w:hAnsi="Times New Roman" w:cs="Times New Roman"/>
          <w:color w:val="FF0000"/>
        </w:rPr>
      </w:pPr>
      <w:r w:rsidRPr="00FD3498">
        <w:rPr>
          <w:rStyle w:val="FootnoteReference"/>
          <w:rFonts w:ascii="Times New Roman" w:hAnsi="Times New Roman" w:cs="Times New Roman"/>
          <w:color w:val="FF0000"/>
        </w:rPr>
        <w:footnoteRef/>
      </w:r>
      <w:r w:rsidRPr="00FD3498">
        <w:rPr>
          <w:rFonts w:ascii="Times New Roman" w:hAnsi="Times New Roman" w:cs="Times New Roman"/>
          <w:color w:val="FF0000"/>
        </w:rPr>
        <w:t xml:space="preserve"> One of the problems with capacity is that it is often reduced to a binary ‘yes’ or ‘no</w:t>
      </w:r>
      <w:r>
        <w:rPr>
          <w:rFonts w:ascii="Times New Roman" w:hAnsi="Times New Roman" w:cs="Times New Roman"/>
          <w:color w:val="FF0000"/>
        </w:rPr>
        <w:t>’ question</w:t>
      </w:r>
      <w:r w:rsidRPr="00FD3498">
        <w:rPr>
          <w:rFonts w:ascii="Times New Roman" w:hAnsi="Times New Roman" w:cs="Times New Roman"/>
          <w:color w:val="FF0000"/>
        </w:rPr>
        <w:t>, when it</w:t>
      </w:r>
      <w:r>
        <w:rPr>
          <w:rFonts w:ascii="Times New Roman" w:hAnsi="Times New Roman" w:cs="Times New Roman"/>
          <w:color w:val="FF0000"/>
        </w:rPr>
        <w:t xml:space="preserve"> should be </w:t>
      </w:r>
      <w:r w:rsidRPr="00FD3498">
        <w:rPr>
          <w:rFonts w:ascii="Times New Roman" w:hAnsi="Times New Roman" w:cs="Times New Roman"/>
          <w:color w:val="FF0000"/>
        </w:rPr>
        <w:t>un</w:t>
      </w:r>
      <w:r>
        <w:rPr>
          <w:rFonts w:ascii="Times New Roman" w:hAnsi="Times New Roman" w:cs="Times New Roman"/>
          <w:color w:val="FF0000"/>
        </w:rPr>
        <w:t xml:space="preserve">derstood as a more </w:t>
      </w:r>
      <w:r w:rsidRPr="00FD3498">
        <w:rPr>
          <w:rFonts w:ascii="Times New Roman" w:hAnsi="Times New Roman" w:cs="Times New Roman"/>
          <w:color w:val="FF0000"/>
        </w:rPr>
        <w:t xml:space="preserve">fluid concept. For an excellent discussion of some of the problems with the capacity ‘cliff-edge’, and some interesting suggestions for reform, see Emily Jackson, ‘From “Doctor Knows Best” to Dignity: Placing Adults Who Lack Capacity at the Centre of Decisions About Their Medical Treatment’ (2018) 81 </w:t>
      </w:r>
      <w:r w:rsidRPr="00FD3498">
        <w:rPr>
          <w:rFonts w:ascii="Times New Roman" w:hAnsi="Times New Roman" w:cs="Times New Roman"/>
          <w:i/>
          <w:color w:val="FF0000"/>
        </w:rPr>
        <w:t>Modern Law Review</w:t>
      </w:r>
      <w:r w:rsidRPr="00FD3498">
        <w:rPr>
          <w:rFonts w:ascii="Times New Roman" w:hAnsi="Times New Roman" w:cs="Times New Roman"/>
          <w:color w:val="FF0000"/>
        </w:rPr>
        <w:t xml:space="preserve"> 247.</w:t>
      </w:r>
    </w:p>
    <w:p w14:paraId="1977428C" w14:textId="77777777" w:rsidR="006D5BBB" w:rsidRDefault="006D5BBB" w:rsidP="006D5BBB">
      <w:pPr>
        <w:pStyle w:val="FootnoteText"/>
      </w:pPr>
    </w:p>
  </w:footnote>
  <w:footnote w:id="109">
    <w:p w14:paraId="2F252A71" w14:textId="533FBED4" w:rsidR="00A22CB2" w:rsidRPr="00365929" w:rsidRDefault="00A22CB2" w:rsidP="00365929">
      <w:pPr>
        <w:pStyle w:val="FootnoteText"/>
        <w:jc w:val="both"/>
        <w:rPr>
          <w:rFonts w:ascii="Times New Roman" w:hAnsi="Times New Roman" w:cs="Times New Roman"/>
        </w:rPr>
      </w:pPr>
      <w:r w:rsidRPr="00365929">
        <w:rPr>
          <w:rStyle w:val="FootnoteReference"/>
          <w:rFonts w:ascii="Times New Roman" w:hAnsi="Times New Roman" w:cs="Times New Roman"/>
        </w:rPr>
        <w:footnoteRef/>
      </w:r>
      <w:r w:rsidRPr="00365929">
        <w:rPr>
          <w:rFonts w:ascii="Times New Roman" w:hAnsi="Times New Roman" w:cs="Times New Roman"/>
        </w:rPr>
        <w:t xml:space="preserve"> </w:t>
      </w:r>
      <w:r>
        <w:rPr>
          <w:rFonts w:ascii="Times New Roman" w:hAnsi="Times New Roman" w:cs="Times New Roman"/>
        </w:rPr>
        <w:t xml:space="preserve">The MCA makes provisions for loss of capacity during a project. Should this happen, it would seem that immediate exclusion would not automatically be necessary.  See </w:t>
      </w:r>
      <w:r w:rsidRPr="00365929">
        <w:rPr>
          <w:rFonts w:ascii="Times New Roman" w:hAnsi="Times New Roman" w:cs="Times New Roman"/>
        </w:rPr>
        <w:t>Mental Capacity Act 2005</w:t>
      </w:r>
      <w:r>
        <w:rPr>
          <w:rFonts w:ascii="Times New Roman" w:hAnsi="Times New Roman" w:cs="Times New Roman"/>
        </w:rPr>
        <w:t xml:space="preserve">, s 34. </w:t>
      </w:r>
    </w:p>
    <w:p w14:paraId="7A385FF8" w14:textId="77777777" w:rsidR="00A22CB2" w:rsidRDefault="00A22CB2">
      <w:pPr>
        <w:pStyle w:val="FootnoteText"/>
      </w:pPr>
    </w:p>
  </w:footnote>
  <w:footnote w:id="110">
    <w:p w14:paraId="427C8BB8" w14:textId="7691E84D" w:rsidR="00A22CB2" w:rsidRDefault="00A22CB2" w:rsidP="00FB697B">
      <w:pPr>
        <w:pStyle w:val="FootnoteText"/>
        <w:jc w:val="both"/>
        <w:rPr>
          <w:rFonts w:ascii="Times New Roman" w:hAnsi="Times New Roman" w:cs="Times New Roman"/>
          <w:color w:val="FF0000"/>
        </w:rPr>
      </w:pPr>
      <w:r w:rsidRPr="00FB697B">
        <w:rPr>
          <w:rStyle w:val="FootnoteReference"/>
          <w:rFonts w:ascii="Times New Roman" w:hAnsi="Times New Roman" w:cs="Times New Roman"/>
        </w:rPr>
        <w:footnoteRef/>
      </w:r>
      <w:r w:rsidRPr="00E7436B">
        <w:rPr>
          <w:rFonts w:ascii="Times New Roman" w:hAnsi="Times New Roman" w:cs="Times New Roman"/>
          <w:color w:val="FF0000"/>
        </w:rPr>
        <w:t xml:space="preserve"> </w:t>
      </w:r>
      <w:r>
        <w:rPr>
          <w:rFonts w:ascii="Times New Roman" w:hAnsi="Times New Roman" w:cs="Times New Roman"/>
        </w:rPr>
        <w:t xml:space="preserve">Mental Capacity Act 2005, s 33 (4) and (5). </w:t>
      </w:r>
    </w:p>
    <w:p w14:paraId="3F08F978" w14:textId="77777777" w:rsidR="00A22CB2" w:rsidRPr="00E7436B" w:rsidRDefault="00A22CB2" w:rsidP="00941EDF">
      <w:pPr>
        <w:pStyle w:val="FootnoteText"/>
        <w:jc w:val="both"/>
        <w:rPr>
          <w:rFonts w:ascii="Times New Roman" w:hAnsi="Times New Roman" w:cs="Times New Roman"/>
          <w:color w:val="FF0000"/>
        </w:rPr>
      </w:pPr>
    </w:p>
  </w:footnote>
  <w:footnote w:id="111">
    <w:p w14:paraId="3882F086" w14:textId="4CF6DCAF" w:rsidR="00A22CB2" w:rsidRPr="00FD3498" w:rsidRDefault="00A22CB2" w:rsidP="00FD3498">
      <w:pPr>
        <w:pStyle w:val="FootnoteText"/>
        <w:jc w:val="both"/>
        <w:rPr>
          <w:rFonts w:ascii="Times New Roman" w:hAnsi="Times New Roman" w:cs="Times New Roman"/>
          <w:color w:val="FF0000"/>
        </w:rPr>
      </w:pPr>
      <w:r w:rsidRPr="00FD3498">
        <w:rPr>
          <w:rStyle w:val="FootnoteReference"/>
          <w:rFonts w:ascii="Times New Roman" w:hAnsi="Times New Roman" w:cs="Times New Roman"/>
          <w:color w:val="FF0000"/>
        </w:rPr>
        <w:footnoteRef/>
      </w:r>
      <w:r w:rsidRPr="00FD3498">
        <w:rPr>
          <w:rFonts w:ascii="Times New Roman" w:hAnsi="Times New Roman" w:cs="Times New Roman"/>
          <w:color w:val="FF0000"/>
        </w:rPr>
        <w:t xml:space="preserve"> For a number of interesting suggestion</w:t>
      </w:r>
      <w:r>
        <w:rPr>
          <w:rFonts w:ascii="Times New Roman" w:hAnsi="Times New Roman" w:cs="Times New Roman"/>
          <w:color w:val="FF0000"/>
        </w:rPr>
        <w:t>s</w:t>
      </w:r>
      <w:r w:rsidRPr="00FD3498">
        <w:rPr>
          <w:rFonts w:ascii="Times New Roman" w:hAnsi="Times New Roman" w:cs="Times New Roman"/>
          <w:color w:val="FF0000"/>
        </w:rPr>
        <w:t>, see Jackson (n 108).</w:t>
      </w:r>
    </w:p>
    <w:p w14:paraId="644D6926" w14:textId="77777777" w:rsidR="00A22CB2" w:rsidRDefault="00A22CB2">
      <w:pPr>
        <w:pStyle w:val="FootnoteText"/>
      </w:pPr>
    </w:p>
  </w:footnote>
  <w:footnote w:id="112">
    <w:p w14:paraId="56575273" w14:textId="5E4256C2" w:rsidR="00A22CB2" w:rsidRPr="00E7436B" w:rsidRDefault="00A22CB2" w:rsidP="00941EDF">
      <w:pPr>
        <w:pStyle w:val="FootnoteText"/>
        <w:jc w:val="both"/>
        <w:rPr>
          <w:rFonts w:ascii="Times New Roman" w:hAnsi="Times New Roman" w:cs="Times New Roman"/>
          <w:color w:val="FF0000"/>
        </w:rPr>
      </w:pPr>
      <w:r w:rsidRPr="006D3C51">
        <w:rPr>
          <w:rStyle w:val="FootnoteReference"/>
          <w:rFonts w:ascii="Times New Roman" w:hAnsi="Times New Roman" w:cs="Times New Roman"/>
        </w:rPr>
        <w:footnoteRef/>
      </w:r>
      <w:r w:rsidRPr="006D3C51">
        <w:rPr>
          <w:rFonts w:ascii="Times New Roman" w:hAnsi="Times New Roman" w:cs="Times New Roman"/>
        </w:rPr>
        <w:t xml:space="preserve"> </w:t>
      </w:r>
      <w:r>
        <w:rPr>
          <w:rFonts w:ascii="Times New Roman" w:hAnsi="Times New Roman" w:cs="Times New Roman"/>
        </w:rPr>
        <w:t xml:space="preserve">Mental Capacity Act 2005, s 32 (4) (a) and (b). </w:t>
      </w:r>
    </w:p>
    <w:p w14:paraId="6F02E828" w14:textId="77777777" w:rsidR="00A22CB2" w:rsidRPr="00E7436B" w:rsidRDefault="00A22CB2" w:rsidP="00941EDF">
      <w:pPr>
        <w:pStyle w:val="FootnoteText"/>
        <w:jc w:val="both"/>
        <w:rPr>
          <w:rFonts w:ascii="Times New Roman" w:hAnsi="Times New Roman" w:cs="Times New Roman"/>
          <w:color w:val="FF0000"/>
        </w:rPr>
      </w:pPr>
    </w:p>
  </w:footnote>
  <w:footnote w:id="113">
    <w:p w14:paraId="5D913353" w14:textId="0B94E12E" w:rsidR="00A22CB2" w:rsidRPr="00E7436B" w:rsidRDefault="00A22CB2" w:rsidP="00941EDF">
      <w:pPr>
        <w:pStyle w:val="FootnoteText"/>
        <w:jc w:val="both"/>
        <w:rPr>
          <w:rFonts w:ascii="Times New Roman" w:hAnsi="Times New Roman" w:cs="Times New Roman"/>
          <w:color w:val="FF0000"/>
        </w:rPr>
      </w:pPr>
      <w:r w:rsidRPr="0057108C">
        <w:rPr>
          <w:rStyle w:val="FootnoteReference"/>
          <w:rFonts w:ascii="Times New Roman" w:hAnsi="Times New Roman" w:cs="Times New Roman"/>
        </w:rPr>
        <w:footnoteRef/>
      </w:r>
      <w:r w:rsidRPr="0057108C">
        <w:rPr>
          <w:rFonts w:ascii="Times New Roman" w:hAnsi="Times New Roman" w:cs="Times New Roman"/>
        </w:rPr>
        <w:t xml:space="preserve"> </w:t>
      </w:r>
      <w:r>
        <w:rPr>
          <w:rFonts w:ascii="Times New Roman" w:hAnsi="Times New Roman" w:cs="Times New Roman"/>
        </w:rPr>
        <w:t>Mental Capacity Act 2005, s 32 (2) (a).</w:t>
      </w:r>
    </w:p>
    <w:p w14:paraId="266AED77" w14:textId="77777777" w:rsidR="00A22CB2" w:rsidRPr="00E7436B" w:rsidRDefault="00A22CB2" w:rsidP="00941EDF">
      <w:pPr>
        <w:pStyle w:val="FootnoteText"/>
        <w:jc w:val="both"/>
        <w:rPr>
          <w:rFonts w:ascii="Times New Roman" w:hAnsi="Times New Roman" w:cs="Times New Roman"/>
          <w:color w:val="FF0000"/>
        </w:rPr>
      </w:pPr>
    </w:p>
  </w:footnote>
  <w:footnote w:id="114">
    <w:p w14:paraId="6F24C0CD" w14:textId="5659FB72" w:rsidR="00A22CB2" w:rsidRDefault="00A22CB2" w:rsidP="00941EDF">
      <w:pPr>
        <w:pStyle w:val="FootnoteText"/>
        <w:jc w:val="both"/>
        <w:rPr>
          <w:rFonts w:ascii="Times New Roman" w:hAnsi="Times New Roman" w:cs="Times New Roman"/>
          <w:color w:val="FF0000"/>
        </w:rPr>
      </w:pPr>
      <w:r w:rsidRPr="0057108C">
        <w:rPr>
          <w:rStyle w:val="FootnoteReference"/>
          <w:rFonts w:ascii="Times New Roman" w:hAnsi="Times New Roman" w:cs="Times New Roman"/>
        </w:rPr>
        <w:footnoteRef/>
      </w:r>
      <w:r w:rsidRPr="00E7436B">
        <w:rPr>
          <w:color w:val="FF0000"/>
        </w:rPr>
        <w:t xml:space="preserve"> </w:t>
      </w:r>
      <w:r>
        <w:rPr>
          <w:rFonts w:ascii="Times New Roman" w:hAnsi="Times New Roman" w:cs="Times New Roman"/>
        </w:rPr>
        <w:t xml:space="preserve">Mental Capacity Act 2005, s 32 (3) (a) and (b) </w:t>
      </w:r>
    </w:p>
    <w:p w14:paraId="700558C1" w14:textId="77777777" w:rsidR="00A22CB2" w:rsidRPr="00E7436B" w:rsidRDefault="00A22CB2" w:rsidP="00941EDF">
      <w:pPr>
        <w:pStyle w:val="FootnoteText"/>
        <w:jc w:val="both"/>
        <w:rPr>
          <w:color w:val="FF0000"/>
        </w:rPr>
      </w:pPr>
    </w:p>
  </w:footnote>
  <w:footnote w:id="115">
    <w:p w14:paraId="182ACDB1" w14:textId="1606F5E2" w:rsidR="00A22CB2" w:rsidRPr="00E7436B" w:rsidRDefault="00A22CB2" w:rsidP="006B539C">
      <w:pPr>
        <w:pStyle w:val="FootnoteText"/>
        <w:jc w:val="both"/>
        <w:rPr>
          <w:rFonts w:ascii="Times New Roman" w:hAnsi="Times New Roman" w:cs="Times New Roman"/>
          <w:color w:val="FF0000"/>
        </w:rPr>
      </w:pPr>
      <w:r w:rsidRPr="0057108C">
        <w:rPr>
          <w:rStyle w:val="FootnoteReference"/>
          <w:rFonts w:ascii="Times New Roman" w:hAnsi="Times New Roman" w:cs="Times New Roman"/>
        </w:rPr>
        <w:footnoteRef/>
      </w:r>
      <w:r w:rsidRPr="0057108C">
        <w:rPr>
          <w:rFonts w:ascii="Times New Roman" w:hAnsi="Times New Roman" w:cs="Times New Roman"/>
        </w:rPr>
        <w:t xml:space="preserve"> </w:t>
      </w:r>
      <w:r>
        <w:rPr>
          <w:rFonts w:ascii="Times New Roman" w:hAnsi="Times New Roman" w:cs="Times New Roman"/>
        </w:rPr>
        <w:t>Mental Capacity Act 2005, s 32 (2)</w:t>
      </w:r>
      <w:r w:rsidRPr="00E7436B">
        <w:rPr>
          <w:rFonts w:ascii="Times New Roman" w:hAnsi="Times New Roman" w:cs="Times New Roman"/>
          <w:color w:val="FF0000"/>
        </w:rPr>
        <w:t>.</w:t>
      </w:r>
    </w:p>
    <w:p w14:paraId="3D21B03B" w14:textId="77777777" w:rsidR="00A22CB2" w:rsidRPr="00E7436B" w:rsidRDefault="00A22CB2" w:rsidP="006B539C">
      <w:pPr>
        <w:pStyle w:val="FootnoteText"/>
        <w:jc w:val="both"/>
        <w:rPr>
          <w:rFonts w:ascii="Times New Roman" w:hAnsi="Times New Roman" w:cs="Times New Roman"/>
          <w:color w:val="FF0000"/>
        </w:rPr>
      </w:pPr>
    </w:p>
  </w:footnote>
  <w:footnote w:id="116">
    <w:p w14:paraId="5072925C" w14:textId="2684F26B" w:rsidR="00A22CB2" w:rsidRPr="00E7436B" w:rsidRDefault="00A22CB2" w:rsidP="006B539C">
      <w:pPr>
        <w:pStyle w:val="FootnoteText"/>
        <w:jc w:val="both"/>
        <w:rPr>
          <w:rFonts w:ascii="Times New Roman" w:hAnsi="Times New Roman" w:cs="Times New Roman"/>
          <w:color w:val="FF0000"/>
        </w:rPr>
      </w:pPr>
      <w:r w:rsidRPr="00295B90">
        <w:rPr>
          <w:rStyle w:val="FootnoteReference"/>
          <w:rFonts w:ascii="Times New Roman" w:hAnsi="Times New Roman" w:cs="Times New Roman"/>
        </w:rPr>
        <w:footnoteRef/>
      </w:r>
      <w:r w:rsidRPr="00295B90">
        <w:rPr>
          <w:rFonts w:ascii="Times New Roman" w:hAnsi="Times New Roman" w:cs="Times New Roman"/>
        </w:rPr>
        <w:t xml:space="preserve"> </w:t>
      </w:r>
      <w:r>
        <w:rPr>
          <w:rFonts w:ascii="Times New Roman" w:hAnsi="Times New Roman" w:cs="Times New Roman"/>
        </w:rPr>
        <w:t xml:space="preserve">Mental Capacity Act 2005, s 32 (4) (a) and (b). </w:t>
      </w:r>
    </w:p>
    <w:p w14:paraId="5665C5D6" w14:textId="77777777" w:rsidR="00A22CB2" w:rsidRPr="00E7436B" w:rsidRDefault="00A22CB2" w:rsidP="006B539C">
      <w:pPr>
        <w:pStyle w:val="FootnoteText"/>
        <w:jc w:val="both"/>
        <w:rPr>
          <w:rFonts w:ascii="Times New Roman" w:hAnsi="Times New Roman" w:cs="Times New Roman"/>
          <w:color w:val="FF0000"/>
        </w:rPr>
      </w:pPr>
    </w:p>
  </w:footnote>
  <w:footnote w:id="117">
    <w:p w14:paraId="19638A98" w14:textId="786A1D01" w:rsidR="00A22CB2" w:rsidRPr="00BC433B" w:rsidRDefault="00A22CB2" w:rsidP="00BC433B">
      <w:pPr>
        <w:pStyle w:val="FootnoteText"/>
        <w:jc w:val="both"/>
        <w:rPr>
          <w:rFonts w:ascii="Times New Roman" w:hAnsi="Times New Roman" w:cs="Times New Roman"/>
        </w:rPr>
      </w:pPr>
      <w:r w:rsidRPr="00BC433B">
        <w:rPr>
          <w:rStyle w:val="FootnoteReference"/>
          <w:rFonts w:ascii="Times New Roman" w:hAnsi="Times New Roman" w:cs="Times New Roman"/>
        </w:rPr>
        <w:footnoteRef/>
      </w:r>
      <w:r w:rsidRPr="00BC433B">
        <w:rPr>
          <w:rFonts w:ascii="Times New Roman" w:hAnsi="Times New Roman" w:cs="Times New Roman"/>
        </w:rPr>
        <w:t xml:space="preserve"> See Department of Health, </w:t>
      </w:r>
      <w:r w:rsidRPr="00BC433B">
        <w:rPr>
          <w:rFonts w:ascii="Times New Roman" w:hAnsi="Times New Roman" w:cs="Times New Roman"/>
          <w:i/>
        </w:rPr>
        <w:t>Guidance on Nominating a Consultee for Research Involving Adults Who Lack Capacity to Consent</w:t>
      </w:r>
      <w:r w:rsidRPr="00BC433B">
        <w:rPr>
          <w:rFonts w:ascii="Times New Roman" w:hAnsi="Times New Roman" w:cs="Times New Roman"/>
        </w:rPr>
        <w:t xml:space="preserve"> (DOH London 2008) at 8.</w:t>
      </w:r>
    </w:p>
    <w:p w14:paraId="19E7AF45" w14:textId="77777777" w:rsidR="00A22CB2" w:rsidRPr="00BC433B" w:rsidRDefault="00A22CB2" w:rsidP="00BC433B">
      <w:pPr>
        <w:pStyle w:val="FootnoteText"/>
        <w:jc w:val="both"/>
        <w:rPr>
          <w:rFonts w:ascii="Times New Roman" w:hAnsi="Times New Roman" w:cs="Times New Roman"/>
        </w:rPr>
      </w:pPr>
    </w:p>
  </w:footnote>
  <w:footnote w:id="118">
    <w:p w14:paraId="36B617B0" w14:textId="04AE377C" w:rsidR="00A22CB2" w:rsidRDefault="00A22CB2" w:rsidP="00BC433B">
      <w:pPr>
        <w:pStyle w:val="FootnoteText"/>
        <w:jc w:val="both"/>
      </w:pPr>
      <w:r w:rsidRPr="00BC433B">
        <w:rPr>
          <w:rStyle w:val="FootnoteReference"/>
          <w:rFonts w:ascii="Times New Roman" w:hAnsi="Times New Roman" w:cs="Times New Roman"/>
        </w:rPr>
        <w:footnoteRef/>
      </w:r>
      <w:r w:rsidRPr="00BC433B">
        <w:rPr>
          <w:rFonts w:ascii="Times New Roman" w:hAnsi="Times New Roman" w:cs="Times New Roman"/>
        </w:rPr>
        <w:t xml:space="preserve"> Ibid.</w:t>
      </w:r>
    </w:p>
  </w:footnote>
  <w:footnote w:id="119">
    <w:p w14:paraId="1AC8B99F" w14:textId="3550EA05" w:rsidR="00A22CB2" w:rsidRPr="001A005A" w:rsidRDefault="00A22CB2" w:rsidP="008D65A6">
      <w:pPr>
        <w:pStyle w:val="FootnoteText"/>
        <w:jc w:val="both"/>
        <w:rPr>
          <w:rFonts w:ascii="Times New Roman" w:hAnsi="Times New Roman" w:cs="Times New Roman"/>
          <w:color w:val="FF0000"/>
        </w:rPr>
      </w:pPr>
      <w:r w:rsidRPr="00BB10C6">
        <w:rPr>
          <w:rStyle w:val="FootnoteReference"/>
          <w:rFonts w:ascii="Times New Roman" w:hAnsi="Times New Roman" w:cs="Times New Roman"/>
        </w:rPr>
        <w:footnoteRef/>
      </w:r>
      <w:r w:rsidRPr="008D65A6">
        <w:rPr>
          <w:rFonts w:ascii="Times New Roman" w:hAnsi="Times New Roman" w:cs="Times New Roman"/>
        </w:rPr>
        <w:t xml:space="preserve"> </w:t>
      </w:r>
      <w:r w:rsidRPr="006B7DD6">
        <w:rPr>
          <w:rFonts w:ascii="Times New Roman" w:hAnsi="Times New Roman" w:cs="Times New Roman"/>
        </w:rPr>
        <w:t xml:space="preserve">See </w:t>
      </w:r>
      <w:r w:rsidRPr="006B7DD6">
        <w:rPr>
          <w:rFonts w:ascii="Times New Roman" w:hAnsi="Times New Roman" w:cs="Times New Roman"/>
          <w:i/>
        </w:rPr>
        <w:t>Wye Valley NHS Trust v B</w:t>
      </w:r>
      <w:r>
        <w:rPr>
          <w:rFonts w:ascii="Times New Roman" w:hAnsi="Times New Roman" w:cs="Times New Roman"/>
          <w:color w:val="FF0000"/>
        </w:rPr>
        <w:t xml:space="preserve"> </w:t>
      </w:r>
      <w:r>
        <w:rPr>
          <w:rFonts w:ascii="Times New Roman" w:hAnsi="Times New Roman" w:cs="Times New Roman"/>
        </w:rPr>
        <w:t>[2015</w:t>
      </w:r>
      <w:r w:rsidRPr="00437A5B">
        <w:rPr>
          <w:rFonts w:ascii="Times New Roman" w:hAnsi="Times New Roman" w:cs="Times New Roman"/>
        </w:rPr>
        <w:t xml:space="preserve">] </w:t>
      </w:r>
      <w:r>
        <w:rPr>
          <w:rFonts w:ascii="Times New Roman" w:hAnsi="Times New Roman" w:cs="Times New Roman"/>
        </w:rPr>
        <w:t xml:space="preserve">EWCOP 60; </w:t>
      </w:r>
      <w:proofErr w:type="spellStart"/>
      <w:r w:rsidRPr="00A4100B">
        <w:rPr>
          <w:rFonts w:ascii="Times New Roman" w:hAnsi="Times New Roman" w:cs="Times New Roman"/>
        </w:rPr>
        <w:t>Skowron</w:t>
      </w:r>
      <w:proofErr w:type="spellEnd"/>
      <w:r>
        <w:rPr>
          <w:rFonts w:ascii="Times New Roman" w:hAnsi="Times New Roman" w:cs="Times New Roman"/>
        </w:rPr>
        <w:t xml:space="preserve"> (n 3); </w:t>
      </w:r>
      <w:r w:rsidRPr="00A2430D">
        <w:rPr>
          <w:rFonts w:ascii="Times New Roman" w:hAnsi="Times New Roman" w:cs="Times New Roman"/>
        </w:rPr>
        <w:t>Lucy Series ‘</w:t>
      </w:r>
      <w:r>
        <w:rPr>
          <w:rFonts w:ascii="Times New Roman" w:hAnsi="Times New Roman" w:cs="Times New Roman"/>
        </w:rPr>
        <w:t>The Place of Wishes and Feelings in Best Interests D</w:t>
      </w:r>
      <w:r w:rsidRPr="00A2430D">
        <w:rPr>
          <w:rFonts w:ascii="Times New Roman" w:hAnsi="Times New Roman" w:cs="Times New Roman"/>
        </w:rPr>
        <w:t xml:space="preserve">ecisions: Wye Valley NHS Trust v Mr B’ (2016) 79 </w:t>
      </w:r>
      <w:r w:rsidRPr="00A2430D">
        <w:rPr>
          <w:rFonts w:ascii="Times New Roman" w:hAnsi="Times New Roman" w:cs="Times New Roman"/>
          <w:i/>
        </w:rPr>
        <w:t>Modern Law Review</w:t>
      </w:r>
      <w:r>
        <w:rPr>
          <w:rFonts w:ascii="Times New Roman" w:hAnsi="Times New Roman" w:cs="Times New Roman"/>
        </w:rPr>
        <w:t xml:space="preserve"> 1101.</w:t>
      </w:r>
    </w:p>
    <w:p w14:paraId="2185B86B" w14:textId="77777777" w:rsidR="00A22CB2" w:rsidRPr="00E7436B" w:rsidRDefault="00A22CB2" w:rsidP="00F326FE">
      <w:pPr>
        <w:pStyle w:val="FootnoteText"/>
        <w:jc w:val="both"/>
        <w:rPr>
          <w:rFonts w:ascii="Times New Roman" w:hAnsi="Times New Roman" w:cs="Times New Roman"/>
          <w:color w:val="FF0000"/>
        </w:rPr>
      </w:pPr>
    </w:p>
  </w:footnote>
  <w:footnote w:id="120">
    <w:p w14:paraId="52EC9673" w14:textId="5436908E" w:rsidR="00A22CB2" w:rsidRPr="00E7436B" w:rsidRDefault="00A22CB2" w:rsidP="00F326FE">
      <w:pPr>
        <w:pStyle w:val="FootnoteText"/>
        <w:jc w:val="both"/>
        <w:rPr>
          <w:rFonts w:ascii="Times New Roman" w:hAnsi="Times New Roman" w:cs="Times New Roman"/>
          <w:color w:val="FF0000"/>
        </w:rPr>
      </w:pPr>
      <w:r w:rsidRPr="00061E87">
        <w:rPr>
          <w:rStyle w:val="FootnoteReference"/>
          <w:rFonts w:ascii="Times New Roman" w:hAnsi="Times New Roman" w:cs="Times New Roman"/>
        </w:rPr>
        <w:footnoteRef/>
      </w:r>
      <w:r w:rsidRPr="00061E87">
        <w:rPr>
          <w:rFonts w:ascii="Times New Roman" w:hAnsi="Times New Roman" w:cs="Times New Roman"/>
        </w:rPr>
        <w:t xml:space="preserve"> </w:t>
      </w:r>
      <w:r>
        <w:rPr>
          <w:rFonts w:ascii="Times New Roman" w:hAnsi="Times New Roman" w:cs="Times New Roman"/>
        </w:rPr>
        <w:t>Mental Capacity Act 2005, s 32 (5)</w:t>
      </w:r>
      <w:r w:rsidRPr="00E7436B">
        <w:rPr>
          <w:rFonts w:ascii="Times New Roman" w:hAnsi="Times New Roman" w:cs="Times New Roman"/>
          <w:color w:val="FF0000"/>
        </w:rPr>
        <w:t>.</w:t>
      </w:r>
    </w:p>
    <w:p w14:paraId="59549FAE" w14:textId="77777777" w:rsidR="00A22CB2" w:rsidRPr="00E7436B" w:rsidRDefault="00A22CB2" w:rsidP="00F326FE">
      <w:pPr>
        <w:pStyle w:val="FootnoteText"/>
        <w:jc w:val="both"/>
        <w:rPr>
          <w:rFonts w:ascii="Times New Roman" w:hAnsi="Times New Roman" w:cs="Times New Roman"/>
          <w:color w:val="FF0000"/>
        </w:rPr>
      </w:pPr>
    </w:p>
  </w:footnote>
  <w:footnote w:id="121">
    <w:p w14:paraId="7D62B252" w14:textId="57C77532" w:rsidR="00A22CB2" w:rsidRPr="006B0F30" w:rsidRDefault="00A22CB2" w:rsidP="006B0F30">
      <w:pPr>
        <w:pStyle w:val="FootnoteText"/>
        <w:jc w:val="both"/>
        <w:rPr>
          <w:rFonts w:ascii="Times New Roman" w:hAnsi="Times New Roman" w:cs="Times New Roman"/>
          <w:color w:val="FF0000"/>
        </w:rPr>
      </w:pPr>
      <w:r w:rsidRPr="006206A9">
        <w:rPr>
          <w:rStyle w:val="FootnoteReference"/>
          <w:rFonts w:ascii="Times New Roman" w:hAnsi="Times New Roman" w:cs="Times New Roman"/>
        </w:rPr>
        <w:footnoteRef/>
      </w:r>
      <w:r w:rsidRPr="006206A9">
        <w:rPr>
          <w:rFonts w:ascii="Times New Roman" w:hAnsi="Times New Roman" w:cs="Times New Roman"/>
        </w:rPr>
        <w:t xml:space="preserve"> </w:t>
      </w:r>
      <w:r>
        <w:rPr>
          <w:rFonts w:ascii="Times New Roman" w:hAnsi="Times New Roman" w:cs="Times New Roman"/>
        </w:rPr>
        <w:t xml:space="preserve">In legal terms, this is known as the substituted judgment approach.  It has not been endorsed in England, but has been used in some American cases. See </w:t>
      </w:r>
      <w:r>
        <w:rPr>
          <w:rFonts w:ascii="Times New Roman" w:hAnsi="Times New Roman" w:cs="Times New Roman"/>
          <w:i/>
        </w:rPr>
        <w:t xml:space="preserve">Strunk v Strunk </w:t>
      </w:r>
      <w:r w:rsidRPr="00437A5B">
        <w:rPr>
          <w:rFonts w:ascii="Times New Roman" w:hAnsi="Times New Roman" w:cs="Times New Roman"/>
        </w:rPr>
        <w:t>[</w:t>
      </w:r>
      <w:r>
        <w:rPr>
          <w:rFonts w:ascii="Times New Roman" w:hAnsi="Times New Roman" w:cs="Times New Roman"/>
        </w:rPr>
        <w:t>1969</w:t>
      </w:r>
      <w:r w:rsidRPr="00437A5B">
        <w:rPr>
          <w:rFonts w:ascii="Times New Roman" w:hAnsi="Times New Roman" w:cs="Times New Roman"/>
        </w:rPr>
        <w:t xml:space="preserve">] </w:t>
      </w:r>
      <w:r>
        <w:rPr>
          <w:rFonts w:ascii="Times New Roman" w:hAnsi="Times New Roman" w:cs="Times New Roman"/>
        </w:rPr>
        <w:t xml:space="preserve">445 S.W.2d 145. </w:t>
      </w:r>
    </w:p>
  </w:footnote>
  <w:footnote w:id="122">
    <w:p w14:paraId="53ACD72C" w14:textId="7B56DC6F" w:rsidR="00A22CB2" w:rsidRDefault="00A22CB2" w:rsidP="00F326FE">
      <w:pPr>
        <w:pStyle w:val="FootnoteText"/>
        <w:jc w:val="both"/>
        <w:rPr>
          <w:rFonts w:ascii="Times New Roman" w:hAnsi="Times New Roman" w:cs="Times New Roman"/>
        </w:rPr>
      </w:pPr>
      <w:r w:rsidRPr="00940613">
        <w:rPr>
          <w:rStyle w:val="FootnoteReference"/>
          <w:rFonts w:ascii="Times New Roman" w:hAnsi="Times New Roman" w:cs="Times New Roman"/>
        </w:rPr>
        <w:footnoteRef/>
      </w:r>
      <w:r w:rsidRPr="00940613">
        <w:rPr>
          <w:rFonts w:ascii="Times New Roman" w:hAnsi="Times New Roman" w:cs="Times New Roman"/>
        </w:rPr>
        <w:t xml:space="preserve"> For an interesting discussion on this point see Shaun D Pattinson, </w:t>
      </w:r>
      <w:r w:rsidRPr="00940613">
        <w:rPr>
          <w:rFonts w:ascii="Times New Roman" w:hAnsi="Times New Roman" w:cs="Times New Roman"/>
          <w:i/>
        </w:rPr>
        <w:t>Medical Law and Ethics</w:t>
      </w:r>
      <w:r w:rsidRPr="00940613">
        <w:rPr>
          <w:rFonts w:ascii="Times New Roman" w:hAnsi="Times New Roman" w:cs="Times New Roman"/>
        </w:rPr>
        <w:t xml:space="preserve"> (5th </w:t>
      </w:r>
      <w:proofErr w:type="spellStart"/>
      <w:r w:rsidRPr="00940613">
        <w:rPr>
          <w:rFonts w:ascii="Times New Roman" w:hAnsi="Times New Roman" w:cs="Times New Roman"/>
        </w:rPr>
        <w:t>edn</w:t>
      </w:r>
      <w:proofErr w:type="spellEnd"/>
      <w:r w:rsidRPr="00940613">
        <w:rPr>
          <w:rFonts w:ascii="Times New Roman" w:hAnsi="Times New Roman" w:cs="Times New Roman"/>
        </w:rPr>
        <w:t>, Sweet &amp;</w:t>
      </w:r>
      <w:r>
        <w:rPr>
          <w:rFonts w:ascii="Times New Roman" w:hAnsi="Times New Roman" w:cs="Times New Roman"/>
        </w:rPr>
        <w:t xml:space="preserve"> Maxwell, 2017) at 149 and 455.</w:t>
      </w:r>
    </w:p>
    <w:p w14:paraId="4E539532" w14:textId="77777777" w:rsidR="00A22CB2" w:rsidRPr="00941CC6" w:rsidRDefault="00A22CB2" w:rsidP="00F326FE">
      <w:pPr>
        <w:pStyle w:val="FootnoteText"/>
        <w:jc w:val="both"/>
        <w:rPr>
          <w:rFonts w:ascii="Times New Roman" w:hAnsi="Times New Roman" w:cs="Times New Roman"/>
        </w:rPr>
      </w:pPr>
    </w:p>
  </w:footnote>
  <w:footnote w:id="123">
    <w:p w14:paraId="26D59C6C" w14:textId="77777777" w:rsidR="00A22CB2" w:rsidRPr="00BB10C6" w:rsidRDefault="00A22CB2" w:rsidP="00C74E4A">
      <w:pPr>
        <w:pStyle w:val="FootnoteText"/>
        <w:jc w:val="both"/>
        <w:rPr>
          <w:rFonts w:ascii="Times New Roman" w:hAnsi="Times New Roman" w:cs="Times New Roman"/>
        </w:rPr>
      </w:pPr>
      <w:r w:rsidRPr="00743957">
        <w:rPr>
          <w:rStyle w:val="FootnoteReference"/>
          <w:rFonts w:ascii="Times New Roman" w:hAnsi="Times New Roman" w:cs="Times New Roman"/>
        </w:rPr>
        <w:footnoteRef/>
      </w:r>
      <w:r w:rsidRPr="00743957">
        <w:rPr>
          <w:rFonts w:ascii="Times New Roman" w:hAnsi="Times New Roman" w:cs="Times New Roman"/>
        </w:rPr>
        <w:t xml:space="preserve"> </w:t>
      </w:r>
      <w:r>
        <w:rPr>
          <w:rFonts w:ascii="Times New Roman" w:hAnsi="Times New Roman" w:cs="Times New Roman"/>
        </w:rPr>
        <w:t xml:space="preserve">Mental Capacity Act 2005, s 32 (4) (a) and (b); </w:t>
      </w:r>
      <w:r w:rsidRPr="00BB10C6">
        <w:rPr>
          <w:rFonts w:ascii="Times New Roman" w:hAnsi="Times New Roman" w:cs="Times New Roman"/>
        </w:rPr>
        <w:t>Mental Capacity Act 20</w:t>
      </w:r>
      <w:r>
        <w:rPr>
          <w:rFonts w:ascii="Times New Roman" w:hAnsi="Times New Roman" w:cs="Times New Roman"/>
        </w:rPr>
        <w:t>05: Code of Practice, para [11.27]. It should be noted here that the researcher does not ‘consent’ for the participant either.</w:t>
      </w:r>
    </w:p>
    <w:p w14:paraId="6BDE978D" w14:textId="77777777" w:rsidR="00A22CB2" w:rsidRPr="00E7436B" w:rsidRDefault="00A22CB2" w:rsidP="00C74E4A">
      <w:pPr>
        <w:pStyle w:val="FootnoteText"/>
        <w:jc w:val="both"/>
        <w:rPr>
          <w:rFonts w:ascii="Times New Roman" w:hAnsi="Times New Roman" w:cs="Times New Roman"/>
          <w:color w:val="FF0000"/>
        </w:rPr>
      </w:pPr>
    </w:p>
  </w:footnote>
  <w:footnote w:id="124">
    <w:p w14:paraId="3EA9E7E2" w14:textId="385DB314" w:rsidR="00A22CB2" w:rsidRPr="00C74E4A" w:rsidRDefault="00A22CB2" w:rsidP="00C74E4A">
      <w:pPr>
        <w:pStyle w:val="FootnoteText"/>
        <w:jc w:val="both"/>
        <w:rPr>
          <w:rFonts w:ascii="Times New Roman" w:hAnsi="Times New Roman" w:cs="Times New Roman"/>
        </w:rPr>
      </w:pPr>
      <w:r w:rsidRPr="00C74E4A">
        <w:rPr>
          <w:rStyle w:val="FootnoteReference"/>
          <w:rFonts w:ascii="Times New Roman" w:hAnsi="Times New Roman" w:cs="Times New Roman"/>
        </w:rPr>
        <w:footnoteRef/>
      </w:r>
      <w:r w:rsidR="00B6187C">
        <w:rPr>
          <w:rFonts w:ascii="Times New Roman" w:hAnsi="Times New Roman" w:cs="Times New Roman"/>
        </w:rPr>
        <w:t xml:space="preserve"> Above (n 120</w:t>
      </w:r>
      <w:r w:rsidRPr="00C74E4A">
        <w:rPr>
          <w:rFonts w:ascii="Times New Roman" w:hAnsi="Times New Roman" w:cs="Times New Roman"/>
        </w:rPr>
        <w:t>).</w:t>
      </w:r>
    </w:p>
    <w:p w14:paraId="5B42E8F5" w14:textId="77777777" w:rsidR="00A22CB2" w:rsidRDefault="00A22CB2">
      <w:pPr>
        <w:pStyle w:val="FootnoteText"/>
      </w:pPr>
    </w:p>
  </w:footnote>
  <w:footnote w:id="125">
    <w:p w14:paraId="1C961C31" w14:textId="3FB0BC27" w:rsidR="00A22CB2" w:rsidRPr="00E7436B" w:rsidRDefault="00A22CB2" w:rsidP="00F326FE">
      <w:pPr>
        <w:pStyle w:val="FootnoteText"/>
        <w:jc w:val="both"/>
        <w:rPr>
          <w:rFonts w:ascii="Times New Roman" w:hAnsi="Times New Roman" w:cs="Times New Roman"/>
          <w:color w:val="FF0000"/>
        </w:rPr>
      </w:pPr>
      <w:r w:rsidRPr="004E07E8">
        <w:rPr>
          <w:rStyle w:val="FootnoteReference"/>
          <w:rFonts w:ascii="Times New Roman" w:hAnsi="Times New Roman" w:cs="Times New Roman"/>
        </w:rPr>
        <w:footnoteRef/>
      </w:r>
      <w:r w:rsidRPr="00E7436B">
        <w:rPr>
          <w:rFonts w:ascii="Times New Roman" w:hAnsi="Times New Roman" w:cs="Times New Roman"/>
          <w:color w:val="FF0000"/>
        </w:rPr>
        <w:t xml:space="preserve"> </w:t>
      </w:r>
      <w:r>
        <w:rPr>
          <w:rFonts w:ascii="Times New Roman" w:hAnsi="Times New Roman" w:cs="Times New Roman"/>
        </w:rPr>
        <w:t xml:space="preserve">Mental Capacity Act 2005, s 32 (4) (a) and (b). </w:t>
      </w:r>
    </w:p>
    <w:p w14:paraId="45C4479C" w14:textId="77777777" w:rsidR="00A22CB2" w:rsidRPr="00E7436B" w:rsidRDefault="00A22CB2" w:rsidP="00F326FE">
      <w:pPr>
        <w:pStyle w:val="FootnoteText"/>
        <w:jc w:val="both"/>
        <w:rPr>
          <w:rFonts w:ascii="Times New Roman" w:hAnsi="Times New Roman" w:cs="Times New Roman"/>
          <w:color w:val="FF0000"/>
        </w:rPr>
      </w:pPr>
    </w:p>
  </w:footnote>
  <w:footnote w:id="126">
    <w:p w14:paraId="77528E3E" w14:textId="6D19DA68" w:rsidR="00A22CB2" w:rsidRDefault="00A22CB2" w:rsidP="00F326FE">
      <w:pPr>
        <w:pStyle w:val="FootnoteText"/>
        <w:jc w:val="both"/>
        <w:rPr>
          <w:rFonts w:ascii="Times New Roman" w:hAnsi="Times New Roman" w:cs="Times New Roman"/>
        </w:rPr>
      </w:pPr>
      <w:r w:rsidRPr="008B5AAD">
        <w:rPr>
          <w:rStyle w:val="FootnoteReference"/>
          <w:rFonts w:ascii="Times New Roman" w:hAnsi="Times New Roman" w:cs="Times New Roman"/>
        </w:rPr>
        <w:footnoteRef/>
      </w:r>
      <w:r w:rsidRPr="008B5AAD">
        <w:rPr>
          <w:rFonts w:ascii="Times New Roman" w:hAnsi="Times New Roman" w:cs="Times New Roman"/>
        </w:rPr>
        <w:t xml:space="preserve"> M</w:t>
      </w:r>
      <w:r>
        <w:rPr>
          <w:rFonts w:ascii="Times New Roman" w:hAnsi="Times New Roman" w:cs="Times New Roman"/>
        </w:rPr>
        <w:t>ental Capacity Act 2005, s 32 (2) – (6).</w:t>
      </w:r>
    </w:p>
    <w:p w14:paraId="13DCB721" w14:textId="77777777" w:rsidR="00A22CB2" w:rsidRPr="00302128" w:rsidRDefault="00A22CB2" w:rsidP="00F326FE">
      <w:pPr>
        <w:pStyle w:val="FootnoteText"/>
        <w:jc w:val="both"/>
        <w:rPr>
          <w:rFonts w:ascii="Times New Roman" w:hAnsi="Times New Roman" w:cs="Times New Roman"/>
        </w:rPr>
      </w:pPr>
    </w:p>
  </w:footnote>
  <w:footnote w:id="127">
    <w:p w14:paraId="611A671B" w14:textId="40C3194A" w:rsidR="00A22CB2" w:rsidRDefault="00A22CB2" w:rsidP="00F326FE">
      <w:pPr>
        <w:pStyle w:val="FootnoteText"/>
        <w:jc w:val="both"/>
        <w:rPr>
          <w:rFonts w:ascii="Times New Roman" w:hAnsi="Times New Roman" w:cs="Times New Roman"/>
        </w:rPr>
      </w:pPr>
      <w:r w:rsidRPr="00743957">
        <w:rPr>
          <w:rStyle w:val="FootnoteReference"/>
          <w:rFonts w:ascii="Times New Roman" w:hAnsi="Times New Roman" w:cs="Times New Roman"/>
        </w:rPr>
        <w:footnoteRef/>
      </w:r>
      <w:r w:rsidRPr="00743957">
        <w:rPr>
          <w:rFonts w:ascii="Times New Roman" w:hAnsi="Times New Roman" w:cs="Times New Roman"/>
        </w:rPr>
        <w:t xml:space="preserve"> </w:t>
      </w:r>
      <w:r w:rsidR="00221F38">
        <w:rPr>
          <w:rFonts w:ascii="Times New Roman" w:hAnsi="Times New Roman" w:cs="Times New Roman"/>
        </w:rPr>
        <w:t>Above (n 90</w:t>
      </w:r>
      <w:r>
        <w:rPr>
          <w:rFonts w:ascii="Times New Roman" w:hAnsi="Times New Roman" w:cs="Times New Roman"/>
        </w:rPr>
        <w:t>).</w:t>
      </w:r>
    </w:p>
    <w:p w14:paraId="040C6DA6" w14:textId="77777777" w:rsidR="00A22CB2" w:rsidRPr="00E7436B" w:rsidRDefault="00A22CB2" w:rsidP="00F326FE">
      <w:pPr>
        <w:pStyle w:val="FootnoteText"/>
        <w:jc w:val="both"/>
        <w:rPr>
          <w:rFonts w:ascii="Times New Roman" w:hAnsi="Times New Roman" w:cs="Times New Roman"/>
          <w:color w:val="FF0000"/>
        </w:rPr>
      </w:pPr>
    </w:p>
  </w:footnote>
  <w:footnote w:id="128">
    <w:p w14:paraId="20519BC2" w14:textId="6DCBB5AC" w:rsidR="00A22CB2" w:rsidRPr="003F6A67" w:rsidRDefault="00A22CB2" w:rsidP="003F6A67">
      <w:pPr>
        <w:pStyle w:val="FootnoteText"/>
        <w:jc w:val="both"/>
        <w:rPr>
          <w:rFonts w:ascii="Times New Roman" w:hAnsi="Times New Roman" w:cs="Times New Roman"/>
          <w:color w:val="FF0000"/>
        </w:rPr>
      </w:pPr>
      <w:r w:rsidRPr="003F6A67">
        <w:rPr>
          <w:rStyle w:val="FootnoteReference"/>
          <w:rFonts w:ascii="Times New Roman" w:hAnsi="Times New Roman" w:cs="Times New Roman"/>
          <w:color w:val="FF0000"/>
        </w:rPr>
        <w:footnoteRef/>
      </w:r>
      <w:r w:rsidRPr="003F6A67">
        <w:rPr>
          <w:rFonts w:ascii="Times New Roman" w:hAnsi="Times New Roman" w:cs="Times New Roman"/>
          <w:color w:val="FF0000"/>
        </w:rPr>
        <w:t xml:space="preserve"> </w:t>
      </w:r>
      <w:r w:rsidRPr="00FF6F0C">
        <w:rPr>
          <w:rFonts w:ascii="Times New Roman" w:hAnsi="Times New Roman" w:cs="Times New Roman"/>
          <w:i/>
          <w:color w:val="FF0000"/>
        </w:rPr>
        <w:t>CC v KK and STCC</w:t>
      </w:r>
      <w:r>
        <w:rPr>
          <w:rFonts w:ascii="Times New Roman" w:hAnsi="Times New Roman" w:cs="Times New Roman"/>
          <w:color w:val="FF0000"/>
        </w:rPr>
        <w:t xml:space="preserve"> [2012] EWHC 2136; [2012] 7 WLUK 861.</w:t>
      </w:r>
    </w:p>
    <w:p w14:paraId="1CDD6C80" w14:textId="77777777" w:rsidR="00A22CB2" w:rsidRPr="00FF6F0C" w:rsidRDefault="00A22CB2" w:rsidP="00FF6F0C">
      <w:pPr>
        <w:pStyle w:val="FootnoteText"/>
        <w:jc w:val="both"/>
        <w:rPr>
          <w:rFonts w:ascii="Times New Roman" w:hAnsi="Times New Roman" w:cs="Times New Roman"/>
          <w:color w:val="FF0000"/>
        </w:rPr>
      </w:pPr>
    </w:p>
  </w:footnote>
  <w:footnote w:id="129">
    <w:p w14:paraId="07A1EA64" w14:textId="369DB3F0" w:rsidR="00A22CB2" w:rsidRPr="00FF6F0C" w:rsidRDefault="00A22CB2" w:rsidP="00FF6F0C">
      <w:pPr>
        <w:pStyle w:val="FootnoteText"/>
        <w:jc w:val="both"/>
        <w:rPr>
          <w:rFonts w:ascii="Times New Roman" w:hAnsi="Times New Roman" w:cs="Times New Roman"/>
          <w:color w:val="FF0000"/>
        </w:rPr>
      </w:pPr>
      <w:r w:rsidRPr="00FF6F0C">
        <w:rPr>
          <w:rStyle w:val="FootnoteReference"/>
          <w:rFonts w:ascii="Times New Roman" w:hAnsi="Times New Roman" w:cs="Times New Roman"/>
          <w:color w:val="FF0000"/>
        </w:rPr>
        <w:footnoteRef/>
      </w:r>
      <w:r w:rsidRPr="00FF6F0C">
        <w:rPr>
          <w:rFonts w:ascii="Times New Roman" w:hAnsi="Times New Roman" w:cs="Times New Roman"/>
          <w:color w:val="FF0000"/>
        </w:rPr>
        <w:t xml:space="preserve"> Ibid at [68].</w:t>
      </w:r>
    </w:p>
    <w:p w14:paraId="5196554E" w14:textId="77777777" w:rsidR="00A22CB2" w:rsidRDefault="00A22CB2">
      <w:pPr>
        <w:pStyle w:val="FootnoteText"/>
      </w:pPr>
    </w:p>
  </w:footnote>
  <w:footnote w:id="130">
    <w:p w14:paraId="675D4ACC" w14:textId="3B103CEC" w:rsidR="00A22CB2" w:rsidRPr="003F6A67" w:rsidRDefault="00A22CB2" w:rsidP="003F6A67">
      <w:pPr>
        <w:pStyle w:val="FootnoteText"/>
        <w:jc w:val="both"/>
        <w:rPr>
          <w:rFonts w:ascii="Times New Roman" w:hAnsi="Times New Roman" w:cs="Times New Roman"/>
          <w:color w:val="FF0000"/>
        </w:rPr>
      </w:pPr>
      <w:r w:rsidRPr="003F6A67">
        <w:rPr>
          <w:rStyle w:val="FootnoteReference"/>
          <w:rFonts w:ascii="Times New Roman" w:hAnsi="Times New Roman" w:cs="Times New Roman"/>
          <w:color w:val="FF0000"/>
        </w:rPr>
        <w:footnoteRef/>
      </w:r>
      <w:r w:rsidRPr="003F6A67">
        <w:rPr>
          <w:rFonts w:ascii="Times New Roman" w:hAnsi="Times New Roman" w:cs="Times New Roman"/>
          <w:color w:val="FF0000"/>
        </w:rPr>
        <w:t xml:space="preserve"> </w:t>
      </w:r>
      <w:r>
        <w:rPr>
          <w:rFonts w:ascii="Times New Roman" w:hAnsi="Times New Roman" w:cs="Times New Roman"/>
          <w:color w:val="FF0000"/>
        </w:rPr>
        <w:t>Ibid at [69].</w:t>
      </w:r>
    </w:p>
    <w:p w14:paraId="46AC8527" w14:textId="77777777" w:rsidR="00A22CB2" w:rsidRPr="003F6A67" w:rsidRDefault="00A22CB2" w:rsidP="003F6A67">
      <w:pPr>
        <w:pStyle w:val="FootnoteText"/>
        <w:jc w:val="both"/>
        <w:rPr>
          <w:rFonts w:ascii="Times New Roman" w:hAnsi="Times New Roman" w:cs="Times New Roman"/>
          <w:color w:val="FF0000"/>
        </w:rPr>
      </w:pPr>
    </w:p>
  </w:footnote>
  <w:footnote w:id="131">
    <w:p w14:paraId="0F091561" w14:textId="5F910D6A" w:rsidR="00A22CB2" w:rsidRDefault="00A22CB2" w:rsidP="003F6A67">
      <w:pPr>
        <w:pStyle w:val="FootnoteText"/>
        <w:jc w:val="both"/>
        <w:rPr>
          <w:rFonts w:ascii="Times New Roman" w:hAnsi="Times New Roman" w:cs="Times New Roman"/>
          <w:color w:val="FF0000"/>
        </w:rPr>
      </w:pPr>
      <w:r w:rsidRPr="003F6A67">
        <w:rPr>
          <w:rStyle w:val="FootnoteReference"/>
          <w:rFonts w:ascii="Times New Roman" w:hAnsi="Times New Roman" w:cs="Times New Roman"/>
          <w:color w:val="FF0000"/>
        </w:rPr>
        <w:footnoteRef/>
      </w:r>
      <w:r w:rsidRPr="003F6A67">
        <w:rPr>
          <w:rFonts w:ascii="Times New Roman" w:hAnsi="Times New Roman" w:cs="Times New Roman"/>
          <w:color w:val="FF0000"/>
        </w:rPr>
        <w:t xml:space="preserve"> </w:t>
      </w:r>
      <w:r>
        <w:rPr>
          <w:rFonts w:ascii="Times New Roman" w:hAnsi="Times New Roman" w:cs="Times New Roman"/>
          <w:color w:val="FF0000"/>
        </w:rPr>
        <w:t>Ibid at [75].</w:t>
      </w:r>
    </w:p>
    <w:p w14:paraId="5EFCDA7B" w14:textId="77777777" w:rsidR="00A22CB2" w:rsidRPr="003F6A67" w:rsidRDefault="00A22CB2" w:rsidP="003F6A67">
      <w:pPr>
        <w:pStyle w:val="FootnoteText"/>
        <w:jc w:val="both"/>
        <w:rPr>
          <w:rFonts w:ascii="Times New Roman" w:hAnsi="Times New Roman" w:cs="Times New Roman"/>
          <w:color w:val="FF0000"/>
        </w:rPr>
      </w:pPr>
    </w:p>
  </w:footnote>
  <w:footnote w:id="132">
    <w:p w14:paraId="11D9026B" w14:textId="1E5097CC" w:rsidR="00A22CB2" w:rsidRPr="00964661" w:rsidRDefault="00A22CB2" w:rsidP="00964661">
      <w:pPr>
        <w:pStyle w:val="FootnoteText"/>
        <w:rPr>
          <w:rFonts w:ascii="Times New Roman" w:hAnsi="Times New Roman" w:cs="Times New Roman"/>
        </w:rPr>
      </w:pPr>
      <w:r w:rsidRPr="00964661">
        <w:rPr>
          <w:rStyle w:val="FootnoteReference"/>
          <w:rFonts w:ascii="Times New Roman" w:hAnsi="Times New Roman" w:cs="Times New Roman"/>
          <w:color w:val="FF0000"/>
        </w:rPr>
        <w:footnoteRef/>
      </w:r>
      <w:r w:rsidRPr="00964661">
        <w:rPr>
          <w:rFonts w:ascii="Times New Roman" w:hAnsi="Times New Roman" w:cs="Times New Roman"/>
          <w:color w:val="FF0000"/>
        </w:rPr>
        <w:t xml:space="preserve"> Ibid. </w:t>
      </w:r>
    </w:p>
  </w:footnote>
  <w:footnote w:id="133">
    <w:p w14:paraId="07E73827" w14:textId="0D1054EA" w:rsidR="00A22CB2" w:rsidRDefault="00A22CB2" w:rsidP="00F326FE">
      <w:pPr>
        <w:pStyle w:val="FootnoteText"/>
        <w:jc w:val="both"/>
        <w:rPr>
          <w:rFonts w:ascii="Times New Roman" w:hAnsi="Times New Roman" w:cs="Times New Roman"/>
          <w:color w:val="FF0000"/>
        </w:rPr>
      </w:pPr>
      <w:r w:rsidRPr="004E07E8">
        <w:rPr>
          <w:rStyle w:val="FootnoteReference"/>
          <w:rFonts w:ascii="Times New Roman" w:hAnsi="Times New Roman" w:cs="Times New Roman"/>
        </w:rPr>
        <w:footnoteRef/>
      </w:r>
      <w:r w:rsidRPr="00E7436B">
        <w:rPr>
          <w:rFonts w:ascii="Times New Roman" w:hAnsi="Times New Roman" w:cs="Times New Roman"/>
          <w:color w:val="FF0000"/>
        </w:rPr>
        <w:t xml:space="preserve"> </w:t>
      </w:r>
      <w:r>
        <w:rPr>
          <w:rFonts w:ascii="Times New Roman" w:hAnsi="Times New Roman" w:cs="Times New Roman"/>
        </w:rPr>
        <w:t xml:space="preserve">Mental Capacity Act 2005, s 31. </w:t>
      </w:r>
    </w:p>
    <w:p w14:paraId="46964676" w14:textId="77777777" w:rsidR="00A22CB2" w:rsidRPr="00E7436B" w:rsidRDefault="00A22CB2" w:rsidP="00F326FE">
      <w:pPr>
        <w:pStyle w:val="FootnoteText"/>
        <w:jc w:val="both"/>
        <w:rPr>
          <w:rFonts w:ascii="Times New Roman" w:hAnsi="Times New Roman" w:cs="Times New Roman"/>
          <w:color w:val="FF0000"/>
        </w:rPr>
      </w:pPr>
    </w:p>
  </w:footnote>
  <w:footnote w:id="134">
    <w:p w14:paraId="4C61DCE6" w14:textId="72D892A6" w:rsidR="00A22CB2" w:rsidRPr="00C57DC7" w:rsidRDefault="00A22CB2" w:rsidP="00C57DC7">
      <w:pPr>
        <w:pStyle w:val="FootnoteText"/>
        <w:jc w:val="both"/>
        <w:rPr>
          <w:rFonts w:ascii="Times New Roman" w:hAnsi="Times New Roman" w:cs="Times New Roman"/>
        </w:rPr>
      </w:pPr>
      <w:r w:rsidRPr="00C57DC7">
        <w:rPr>
          <w:rStyle w:val="FootnoteReference"/>
          <w:rFonts w:ascii="Times New Roman" w:hAnsi="Times New Roman" w:cs="Times New Roman"/>
        </w:rPr>
        <w:footnoteRef/>
      </w:r>
      <w:r w:rsidRPr="00C57DC7">
        <w:rPr>
          <w:rFonts w:ascii="Times New Roman" w:hAnsi="Times New Roman" w:cs="Times New Roman"/>
        </w:rPr>
        <w:t xml:space="preserve">  HL Deb 18</w:t>
      </w:r>
      <w:r>
        <w:rPr>
          <w:rFonts w:ascii="Times New Roman" w:hAnsi="Times New Roman" w:cs="Times New Roman"/>
        </w:rPr>
        <w:t xml:space="preserve"> June 2004, vol 422, cols 69 - 70</w:t>
      </w:r>
      <w:r w:rsidRPr="00C57DC7">
        <w:rPr>
          <w:rFonts w:ascii="Times New Roman" w:hAnsi="Times New Roman" w:cs="Times New Roman"/>
        </w:rPr>
        <w:t xml:space="preserve">: </w:t>
      </w:r>
      <w:hyperlink r:id="rId12" w:anchor="S6CV0422P2_20040618_CWS_5" w:history="1">
        <w:r w:rsidRPr="003B0F8D">
          <w:rPr>
            <w:rStyle w:val="Hyperlink"/>
            <w:rFonts w:ascii="Times New Roman" w:hAnsi="Times New Roman" w:cs="Times New Roman"/>
          </w:rPr>
          <w:t>https://api.parliament.uk/historic-hansard/written-statements/2004/jun/18/mental-capacity-bill#S6CV0422P2_20040618_CWS_5</w:t>
        </w:r>
      </w:hyperlink>
      <w:r w:rsidRPr="00C57DC7">
        <w:rPr>
          <w:rFonts w:ascii="Times New Roman" w:hAnsi="Times New Roman" w:cs="Times New Roman"/>
        </w:rPr>
        <w:t>.</w:t>
      </w:r>
      <w:r>
        <w:rPr>
          <w:rFonts w:ascii="Times New Roman" w:hAnsi="Times New Roman" w:cs="Times New Roman"/>
        </w:rPr>
        <w:t xml:space="preserve"> </w:t>
      </w:r>
      <w:r w:rsidRPr="00C57DC7">
        <w:rPr>
          <w:rFonts w:ascii="Times New Roman" w:hAnsi="Times New Roman" w:cs="Times New Roman"/>
        </w:rPr>
        <w:t>&lt;Accessed 26th February 2019&gt;.</w:t>
      </w:r>
    </w:p>
    <w:p w14:paraId="61644E40" w14:textId="77777777" w:rsidR="00A22CB2" w:rsidRPr="00E7436B" w:rsidRDefault="00A22CB2" w:rsidP="00F326FE">
      <w:pPr>
        <w:pStyle w:val="FootnoteText"/>
        <w:jc w:val="both"/>
        <w:rPr>
          <w:rFonts w:ascii="Times New Roman" w:hAnsi="Times New Roman" w:cs="Times New Roman"/>
          <w:color w:val="FF0000"/>
        </w:rPr>
      </w:pPr>
    </w:p>
  </w:footnote>
  <w:footnote w:id="135">
    <w:p w14:paraId="021A6394" w14:textId="448F9689" w:rsidR="00A22CB2" w:rsidRDefault="00A22CB2" w:rsidP="00F326FE">
      <w:pPr>
        <w:pStyle w:val="FootnoteText"/>
        <w:jc w:val="both"/>
        <w:rPr>
          <w:rFonts w:ascii="Times New Roman" w:hAnsi="Times New Roman" w:cs="Times New Roman"/>
        </w:rPr>
      </w:pPr>
      <w:r w:rsidRPr="002F690E">
        <w:rPr>
          <w:rStyle w:val="FootnoteReference"/>
          <w:rFonts w:ascii="Times New Roman" w:hAnsi="Times New Roman" w:cs="Times New Roman"/>
        </w:rPr>
        <w:footnoteRef/>
      </w:r>
      <w:r w:rsidRPr="002F690E">
        <w:rPr>
          <w:rFonts w:ascii="Times New Roman" w:hAnsi="Times New Roman" w:cs="Times New Roman"/>
        </w:rPr>
        <w:t xml:space="preserve"> See UK Research Integrity Office, </w:t>
      </w:r>
      <w:r w:rsidRPr="002F690E">
        <w:rPr>
          <w:rFonts w:ascii="Times New Roman" w:hAnsi="Times New Roman" w:cs="Times New Roman"/>
          <w:i/>
        </w:rPr>
        <w:t xml:space="preserve">Code of Practice for Research: Promoting Good Practice and Preventing Misconduct </w:t>
      </w:r>
      <w:r w:rsidRPr="002F690E">
        <w:rPr>
          <w:rFonts w:ascii="Times New Roman" w:hAnsi="Times New Roman" w:cs="Times New Roman"/>
        </w:rPr>
        <w:t>(UK Research Integrity Office 2009).</w:t>
      </w:r>
    </w:p>
    <w:p w14:paraId="538EDD23" w14:textId="77777777" w:rsidR="00A22CB2" w:rsidRPr="002F690E" w:rsidRDefault="00A22CB2" w:rsidP="00F326FE">
      <w:pPr>
        <w:pStyle w:val="FootnoteText"/>
        <w:jc w:val="both"/>
        <w:rPr>
          <w:rFonts w:ascii="Times New Roman" w:hAnsi="Times New Roman" w:cs="Times New Roman"/>
        </w:rPr>
      </w:pPr>
    </w:p>
  </w:footnote>
  <w:footnote w:id="136">
    <w:p w14:paraId="496AD432" w14:textId="12A3442C" w:rsidR="00A22CB2" w:rsidRPr="002F690E" w:rsidRDefault="00A22CB2" w:rsidP="00F326FE">
      <w:pPr>
        <w:pStyle w:val="FootnoteText"/>
        <w:jc w:val="both"/>
        <w:rPr>
          <w:rFonts w:ascii="Times New Roman" w:hAnsi="Times New Roman" w:cs="Times New Roman"/>
        </w:rPr>
      </w:pPr>
      <w:r w:rsidRPr="002F690E">
        <w:rPr>
          <w:rStyle w:val="FootnoteReference"/>
          <w:rFonts w:ascii="Times New Roman" w:hAnsi="Times New Roman" w:cs="Times New Roman"/>
        </w:rPr>
        <w:footnoteRef/>
      </w:r>
      <w:r w:rsidRPr="002F690E">
        <w:rPr>
          <w:rFonts w:ascii="Times New Roman" w:hAnsi="Times New Roman" w:cs="Times New Roman"/>
        </w:rPr>
        <w:t xml:space="preserve"> See, amongst others, the Health Research Authority: </w:t>
      </w:r>
      <w:hyperlink r:id="rId13" w:history="1">
        <w:r w:rsidRPr="002F690E">
          <w:rPr>
            <w:rStyle w:val="Hyperlink"/>
            <w:rFonts w:ascii="Times New Roman" w:hAnsi="Times New Roman" w:cs="Times New Roman"/>
            <w:color w:val="auto"/>
          </w:rPr>
          <w:t>https://www.hra.nhs.uk/about-us/committees-and-services/res-and-recs/research-ethics-committees-overview/</w:t>
        </w:r>
      </w:hyperlink>
      <w:r w:rsidRPr="002F690E">
        <w:rPr>
          <w:rFonts w:ascii="Times New Roman" w:hAnsi="Times New Roman" w:cs="Times New Roman"/>
        </w:rPr>
        <w:t xml:space="preserve">; the British Psychological Society: </w:t>
      </w:r>
      <w:hyperlink r:id="rId14" w:history="1">
        <w:r w:rsidRPr="002F690E">
          <w:rPr>
            <w:rStyle w:val="Hyperlink"/>
            <w:rFonts w:ascii="Times New Roman" w:hAnsi="Times New Roman" w:cs="Times New Roman"/>
            <w:color w:val="auto"/>
          </w:rPr>
          <w:t>https://www.bps.org.uk/news-and-policy/bps-code-ethics-and-conduct</w:t>
        </w:r>
      </w:hyperlink>
      <w:r w:rsidRPr="002F690E">
        <w:rPr>
          <w:rFonts w:ascii="Times New Roman" w:hAnsi="Times New Roman" w:cs="Times New Roman"/>
        </w:rPr>
        <w:t xml:space="preserve">. </w:t>
      </w:r>
    </w:p>
    <w:p w14:paraId="225B5B2F" w14:textId="77777777" w:rsidR="00A22CB2" w:rsidRPr="00E7436B" w:rsidRDefault="00A22CB2" w:rsidP="00F326FE">
      <w:pPr>
        <w:pStyle w:val="FootnoteText"/>
        <w:jc w:val="both"/>
        <w:rPr>
          <w:rFonts w:ascii="Times New Roman" w:hAnsi="Times New Roman" w:cs="Times New Roman"/>
          <w:color w:val="FF0000"/>
        </w:rPr>
      </w:pPr>
    </w:p>
  </w:footnote>
  <w:footnote w:id="137">
    <w:p w14:paraId="25C5DC76" w14:textId="04FBE4B9" w:rsidR="00A22CB2" w:rsidRDefault="00A22CB2" w:rsidP="008D4D3A">
      <w:pPr>
        <w:pStyle w:val="FootnoteText"/>
        <w:jc w:val="both"/>
        <w:rPr>
          <w:rFonts w:ascii="Times New Roman" w:hAnsi="Times New Roman" w:cs="Times New Roman"/>
        </w:rPr>
      </w:pPr>
      <w:r w:rsidRPr="008D4D3A">
        <w:rPr>
          <w:rStyle w:val="FootnoteReference"/>
          <w:rFonts w:ascii="Times New Roman" w:hAnsi="Times New Roman" w:cs="Times New Roman"/>
        </w:rPr>
        <w:footnoteRef/>
      </w:r>
      <w:r w:rsidRPr="008D4D3A">
        <w:rPr>
          <w:rFonts w:ascii="Times New Roman" w:hAnsi="Times New Roman" w:cs="Times New Roman"/>
        </w:rPr>
        <w:t xml:space="preserve"> For a list of the types of research that require ethical approval by law, see Health Research Authority, Governance Arrangements for Research Ethics Committees (HRA 2018) at [2.3].</w:t>
      </w:r>
      <w:r>
        <w:rPr>
          <w:rFonts w:ascii="Times New Roman" w:hAnsi="Times New Roman" w:cs="Times New Roman"/>
        </w:rPr>
        <w:t xml:space="preserve"> It should be noted that most reputable academic journals require proof of ethical approval where human participants have been involved.</w:t>
      </w:r>
    </w:p>
    <w:p w14:paraId="4E823EA9" w14:textId="77777777" w:rsidR="00A22CB2" w:rsidRPr="008D4D3A" w:rsidRDefault="00A22CB2" w:rsidP="008D4D3A">
      <w:pPr>
        <w:pStyle w:val="FootnoteText"/>
        <w:jc w:val="both"/>
        <w:rPr>
          <w:rFonts w:ascii="Times New Roman" w:hAnsi="Times New Roman" w:cs="Times New Roman"/>
          <w:color w:val="FF0000"/>
        </w:rPr>
      </w:pPr>
    </w:p>
  </w:footnote>
  <w:footnote w:id="138">
    <w:p w14:paraId="7EBAA38F" w14:textId="5DEF835B" w:rsidR="00A22CB2" w:rsidRPr="009E198C" w:rsidRDefault="00A22CB2" w:rsidP="009E198C">
      <w:pPr>
        <w:pStyle w:val="FootnoteText"/>
        <w:jc w:val="both"/>
        <w:rPr>
          <w:rFonts w:ascii="Times New Roman" w:hAnsi="Times New Roman" w:cs="Times New Roman"/>
        </w:rPr>
      </w:pPr>
      <w:r w:rsidRPr="009E198C">
        <w:rPr>
          <w:rStyle w:val="FootnoteReference"/>
          <w:rFonts w:ascii="Times New Roman" w:hAnsi="Times New Roman" w:cs="Times New Roman"/>
        </w:rPr>
        <w:footnoteRef/>
      </w:r>
      <w:r w:rsidRPr="009E198C">
        <w:rPr>
          <w:rFonts w:ascii="Times New Roman" w:hAnsi="Times New Roman" w:cs="Times New Roman"/>
        </w:rPr>
        <w:t xml:space="preserve"> </w:t>
      </w:r>
      <w:r>
        <w:rPr>
          <w:rFonts w:ascii="Times New Roman" w:hAnsi="Times New Roman" w:cs="Times New Roman"/>
        </w:rPr>
        <w:t xml:space="preserve">See HRA Guidance: </w:t>
      </w:r>
      <w:hyperlink r:id="rId15" w:history="1">
        <w:r w:rsidRPr="00A935F8">
          <w:rPr>
            <w:rStyle w:val="Hyperlink"/>
            <w:rFonts w:ascii="Times New Roman" w:hAnsi="Times New Roman" w:cs="Times New Roman"/>
          </w:rPr>
          <w:t>https://www.hra.nhs.uk/about-us/committees-and-services/res-and-recs/become-rec-member/</w:t>
        </w:r>
      </w:hyperlink>
      <w:r>
        <w:rPr>
          <w:rFonts w:ascii="Times New Roman" w:hAnsi="Times New Roman" w:cs="Times New Roman"/>
        </w:rPr>
        <w:t>. &lt;accessed 26</w:t>
      </w:r>
      <w:r w:rsidRPr="009E198C">
        <w:rPr>
          <w:rFonts w:ascii="Times New Roman" w:hAnsi="Times New Roman" w:cs="Times New Roman"/>
          <w:vertAlign w:val="superscript"/>
        </w:rPr>
        <w:t>th</w:t>
      </w:r>
      <w:r>
        <w:rPr>
          <w:rFonts w:ascii="Times New Roman" w:hAnsi="Times New Roman" w:cs="Times New Roman"/>
        </w:rPr>
        <w:t xml:space="preserve"> March 2019&gt;.</w:t>
      </w:r>
    </w:p>
    <w:p w14:paraId="4CEC5750" w14:textId="77777777" w:rsidR="00A22CB2" w:rsidRDefault="00A22CB2">
      <w:pPr>
        <w:pStyle w:val="FootnoteText"/>
      </w:pPr>
    </w:p>
  </w:footnote>
  <w:footnote w:id="139">
    <w:p w14:paraId="32A77229" w14:textId="6E6B7D36" w:rsidR="00A22CB2" w:rsidRDefault="00A22CB2" w:rsidP="00F326FE">
      <w:pPr>
        <w:pStyle w:val="FootnoteText"/>
        <w:jc w:val="both"/>
        <w:rPr>
          <w:rFonts w:ascii="Times New Roman" w:hAnsi="Times New Roman" w:cs="Times New Roman"/>
        </w:rPr>
      </w:pPr>
      <w:r w:rsidRPr="00BC0E87">
        <w:rPr>
          <w:rStyle w:val="FootnoteReference"/>
          <w:rFonts w:ascii="Times New Roman" w:hAnsi="Times New Roman" w:cs="Times New Roman"/>
        </w:rPr>
        <w:footnoteRef/>
      </w:r>
      <w:r w:rsidR="008A36ED">
        <w:rPr>
          <w:rFonts w:ascii="Times New Roman" w:hAnsi="Times New Roman" w:cs="Times New Roman"/>
        </w:rPr>
        <w:t xml:space="preserve"> Case (n 99</w:t>
      </w:r>
      <w:r w:rsidRPr="00BC0E87">
        <w:rPr>
          <w:rFonts w:ascii="Times New Roman" w:hAnsi="Times New Roman" w:cs="Times New Roman"/>
        </w:rPr>
        <w:t xml:space="preserve">). </w:t>
      </w:r>
    </w:p>
    <w:p w14:paraId="4A39CD63" w14:textId="77777777" w:rsidR="00A22CB2" w:rsidRPr="00E7436B" w:rsidRDefault="00A22CB2" w:rsidP="00F326FE">
      <w:pPr>
        <w:pStyle w:val="FootnoteText"/>
        <w:jc w:val="both"/>
        <w:rPr>
          <w:rFonts w:ascii="Times New Roman" w:hAnsi="Times New Roman" w:cs="Times New Roman"/>
          <w:color w:val="FF0000"/>
        </w:rPr>
      </w:pPr>
    </w:p>
  </w:footnote>
  <w:footnote w:id="140">
    <w:p w14:paraId="3329BFB5" w14:textId="6E7F5F83" w:rsidR="00A22CB2" w:rsidRDefault="00A22CB2" w:rsidP="00F326FE">
      <w:pPr>
        <w:pStyle w:val="FootnoteText"/>
        <w:jc w:val="both"/>
        <w:rPr>
          <w:rFonts w:ascii="Times New Roman" w:hAnsi="Times New Roman" w:cs="Times New Roman"/>
        </w:rPr>
      </w:pPr>
      <w:r w:rsidRPr="00055E7A">
        <w:rPr>
          <w:rStyle w:val="FootnoteReference"/>
          <w:rFonts w:ascii="Times New Roman" w:hAnsi="Times New Roman" w:cs="Times New Roman"/>
        </w:rPr>
        <w:footnoteRef/>
      </w:r>
      <w:r w:rsidRPr="00055E7A">
        <w:rPr>
          <w:rFonts w:ascii="Times New Roman" w:hAnsi="Times New Roman" w:cs="Times New Roman"/>
        </w:rPr>
        <w:t xml:space="preserve"> </w:t>
      </w:r>
      <w:r w:rsidR="008A36ED">
        <w:rPr>
          <w:rFonts w:ascii="Times New Roman" w:hAnsi="Times New Roman" w:cs="Times New Roman"/>
        </w:rPr>
        <w:t>Gunn (n 97</w:t>
      </w:r>
      <w:r>
        <w:rPr>
          <w:rFonts w:ascii="Times New Roman" w:hAnsi="Times New Roman" w:cs="Times New Roman"/>
        </w:rPr>
        <w:t xml:space="preserve">); </w:t>
      </w:r>
      <w:r w:rsidRPr="0019533D">
        <w:rPr>
          <w:rFonts w:ascii="Times New Roman" w:hAnsi="Times New Roman" w:cs="Times New Roman"/>
        </w:rPr>
        <w:t xml:space="preserve">Palmer </w:t>
      </w:r>
      <w:r w:rsidR="008A36ED">
        <w:rPr>
          <w:rFonts w:ascii="Times New Roman" w:hAnsi="Times New Roman" w:cs="Times New Roman"/>
        </w:rPr>
        <w:t>(n 105</w:t>
      </w:r>
      <w:r>
        <w:rPr>
          <w:rFonts w:ascii="Times New Roman" w:hAnsi="Times New Roman" w:cs="Times New Roman"/>
        </w:rPr>
        <w:t xml:space="preserve">). </w:t>
      </w:r>
    </w:p>
    <w:p w14:paraId="7D65954B" w14:textId="77777777" w:rsidR="00A22CB2" w:rsidRPr="00E7436B" w:rsidRDefault="00A22CB2" w:rsidP="00F326FE">
      <w:pPr>
        <w:pStyle w:val="FootnoteText"/>
        <w:jc w:val="both"/>
        <w:rPr>
          <w:rFonts w:ascii="Times New Roman" w:hAnsi="Times New Roman" w:cs="Times New Roman"/>
          <w:color w:val="FF0000"/>
        </w:rPr>
      </w:pPr>
    </w:p>
  </w:footnote>
  <w:footnote w:id="141">
    <w:p w14:paraId="0B5D84B6" w14:textId="39D9F079" w:rsidR="00A22CB2" w:rsidRDefault="00A22CB2" w:rsidP="00857E04">
      <w:pPr>
        <w:pStyle w:val="FootnoteText"/>
        <w:jc w:val="both"/>
        <w:rPr>
          <w:rFonts w:ascii="Times New Roman" w:hAnsi="Times New Roman" w:cs="Times New Roman"/>
          <w:color w:val="FF0000"/>
        </w:rPr>
      </w:pPr>
      <w:r w:rsidRPr="00055E7A">
        <w:rPr>
          <w:rStyle w:val="FootnoteReference"/>
          <w:rFonts w:ascii="Times New Roman" w:hAnsi="Times New Roman" w:cs="Times New Roman"/>
        </w:rPr>
        <w:footnoteRef/>
      </w:r>
      <w:r w:rsidRPr="00055E7A">
        <w:rPr>
          <w:rFonts w:ascii="Times New Roman" w:hAnsi="Times New Roman" w:cs="Times New Roman"/>
        </w:rPr>
        <w:t xml:space="preserve"> </w:t>
      </w:r>
      <w:r w:rsidRPr="005934DB">
        <w:rPr>
          <w:rFonts w:ascii="Times New Roman" w:hAnsi="Times New Roman" w:cs="Times New Roman"/>
        </w:rPr>
        <w:t>Bartlett</w:t>
      </w:r>
      <w:r w:rsidRPr="00857E04">
        <w:rPr>
          <w:rFonts w:ascii="Times New Roman" w:hAnsi="Times New Roman" w:cs="Times New Roman"/>
          <w:color w:val="FF0000"/>
        </w:rPr>
        <w:t xml:space="preserve"> </w:t>
      </w:r>
      <w:r>
        <w:rPr>
          <w:rFonts w:ascii="Times New Roman" w:hAnsi="Times New Roman" w:cs="Times New Roman"/>
        </w:rPr>
        <w:t>(n 12</w:t>
      </w:r>
      <w:r w:rsidRPr="00055E7A">
        <w:rPr>
          <w:rFonts w:ascii="Times New Roman" w:hAnsi="Times New Roman" w:cs="Times New Roman"/>
        </w:rPr>
        <w:t>)</w:t>
      </w:r>
      <w:r>
        <w:rPr>
          <w:rFonts w:ascii="Times New Roman" w:hAnsi="Times New Roman" w:cs="Times New Roman"/>
        </w:rPr>
        <w:t xml:space="preserve"> at 90</w:t>
      </w:r>
      <w:r w:rsidRPr="00055E7A">
        <w:rPr>
          <w:rFonts w:ascii="Times New Roman" w:hAnsi="Times New Roman" w:cs="Times New Roman"/>
        </w:rPr>
        <w:t xml:space="preserve">. </w:t>
      </w:r>
    </w:p>
    <w:p w14:paraId="79A6BB28" w14:textId="77777777" w:rsidR="00A22CB2" w:rsidRPr="008D4D3A" w:rsidRDefault="00A22CB2" w:rsidP="00857E04">
      <w:pPr>
        <w:pStyle w:val="FootnoteText"/>
        <w:jc w:val="both"/>
        <w:rPr>
          <w:rFonts w:ascii="Times New Roman" w:hAnsi="Times New Roman" w:cs="Times New Roman"/>
          <w:color w:val="FF0000"/>
        </w:rPr>
      </w:pPr>
    </w:p>
  </w:footnote>
  <w:footnote w:id="142">
    <w:p w14:paraId="668909C0" w14:textId="7B6847A0" w:rsidR="00A22CB2" w:rsidRDefault="00A22CB2" w:rsidP="00F326FE">
      <w:pPr>
        <w:pStyle w:val="FootnoteText"/>
        <w:jc w:val="both"/>
        <w:rPr>
          <w:rFonts w:ascii="Times New Roman" w:hAnsi="Times New Roman" w:cs="Times New Roman"/>
          <w:color w:val="FF0000"/>
        </w:rPr>
      </w:pPr>
      <w:r w:rsidRPr="006B7DD6">
        <w:rPr>
          <w:rStyle w:val="FootnoteReference"/>
          <w:rFonts w:ascii="Times New Roman" w:hAnsi="Times New Roman" w:cs="Times New Roman"/>
        </w:rPr>
        <w:footnoteRef/>
      </w:r>
      <w:r w:rsidRPr="006B7DD6">
        <w:rPr>
          <w:rFonts w:ascii="Times New Roman" w:hAnsi="Times New Roman" w:cs="Times New Roman"/>
        </w:rPr>
        <w:t xml:space="preserve"> </w:t>
      </w:r>
      <w:r>
        <w:rPr>
          <w:rFonts w:ascii="Times New Roman" w:hAnsi="Times New Roman" w:cs="Times New Roman"/>
        </w:rPr>
        <w:t xml:space="preserve">McHale (n 5); Dixon-Woods (n 95). See also the details of the ASSENT Project @ </w:t>
      </w:r>
      <w:r w:rsidR="008A36ED" w:rsidRPr="008A36ED">
        <w:rPr>
          <w:rFonts w:ascii="Times New Roman" w:hAnsi="Times New Roman" w:cs="Times New Roman"/>
        </w:rPr>
        <w:t>UEA</w:t>
      </w:r>
      <w:r w:rsidR="008A36ED">
        <w:rPr>
          <w:rFonts w:ascii="Times New Roman" w:hAnsi="Times New Roman" w:cs="Times New Roman"/>
        </w:rPr>
        <w:t>, above (n 45</w:t>
      </w:r>
      <w:r>
        <w:rPr>
          <w:rFonts w:ascii="Times New Roman" w:hAnsi="Times New Roman" w:cs="Times New Roman"/>
        </w:rPr>
        <w:t>).</w:t>
      </w:r>
    </w:p>
    <w:p w14:paraId="7D00ECA2" w14:textId="77777777" w:rsidR="00A22CB2" w:rsidRPr="00E7436B" w:rsidRDefault="00A22CB2" w:rsidP="00F326FE">
      <w:pPr>
        <w:pStyle w:val="FootnoteText"/>
        <w:jc w:val="both"/>
        <w:rPr>
          <w:rFonts w:ascii="Times New Roman" w:hAnsi="Times New Roman" w:cs="Times New Roman"/>
          <w:color w:val="FF0000"/>
        </w:rPr>
      </w:pPr>
    </w:p>
  </w:footnote>
  <w:footnote w:id="143">
    <w:p w14:paraId="0E1BA3DF" w14:textId="634913A4" w:rsidR="00A22CB2" w:rsidRPr="00382DE5" w:rsidRDefault="00A22CB2" w:rsidP="00F326FE">
      <w:pPr>
        <w:pStyle w:val="FootnoteText"/>
        <w:jc w:val="both"/>
        <w:rPr>
          <w:rFonts w:ascii="Times New Roman" w:hAnsi="Times New Roman" w:cs="Times New Roman"/>
        </w:rPr>
      </w:pPr>
      <w:r w:rsidRPr="001D7FBC">
        <w:rPr>
          <w:rStyle w:val="FootnoteReference"/>
          <w:rFonts w:ascii="Times New Roman" w:hAnsi="Times New Roman" w:cs="Times New Roman"/>
        </w:rPr>
        <w:footnoteRef/>
      </w:r>
      <w:r w:rsidRPr="001D7FBC">
        <w:rPr>
          <w:rFonts w:ascii="Times New Roman" w:hAnsi="Times New Roman" w:cs="Times New Roman"/>
        </w:rPr>
        <w:t xml:space="preserve"> HL Deb 10 January 2005, vol 668, col</w:t>
      </w:r>
      <w:r>
        <w:rPr>
          <w:rFonts w:ascii="Times New Roman" w:hAnsi="Times New Roman" w:cs="Times New Roman"/>
        </w:rPr>
        <w:t xml:space="preserve">s 17 – 18.  </w:t>
      </w:r>
      <w:hyperlink r:id="rId16" w:history="1">
        <w:r w:rsidRPr="001D7FBC">
          <w:rPr>
            <w:rStyle w:val="Hyperlink"/>
            <w:rFonts w:ascii="Times New Roman" w:hAnsi="Times New Roman" w:cs="Times New Roman"/>
            <w:color w:val="auto"/>
          </w:rPr>
          <w:t>https://api.parliament.uk/historic-hansard/lords/2005/jan/10/mental-capacity-bill</w:t>
        </w:r>
      </w:hyperlink>
      <w:r w:rsidRPr="001D7FBC">
        <w:rPr>
          <w:rFonts w:ascii="Times New Roman" w:hAnsi="Times New Roman" w:cs="Times New Roman"/>
        </w:rPr>
        <w:t>. &lt;Accessed 26th February 2019&gt;.</w:t>
      </w:r>
    </w:p>
  </w:footnote>
  <w:footnote w:id="144">
    <w:p w14:paraId="556A5D21" w14:textId="09D09BAB" w:rsidR="00A22CB2" w:rsidRPr="00CB245D" w:rsidRDefault="00A22CB2" w:rsidP="00CB245D">
      <w:pPr>
        <w:pStyle w:val="FootnoteText"/>
        <w:jc w:val="both"/>
        <w:rPr>
          <w:rFonts w:ascii="Times New Roman" w:hAnsi="Times New Roman" w:cs="Times New Roman"/>
        </w:rPr>
      </w:pPr>
      <w:r w:rsidRPr="001D7FBC">
        <w:rPr>
          <w:rStyle w:val="FootnoteReference"/>
          <w:rFonts w:ascii="Times New Roman" w:hAnsi="Times New Roman" w:cs="Times New Roman"/>
        </w:rPr>
        <w:footnoteRef/>
      </w:r>
      <w:r w:rsidRPr="001D7FBC">
        <w:rPr>
          <w:rFonts w:ascii="Times New Roman" w:hAnsi="Times New Roman" w:cs="Times New Roman"/>
        </w:rPr>
        <w:t xml:space="preserve"> </w:t>
      </w:r>
      <w:r w:rsidR="008A36ED">
        <w:rPr>
          <w:rFonts w:ascii="Times New Roman" w:hAnsi="Times New Roman" w:cs="Times New Roman"/>
        </w:rPr>
        <w:t xml:space="preserve">See the </w:t>
      </w:r>
      <w:r>
        <w:rPr>
          <w:rFonts w:ascii="Times New Roman" w:hAnsi="Times New Roman" w:cs="Times New Roman"/>
        </w:rPr>
        <w:t>lit</w:t>
      </w:r>
      <w:r w:rsidR="008A36ED">
        <w:rPr>
          <w:rFonts w:ascii="Times New Roman" w:hAnsi="Times New Roman" w:cs="Times New Roman"/>
        </w:rPr>
        <w:t xml:space="preserve">erature cited above (n 4), and </w:t>
      </w:r>
      <w:r w:rsidR="00CB245D">
        <w:rPr>
          <w:rFonts w:ascii="Times New Roman" w:hAnsi="Times New Roman" w:cs="Times New Roman"/>
        </w:rPr>
        <w:t xml:space="preserve">also </w:t>
      </w:r>
      <w:r w:rsidR="00CB245D" w:rsidRPr="00CB245D">
        <w:rPr>
          <w:rFonts w:ascii="Times New Roman" w:hAnsi="Times New Roman" w:cs="Times New Roman"/>
        </w:rPr>
        <w:t xml:space="preserve">Marcus Jepson </w:t>
      </w:r>
      <w:r w:rsidR="00CB245D" w:rsidRPr="00CB245D">
        <w:rPr>
          <w:rFonts w:ascii="Times New Roman" w:hAnsi="Times New Roman" w:cs="Times New Roman"/>
          <w:i/>
        </w:rPr>
        <w:t>et al.</w:t>
      </w:r>
      <w:r w:rsidR="00CB245D" w:rsidRPr="00CB245D">
        <w:rPr>
          <w:rFonts w:ascii="Times New Roman" w:hAnsi="Times New Roman" w:cs="Times New Roman"/>
        </w:rPr>
        <w:t xml:space="preserve">, ‘Indirect Payments: When the Mental Capacity Act Interacts with the Personalisation Agenda’ (2016) 24 </w:t>
      </w:r>
      <w:r w:rsidR="00CB245D" w:rsidRPr="00CB245D">
        <w:rPr>
          <w:rFonts w:ascii="Times New Roman" w:hAnsi="Times New Roman" w:cs="Times New Roman"/>
          <w:i/>
        </w:rPr>
        <w:t>Health and Social Care in the Community</w:t>
      </w:r>
      <w:r w:rsidR="00CB245D">
        <w:rPr>
          <w:rFonts w:ascii="Times New Roman" w:hAnsi="Times New Roman" w:cs="Times New Roman"/>
        </w:rPr>
        <w:t xml:space="preserve"> 623; </w:t>
      </w:r>
      <w:r w:rsidR="00CB245D" w:rsidRPr="00CB245D">
        <w:rPr>
          <w:rFonts w:ascii="Times New Roman" w:hAnsi="Times New Roman" w:cs="Times New Roman"/>
        </w:rPr>
        <w:t xml:space="preserve">Marie Poole </w:t>
      </w:r>
      <w:r w:rsidR="00CB245D" w:rsidRPr="00CB245D">
        <w:rPr>
          <w:rFonts w:ascii="Times New Roman" w:hAnsi="Times New Roman" w:cs="Times New Roman"/>
          <w:i/>
        </w:rPr>
        <w:t>et al.</w:t>
      </w:r>
      <w:r w:rsidR="00CB245D" w:rsidRPr="00CB245D">
        <w:rPr>
          <w:rFonts w:ascii="Times New Roman" w:hAnsi="Times New Roman" w:cs="Times New Roman"/>
        </w:rPr>
        <w:t xml:space="preserve">, ‘Going Home?: An Ethnographic Study of Assessment of Capacity and Best Interests in People with Dementia being Discharged from Hospital’ (2014) 14 </w:t>
      </w:r>
      <w:r w:rsidR="00CB245D" w:rsidRPr="00CB245D">
        <w:rPr>
          <w:rFonts w:ascii="Times New Roman" w:hAnsi="Times New Roman" w:cs="Times New Roman"/>
          <w:i/>
        </w:rPr>
        <w:t>BMC Geriatrics</w:t>
      </w:r>
      <w:r w:rsidR="00CB245D" w:rsidRPr="00CB245D">
        <w:rPr>
          <w:rFonts w:ascii="Times New Roman" w:hAnsi="Times New Roman" w:cs="Times New Roman"/>
        </w:rPr>
        <w:t xml:space="preserve"> 56; Jill </w:t>
      </w:r>
      <w:proofErr w:type="spellStart"/>
      <w:r w:rsidR="00CB245D" w:rsidRPr="00CB245D">
        <w:rPr>
          <w:rFonts w:ascii="Times New Roman" w:hAnsi="Times New Roman" w:cs="Times New Roman"/>
        </w:rPr>
        <w:t>Manthorpe</w:t>
      </w:r>
      <w:proofErr w:type="spellEnd"/>
      <w:r w:rsidR="00CB245D" w:rsidRPr="00CB245D">
        <w:rPr>
          <w:rFonts w:ascii="Times New Roman" w:hAnsi="Times New Roman" w:cs="Times New Roman"/>
        </w:rPr>
        <w:t xml:space="preserve"> </w:t>
      </w:r>
      <w:r w:rsidR="00CB245D" w:rsidRPr="00CB245D">
        <w:rPr>
          <w:rFonts w:ascii="Times New Roman" w:hAnsi="Times New Roman" w:cs="Times New Roman"/>
          <w:i/>
        </w:rPr>
        <w:t>et al.</w:t>
      </w:r>
      <w:r w:rsidR="00CB245D">
        <w:rPr>
          <w:rFonts w:ascii="Times New Roman" w:hAnsi="Times New Roman" w:cs="Times New Roman"/>
        </w:rPr>
        <w:t xml:space="preserve">, </w:t>
      </w:r>
      <w:r w:rsidR="00CB245D" w:rsidRPr="00CB245D">
        <w:rPr>
          <w:rFonts w:ascii="Times New Roman" w:hAnsi="Times New Roman" w:cs="Times New Roman"/>
        </w:rPr>
        <w:t xml:space="preserve">‘Early Days: Knowledge and Use of the Mental Capacity Act 2005 by Care Home Managers and Staff’ (2011) 10 </w:t>
      </w:r>
      <w:r w:rsidR="00CB245D" w:rsidRPr="00CB245D">
        <w:rPr>
          <w:rFonts w:ascii="Times New Roman" w:hAnsi="Times New Roman" w:cs="Times New Roman"/>
          <w:i/>
        </w:rPr>
        <w:t>Dementia</w:t>
      </w:r>
      <w:r w:rsidR="00CB245D" w:rsidRPr="00CB245D">
        <w:rPr>
          <w:rFonts w:ascii="Times New Roman" w:hAnsi="Times New Roman" w:cs="Times New Roman"/>
        </w:rPr>
        <w:t xml:space="preserve"> 283.</w:t>
      </w:r>
    </w:p>
    <w:p w14:paraId="6C83A0E3" w14:textId="77777777" w:rsidR="00A22CB2" w:rsidRPr="008B18C3" w:rsidRDefault="00A22CB2" w:rsidP="00F326FE">
      <w:pPr>
        <w:pStyle w:val="FootnoteText"/>
        <w:jc w:val="both"/>
        <w:rPr>
          <w:rFonts w:ascii="Times New Roman" w:hAnsi="Times New Roman" w:cs="Times New Roman"/>
          <w:color w:val="FF0000"/>
          <w:highlight w:val="yellow"/>
        </w:rPr>
      </w:pPr>
    </w:p>
  </w:footnote>
  <w:footnote w:id="145">
    <w:p w14:paraId="10C025DF" w14:textId="3E37D206" w:rsidR="00A22CB2" w:rsidRPr="001D7FBC" w:rsidRDefault="00A22CB2" w:rsidP="001D7FBC">
      <w:pPr>
        <w:pStyle w:val="FootnoteText"/>
        <w:jc w:val="both"/>
        <w:rPr>
          <w:rFonts w:ascii="Times New Roman" w:hAnsi="Times New Roman" w:cs="Times New Roman"/>
        </w:rPr>
      </w:pPr>
      <w:r w:rsidRPr="001D7FBC">
        <w:rPr>
          <w:rStyle w:val="FootnoteReference"/>
          <w:rFonts w:ascii="Times New Roman" w:hAnsi="Times New Roman" w:cs="Times New Roman"/>
        </w:rPr>
        <w:footnoteRef/>
      </w:r>
      <w:r w:rsidRPr="001D7FBC">
        <w:rPr>
          <w:rFonts w:ascii="Times New Roman" w:hAnsi="Times New Roman" w:cs="Times New Roman"/>
        </w:rPr>
        <w:t xml:space="preserve"> HL D</w:t>
      </w:r>
      <w:r>
        <w:rPr>
          <w:rFonts w:ascii="Times New Roman" w:hAnsi="Times New Roman" w:cs="Times New Roman"/>
        </w:rPr>
        <w:t xml:space="preserve">eb 18 June 2004, vol 422, cols </w:t>
      </w:r>
      <w:r w:rsidRPr="001D7FBC">
        <w:rPr>
          <w:rFonts w:ascii="Times New Roman" w:hAnsi="Times New Roman" w:cs="Times New Roman"/>
        </w:rPr>
        <w:t xml:space="preserve">67-70: </w:t>
      </w:r>
      <w:hyperlink r:id="rId17" w:anchor="S6CV0422P2_20040618_CWS_5" w:history="1">
        <w:r w:rsidRPr="003B0F8D">
          <w:rPr>
            <w:rStyle w:val="Hyperlink"/>
            <w:rFonts w:ascii="Times New Roman" w:hAnsi="Times New Roman" w:cs="Times New Roman"/>
          </w:rPr>
          <w:t>https://api.parliament.uk/historic-hansard/written-statements/2004/jun/18/mental-capacity-bill#S6CV0422P2_20040618_CWS_5</w:t>
        </w:r>
      </w:hyperlink>
      <w:r>
        <w:rPr>
          <w:rFonts w:ascii="Times New Roman" w:hAnsi="Times New Roman" w:cs="Times New Roman"/>
        </w:rPr>
        <w:t xml:space="preserve">. </w:t>
      </w:r>
      <w:r w:rsidRPr="001D7FBC">
        <w:rPr>
          <w:rFonts w:ascii="Times New Roman" w:hAnsi="Times New Roman" w:cs="Times New Roman"/>
        </w:rPr>
        <w:t>&lt;Accessed 26th February 2019&gt;.</w:t>
      </w:r>
      <w:r>
        <w:rPr>
          <w:rFonts w:ascii="Times New Roman" w:hAnsi="Times New Roman" w:cs="Times New Roman"/>
        </w:rPr>
        <w:t xml:space="preserve">  This Hansard debate discusses the aims of the MCA 2005. Research is only mentioned sparingly.</w:t>
      </w:r>
    </w:p>
    <w:p w14:paraId="500D75C0" w14:textId="77777777" w:rsidR="00A22CB2" w:rsidRPr="00E7436B" w:rsidRDefault="00A22CB2" w:rsidP="00F326FE">
      <w:pPr>
        <w:pStyle w:val="FootnoteText"/>
        <w:jc w:val="both"/>
        <w:rPr>
          <w:rFonts w:ascii="Times New Roman" w:hAnsi="Times New Roman" w:cs="Times New Roman"/>
          <w:color w:val="FF0000"/>
        </w:rPr>
      </w:pPr>
    </w:p>
  </w:footnote>
  <w:footnote w:id="146">
    <w:p w14:paraId="367983CD" w14:textId="62FEF349" w:rsidR="00A22CB2" w:rsidRPr="008C0030" w:rsidRDefault="00A22CB2" w:rsidP="00F326FE">
      <w:pPr>
        <w:pStyle w:val="FootnoteText"/>
        <w:jc w:val="both"/>
        <w:rPr>
          <w:rFonts w:ascii="Times New Roman" w:hAnsi="Times New Roman" w:cs="Times New Roman"/>
        </w:rPr>
      </w:pPr>
      <w:r w:rsidRPr="008C0030">
        <w:rPr>
          <w:rStyle w:val="FootnoteReference"/>
          <w:rFonts w:ascii="Times New Roman" w:hAnsi="Times New Roman" w:cs="Times New Roman"/>
        </w:rPr>
        <w:footnoteRef/>
      </w:r>
      <w:r w:rsidRPr="008C0030">
        <w:rPr>
          <w:rFonts w:ascii="Times New Roman" w:hAnsi="Times New Roman" w:cs="Times New Roman"/>
        </w:rPr>
        <w:t xml:space="preserve"> </w:t>
      </w:r>
      <w:proofErr w:type="spellStart"/>
      <w:r w:rsidR="00610816">
        <w:rPr>
          <w:rFonts w:ascii="Times New Roman" w:hAnsi="Times New Roman" w:cs="Times New Roman"/>
        </w:rPr>
        <w:t>Shiggins</w:t>
      </w:r>
      <w:proofErr w:type="spellEnd"/>
      <w:r w:rsidR="00610816">
        <w:rPr>
          <w:rFonts w:ascii="Times New Roman" w:hAnsi="Times New Roman" w:cs="Times New Roman"/>
        </w:rPr>
        <w:t xml:space="preserve"> (n 54</w:t>
      </w:r>
      <w:r>
        <w:rPr>
          <w:rFonts w:ascii="Times New Roman" w:hAnsi="Times New Roman" w:cs="Times New Roman"/>
        </w:rPr>
        <w:t xml:space="preserve">); </w:t>
      </w:r>
      <w:r w:rsidRPr="008C0030">
        <w:rPr>
          <w:rFonts w:ascii="Times New Roman" w:hAnsi="Times New Roman" w:cs="Times New Roman"/>
        </w:rPr>
        <w:t xml:space="preserve">Amanda Sibley </w:t>
      </w:r>
      <w:r w:rsidRPr="008C0030">
        <w:rPr>
          <w:rFonts w:ascii="Times New Roman" w:hAnsi="Times New Roman" w:cs="Times New Roman"/>
          <w:i/>
        </w:rPr>
        <w:t>et al</w:t>
      </w:r>
      <w:r w:rsidRPr="008C0030">
        <w:rPr>
          <w:rFonts w:ascii="Times New Roman" w:hAnsi="Times New Roman" w:cs="Times New Roman"/>
        </w:rPr>
        <w:t xml:space="preserve">., ‘Developing a New Justification for Assent’ (2016) </w:t>
      </w:r>
      <w:r>
        <w:rPr>
          <w:rFonts w:ascii="Times New Roman" w:hAnsi="Times New Roman" w:cs="Times New Roman"/>
        </w:rPr>
        <w:t xml:space="preserve">17 </w:t>
      </w:r>
      <w:r w:rsidRPr="008C0030">
        <w:rPr>
          <w:rFonts w:ascii="Times New Roman" w:hAnsi="Times New Roman" w:cs="Times New Roman"/>
          <w:i/>
        </w:rPr>
        <w:t>BMC Medical Ethics</w:t>
      </w:r>
      <w:r>
        <w:rPr>
          <w:rFonts w:ascii="Times New Roman" w:hAnsi="Times New Roman" w:cs="Times New Roman"/>
        </w:rPr>
        <w:t xml:space="preserve"> 1. </w:t>
      </w:r>
      <w:r w:rsidRPr="008C0030">
        <w:rPr>
          <w:rFonts w:ascii="Times New Roman" w:hAnsi="Times New Roman" w:cs="Times New Roman"/>
        </w:rPr>
        <w:t xml:space="preserve">DOI </w:t>
      </w:r>
      <w:r>
        <w:rPr>
          <w:rFonts w:ascii="Times New Roman" w:hAnsi="Times New Roman" w:cs="Times New Roman"/>
        </w:rPr>
        <w:t xml:space="preserve">10.1186/s12910-015-0085-x; Amanda Sibley </w:t>
      </w:r>
      <w:r w:rsidRPr="00E10728">
        <w:rPr>
          <w:rFonts w:ascii="Times New Roman" w:hAnsi="Times New Roman" w:cs="Times New Roman"/>
          <w:i/>
        </w:rPr>
        <w:t>et al</w:t>
      </w:r>
      <w:r>
        <w:rPr>
          <w:rFonts w:ascii="Times New Roman" w:hAnsi="Times New Roman" w:cs="Times New Roman"/>
        </w:rPr>
        <w:t xml:space="preserve">., ‘Assent is not Consent’ (2012) 38 </w:t>
      </w:r>
      <w:r w:rsidRPr="00E10728">
        <w:rPr>
          <w:rFonts w:ascii="Times New Roman" w:hAnsi="Times New Roman" w:cs="Times New Roman"/>
          <w:i/>
        </w:rPr>
        <w:t>Journal of Medical Ethics</w:t>
      </w:r>
      <w:r>
        <w:rPr>
          <w:rFonts w:ascii="Times New Roman" w:hAnsi="Times New Roman" w:cs="Times New Roman"/>
        </w:rPr>
        <w:t xml:space="preserve"> 3; Susan Slaughter </w:t>
      </w:r>
      <w:r w:rsidRPr="00E10728">
        <w:rPr>
          <w:rFonts w:ascii="Times New Roman" w:hAnsi="Times New Roman" w:cs="Times New Roman"/>
          <w:i/>
        </w:rPr>
        <w:t>et al</w:t>
      </w:r>
      <w:r>
        <w:rPr>
          <w:rFonts w:ascii="Times New Roman" w:hAnsi="Times New Roman" w:cs="Times New Roman"/>
        </w:rPr>
        <w:t xml:space="preserve">., ‘Consent and Assent to Participate in Research from People with Dementia’ (2007) 14 </w:t>
      </w:r>
      <w:r w:rsidRPr="00E10728">
        <w:rPr>
          <w:rFonts w:ascii="Times New Roman" w:hAnsi="Times New Roman" w:cs="Times New Roman"/>
          <w:i/>
        </w:rPr>
        <w:t>Nursing Ethics</w:t>
      </w:r>
      <w:r>
        <w:rPr>
          <w:rFonts w:ascii="Times New Roman" w:hAnsi="Times New Roman" w:cs="Times New Roman"/>
        </w:rPr>
        <w:t xml:space="preserve"> 27. </w:t>
      </w:r>
    </w:p>
    <w:p w14:paraId="6EC21441" w14:textId="77777777" w:rsidR="00A22CB2" w:rsidRPr="00E7436B" w:rsidRDefault="00A22CB2" w:rsidP="00F326FE">
      <w:pPr>
        <w:pStyle w:val="FootnoteText"/>
        <w:jc w:val="both"/>
        <w:rPr>
          <w:rFonts w:ascii="Times New Roman" w:hAnsi="Times New Roman" w:cs="Times New Roman"/>
          <w:color w:val="FF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rPr>
        <w:rFonts w:ascii="Times New Roman" w:hAnsi="Times New Roman" w:cs="Times New Roman"/>
      </w:rPr>
    </w:sdtEndPr>
    <w:sdtContent>
      <w:p w14:paraId="311714E7" w14:textId="37C906B6" w:rsidR="00A22CB2" w:rsidRPr="00013B6E" w:rsidRDefault="00A22CB2">
        <w:pPr>
          <w:pStyle w:val="Header"/>
          <w:jc w:val="right"/>
          <w:rPr>
            <w:rFonts w:ascii="Times New Roman" w:hAnsi="Times New Roman" w:cs="Times New Roman"/>
          </w:rPr>
        </w:pPr>
        <w:r w:rsidRPr="00013B6E">
          <w:rPr>
            <w:rFonts w:ascii="Times New Roman" w:hAnsi="Times New Roman" w:cs="Times New Roman"/>
          </w:rPr>
          <w:t xml:space="preserve">Page </w:t>
        </w:r>
        <w:r w:rsidRPr="00013B6E">
          <w:rPr>
            <w:rFonts w:ascii="Times New Roman" w:hAnsi="Times New Roman" w:cs="Times New Roman"/>
            <w:b/>
            <w:bCs/>
          </w:rPr>
          <w:fldChar w:fldCharType="begin"/>
        </w:r>
        <w:r w:rsidRPr="00013B6E">
          <w:rPr>
            <w:rFonts w:ascii="Times New Roman" w:hAnsi="Times New Roman" w:cs="Times New Roman"/>
            <w:b/>
            <w:bCs/>
          </w:rPr>
          <w:instrText xml:space="preserve"> PAGE </w:instrText>
        </w:r>
        <w:r w:rsidRPr="00013B6E">
          <w:rPr>
            <w:rFonts w:ascii="Times New Roman" w:hAnsi="Times New Roman" w:cs="Times New Roman"/>
            <w:b/>
            <w:bCs/>
          </w:rPr>
          <w:fldChar w:fldCharType="separate"/>
        </w:r>
        <w:r w:rsidR="00F04067">
          <w:rPr>
            <w:rFonts w:ascii="Times New Roman" w:hAnsi="Times New Roman" w:cs="Times New Roman"/>
            <w:b/>
            <w:bCs/>
            <w:noProof/>
          </w:rPr>
          <w:t>9</w:t>
        </w:r>
        <w:r w:rsidRPr="00013B6E">
          <w:rPr>
            <w:rFonts w:ascii="Times New Roman" w:hAnsi="Times New Roman" w:cs="Times New Roman"/>
            <w:b/>
            <w:bCs/>
          </w:rPr>
          <w:fldChar w:fldCharType="end"/>
        </w:r>
        <w:r w:rsidRPr="00013B6E">
          <w:rPr>
            <w:rFonts w:ascii="Times New Roman" w:hAnsi="Times New Roman" w:cs="Times New Roman"/>
          </w:rPr>
          <w:t xml:space="preserve"> of </w:t>
        </w:r>
        <w:r w:rsidRPr="00013B6E">
          <w:rPr>
            <w:rFonts w:ascii="Times New Roman" w:hAnsi="Times New Roman" w:cs="Times New Roman"/>
            <w:b/>
            <w:bCs/>
          </w:rPr>
          <w:fldChar w:fldCharType="begin"/>
        </w:r>
        <w:r w:rsidRPr="00013B6E">
          <w:rPr>
            <w:rFonts w:ascii="Times New Roman" w:hAnsi="Times New Roman" w:cs="Times New Roman"/>
            <w:b/>
            <w:bCs/>
          </w:rPr>
          <w:instrText xml:space="preserve"> NUMPAGES  </w:instrText>
        </w:r>
        <w:r w:rsidRPr="00013B6E">
          <w:rPr>
            <w:rFonts w:ascii="Times New Roman" w:hAnsi="Times New Roman" w:cs="Times New Roman"/>
            <w:b/>
            <w:bCs/>
          </w:rPr>
          <w:fldChar w:fldCharType="separate"/>
        </w:r>
        <w:r w:rsidR="00F04067">
          <w:rPr>
            <w:rFonts w:ascii="Times New Roman" w:hAnsi="Times New Roman" w:cs="Times New Roman"/>
            <w:b/>
            <w:bCs/>
            <w:noProof/>
          </w:rPr>
          <w:t>36</w:t>
        </w:r>
        <w:r w:rsidRPr="00013B6E">
          <w:rPr>
            <w:rFonts w:ascii="Times New Roman" w:hAnsi="Times New Roman" w:cs="Times New Roman"/>
            <w:b/>
            <w:bCs/>
          </w:rPr>
          <w:fldChar w:fldCharType="end"/>
        </w:r>
      </w:p>
    </w:sdtContent>
  </w:sdt>
  <w:p w14:paraId="5D899EC2" w14:textId="70DF4DC4" w:rsidR="00A22CB2" w:rsidRPr="003177AD" w:rsidRDefault="00A22CB2">
    <w:pPr>
      <w:pStyle w:val="Header"/>
      <w:rPr>
        <w:rFonts w:ascii="Times New Roman" w:hAnsi="Times New Roman" w:cs="Times New Roman"/>
      </w:rPr>
    </w:pPr>
    <w:r w:rsidRPr="003177AD">
      <w:rPr>
        <w:rFonts w:ascii="Times New Roman" w:hAnsi="Times New Roman" w:cs="Times New Roman"/>
        <w:i/>
      </w:rPr>
      <w:t>Medical Law International</w:t>
    </w:r>
    <w:r>
      <w:rPr>
        <w:rFonts w:ascii="Times New Roman" w:hAnsi="Times New Roman" w:cs="Times New Roman"/>
      </w:rPr>
      <w:t xml:space="preserve"> </w:t>
    </w:r>
    <w:r w:rsidRPr="006C2814">
      <w:rPr>
        <w:rFonts w:ascii="Times New Roman" w:hAnsi="Times New Roman" w:cs="Times New Roman"/>
        <w:i/>
      </w:rPr>
      <w:t>Submission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5E1D"/>
    <w:multiLevelType w:val="hybridMultilevel"/>
    <w:tmpl w:val="8DC07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99199D"/>
    <w:multiLevelType w:val="hybridMultilevel"/>
    <w:tmpl w:val="B518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837102"/>
    <w:multiLevelType w:val="hybridMultilevel"/>
    <w:tmpl w:val="00CC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549"/>
    <w:rsid w:val="00001A35"/>
    <w:rsid w:val="00003356"/>
    <w:rsid w:val="00006481"/>
    <w:rsid w:val="00010E24"/>
    <w:rsid w:val="00011558"/>
    <w:rsid w:val="0001308C"/>
    <w:rsid w:val="00013B6E"/>
    <w:rsid w:val="00013C65"/>
    <w:rsid w:val="00013F1A"/>
    <w:rsid w:val="000159C6"/>
    <w:rsid w:val="00016897"/>
    <w:rsid w:val="00017B69"/>
    <w:rsid w:val="00020AA1"/>
    <w:rsid w:val="0003188D"/>
    <w:rsid w:val="00036169"/>
    <w:rsid w:val="00042B79"/>
    <w:rsid w:val="00042F02"/>
    <w:rsid w:val="0004594A"/>
    <w:rsid w:val="00045F19"/>
    <w:rsid w:val="00047E85"/>
    <w:rsid w:val="0005207E"/>
    <w:rsid w:val="0005267C"/>
    <w:rsid w:val="0005355C"/>
    <w:rsid w:val="00053B77"/>
    <w:rsid w:val="00055D5C"/>
    <w:rsid w:val="00055E7A"/>
    <w:rsid w:val="00055F10"/>
    <w:rsid w:val="00057F02"/>
    <w:rsid w:val="00060108"/>
    <w:rsid w:val="00061E87"/>
    <w:rsid w:val="0006511C"/>
    <w:rsid w:val="00066703"/>
    <w:rsid w:val="00066E61"/>
    <w:rsid w:val="0007278E"/>
    <w:rsid w:val="0008133E"/>
    <w:rsid w:val="000817D2"/>
    <w:rsid w:val="00082DA1"/>
    <w:rsid w:val="00083152"/>
    <w:rsid w:val="000852A2"/>
    <w:rsid w:val="00087958"/>
    <w:rsid w:val="00092B8C"/>
    <w:rsid w:val="0009322B"/>
    <w:rsid w:val="00095030"/>
    <w:rsid w:val="000A1402"/>
    <w:rsid w:val="000A4E99"/>
    <w:rsid w:val="000A5FD9"/>
    <w:rsid w:val="000B0FC3"/>
    <w:rsid w:val="000B216E"/>
    <w:rsid w:val="000B5335"/>
    <w:rsid w:val="000B69FE"/>
    <w:rsid w:val="000C1A99"/>
    <w:rsid w:val="000C4328"/>
    <w:rsid w:val="000C488A"/>
    <w:rsid w:val="000C67C1"/>
    <w:rsid w:val="000C6FED"/>
    <w:rsid w:val="000D1731"/>
    <w:rsid w:val="000D185A"/>
    <w:rsid w:val="000D2818"/>
    <w:rsid w:val="000D5B7F"/>
    <w:rsid w:val="000E35F4"/>
    <w:rsid w:val="000E3F36"/>
    <w:rsid w:val="000F1550"/>
    <w:rsid w:val="000F1F5F"/>
    <w:rsid w:val="000F3A8C"/>
    <w:rsid w:val="000F3C99"/>
    <w:rsid w:val="000F41F0"/>
    <w:rsid w:val="00101214"/>
    <w:rsid w:val="001017A6"/>
    <w:rsid w:val="00102D42"/>
    <w:rsid w:val="00102DDF"/>
    <w:rsid w:val="00104E11"/>
    <w:rsid w:val="00105B91"/>
    <w:rsid w:val="001079CA"/>
    <w:rsid w:val="00107D94"/>
    <w:rsid w:val="0011017F"/>
    <w:rsid w:val="0011029A"/>
    <w:rsid w:val="00111178"/>
    <w:rsid w:val="0011177A"/>
    <w:rsid w:val="00111FF0"/>
    <w:rsid w:val="00114943"/>
    <w:rsid w:val="0011506A"/>
    <w:rsid w:val="00120BF1"/>
    <w:rsid w:val="001227AC"/>
    <w:rsid w:val="0012464E"/>
    <w:rsid w:val="00125330"/>
    <w:rsid w:val="001265E7"/>
    <w:rsid w:val="00126B9F"/>
    <w:rsid w:val="001275FA"/>
    <w:rsid w:val="00127F71"/>
    <w:rsid w:val="00130389"/>
    <w:rsid w:val="001325ED"/>
    <w:rsid w:val="00133FB0"/>
    <w:rsid w:val="00135551"/>
    <w:rsid w:val="001359D1"/>
    <w:rsid w:val="00135E98"/>
    <w:rsid w:val="00135F94"/>
    <w:rsid w:val="00136473"/>
    <w:rsid w:val="0014003A"/>
    <w:rsid w:val="00140283"/>
    <w:rsid w:val="00142F4C"/>
    <w:rsid w:val="001469DB"/>
    <w:rsid w:val="0015155F"/>
    <w:rsid w:val="0015179A"/>
    <w:rsid w:val="001539FF"/>
    <w:rsid w:val="00153BDE"/>
    <w:rsid w:val="001607E2"/>
    <w:rsid w:val="00161A74"/>
    <w:rsid w:val="00162DDE"/>
    <w:rsid w:val="00163000"/>
    <w:rsid w:val="001653ED"/>
    <w:rsid w:val="00165B47"/>
    <w:rsid w:val="00165B69"/>
    <w:rsid w:val="001661EE"/>
    <w:rsid w:val="00167A5F"/>
    <w:rsid w:val="00173B5C"/>
    <w:rsid w:val="00173DC8"/>
    <w:rsid w:val="0017552B"/>
    <w:rsid w:val="00175754"/>
    <w:rsid w:val="00175F86"/>
    <w:rsid w:val="0017750E"/>
    <w:rsid w:val="00177EE1"/>
    <w:rsid w:val="00180C4B"/>
    <w:rsid w:val="00180F56"/>
    <w:rsid w:val="00181564"/>
    <w:rsid w:val="00185379"/>
    <w:rsid w:val="001853DE"/>
    <w:rsid w:val="00186FEE"/>
    <w:rsid w:val="00190639"/>
    <w:rsid w:val="001925C6"/>
    <w:rsid w:val="00192BBB"/>
    <w:rsid w:val="00194A3D"/>
    <w:rsid w:val="00194D75"/>
    <w:rsid w:val="0019533D"/>
    <w:rsid w:val="001959CA"/>
    <w:rsid w:val="001A005A"/>
    <w:rsid w:val="001A2225"/>
    <w:rsid w:val="001A2B54"/>
    <w:rsid w:val="001A3A12"/>
    <w:rsid w:val="001A4E71"/>
    <w:rsid w:val="001A58E1"/>
    <w:rsid w:val="001A5A70"/>
    <w:rsid w:val="001A6B07"/>
    <w:rsid w:val="001B003D"/>
    <w:rsid w:val="001B09EB"/>
    <w:rsid w:val="001B0EF8"/>
    <w:rsid w:val="001B1397"/>
    <w:rsid w:val="001B32FD"/>
    <w:rsid w:val="001B5564"/>
    <w:rsid w:val="001B6683"/>
    <w:rsid w:val="001C1449"/>
    <w:rsid w:val="001C67E5"/>
    <w:rsid w:val="001D04F4"/>
    <w:rsid w:val="001D143A"/>
    <w:rsid w:val="001D4040"/>
    <w:rsid w:val="001D4D19"/>
    <w:rsid w:val="001D537C"/>
    <w:rsid w:val="001D67E7"/>
    <w:rsid w:val="001D6DC8"/>
    <w:rsid w:val="001D731A"/>
    <w:rsid w:val="001D7FBC"/>
    <w:rsid w:val="001E063A"/>
    <w:rsid w:val="001E12A2"/>
    <w:rsid w:val="001E3E5A"/>
    <w:rsid w:val="001E69C0"/>
    <w:rsid w:val="001E73F7"/>
    <w:rsid w:val="001E7CBE"/>
    <w:rsid w:val="001F0272"/>
    <w:rsid w:val="001F1082"/>
    <w:rsid w:val="001F120D"/>
    <w:rsid w:val="001F27A0"/>
    <w:rsid w:val="001F5230"/>
    <w:rsid w:val="001F695B"/>
    <w:rsid w:val="001F6DBA"/>
    <w:rsid w:val="001F7F4B"/>
    <w:rsid w:val="00202DF4"/>
    <w:rsid w:val="00203B19"/>
    <w:rsid w:val="00203E10"/>
    <w:rsid w:val="00204A9D"/>
    <w:rsid w:val="002054BA"/>
    <w:rsid w:val="0020632A"/>
    <w:rsid w:val="00210C94"/>
    <w:rsid w:val="002116BB"/>
    <w:rsid w:val="002119EA"/>
    <w:rsid w:val="002131C7"/>
    <w:rsid w:val="00214CF8"/>
    <w:rsid w:val="002151A9"/>
    <w:rsid w:val="00216506"/>
    <w:rsid w:val="00217341"/>
    <w:rsid w:val="00220B9F"/>
    <w:rsid w:val="00221353"/>
    <w:rsid w:val="00221F38"/>
    <w:rsid w:val="002242ED"/>
    <w:rsid w:val="0022457C"/>
    <w:rsid w:val="00225160"/>
    <w:rsid w:val="00226A93"/>
    <w:rsid w:val="00230CD8"/>
    <w:rsid w:val="0023149A"/>
    <w:rsid w:val="00231678"/>
    <w:rsid w:val="00231C74"/>
    <w:rsid w:val="00234468"/>
    <w:rsid w:val="00237906"/>
    <w:rsid w:val="002404B3"/>
    <w:rsid w:val="00240786"/>
    <w:rsid w:val="00240D1E"/>
    <w:rsid w:val="00245346"/>
    <w:rsid w:val="002463DC"/>
    <w:rsid w:val="0024712A"/>
    <w:rsid w:val="00252048"/>
    <w:rsid w:val="00252112"/>
    <w:rsid w:val="00252155"/>
    <w:rsid w:val="00252A56"/>
    <w:rsid w:val="002535F3"/>
    <w:rsid w:val="002538E1"/>
    <w:rsid w:val="00257EC5"/>
    <w:rsid w:val="00257FC0"/>
    <w:rsid w:val="00261C9F"/>
    <w:rsid w:val="002638CD"/>
    <w:rsid w:val="00264204"/>
    <w:rsid w:val="00265C40"/>
    <w:rsid w:val="00267F1D"/>
    <w:rsid w:val="00275A61"/>
    <w:rsid w:val="00280E84"/>
    <w:rsid w:val="002810EC"/>
    <w:rsid w:val="00281D77"/>
    <w:rsid w:val="00285138"/>
    <w:rsid w:val="00285980"/>
    <w:rsid w:val="00286E7A"/>
    <w:rsid w:val="002877B8"/>
    <w:rsid w:val="002914F2"/>
    <w:rsid w:val="0029198C"/>
    <w:rsid w:val="00292F84"/>
    <w:rsid w:val="002938EE"/>
    <w:rsid w:val="00295B90"/>
    <w:rsid w:val="00296C69"/>
    <w:rsid w:val="002A1660"/>
    <w:rsid w:val="002A2CCF"/>
    <w:rsid w:val="002A33D6"/>
    <w:rsid w:val="002A3507"/>
    <w:rsid w:val="002A7B39"/>
    <w:rsid w:val="002B0352"/>
    <w:rsid w:val="002B0613"/>
    <w:rsid w:val="002B16C5"/>
    <w:rsid w:val="002B1DC9"/>
    <w:rsid w:val="002B2018"/>
    <w:rsid w:val="002B2AE9"/>
    <w:rsid w:val="002B2CAA"/>
    <w:rsid w:val="002B2E18"/>
    <w:rsid w:val="002B68E8"/>
    <w:rsid w:val="002B74FD"/>
    <w:rsid w:val="002C362D"/>
    <w:rsid w:val="002C3DA9"/>
    <w:rsid w:val="002C42B5"/>
    <w:rsid w:val="002C4DE7"/>
    <w:rsid w:val="002C50BB"/>
    <w:rsid w:val="002C6148"/>
    <w:rsid w:val="002D0385"/>
    <w:rsid w:val="002D03E4"/>
    <w:rsid w:val="002D0DBA"/>
    <w:rsid w:val="002D225A"/>
    <w:rsid w:val="002D22BA"/>
    <w:rsid w:val="002D2B2C"/>
    <w:rsid w:val="002D2C23"/>
    <w:rsid w:val="002D7609"/>
    <w:rsid w:val="002E2757"/>
    <w:rsid w:val="002E2A0E"/>
    <w:rsid w:val="002E2DFB"/>
    <w:rsid w:val="002E3C4E"/>
    <w:rsid w:val="002E4B9D"/>
    <w:rsid w:val="002F2C56"/>
    <w:rsid w:val="002F52AB"/>
    <w:rsid w:val="002F690E"/>
    <w:rsid w:val="002F6A38"/>
    <w:rsid w:val="00301F94"/>
    <w:rsid w:val="00302128"/>
    <w:rsid w:val="00302D62"/>
    <w:rsid w:val="00303066"/>
    <w:rsid w:val="003047BD"/>
    <w:rsid w:val="0030490B"/>
    <w:rsid w:val="003056B7"/>
    <w:rsid w:val="00306E1D"/>
    <w:rsid w:val="00306FE1"/>
    <w:rsid w:val="00307C44"/>
    <w:rsid w:val="00310C81"/>
    <w:rsid w:val="00311813"/>
    <w:rsid w:val="003119DD"/>
    <w:rsid w:val="003119EF"/>
    <w:rsid w:val="00311FDB"/>
    <w:rsid w:val="003131A4"/>
    <w:rsid w:val="003148BA"/>
    <w:rsid w:val="00315479"/>
    <w:rsid w:val="003154C3"/>
    <w:rsid w:val="003166DC"/>
    <w:rsid w:val="003177AD"/>
    <w:rsid w:val="0032004B"/>
    <w:rsid w:val="003215CD"/>
    <w:rsid w:val="00322BD8"/>
    <w:rsid w:val="00322E6F"/>
    <w:rsid w:val="003265A6"/>
    <w:rsid w:val="0033390A"/>
    <w:rsid w:val="00333B30"/>
    <w:rsid w:val="00341904"/>
    <w:rsid w:val="003426DE"/>
    <w:rsid w:val="00344F91"/>
    <w:rsid w:val="00345384"/>
    <w:rsid w:val="003512D6"/>
    <w:rsid w:val="0035159E"/>
    <w:rsid w:val="003535C4"/>
    <w:rsid w:val="003536FF"/>
    <w:rsid w:val="00353A56"/>
    <w:rsid w:val="00355B8D"/>
    <w:rsid w:val="00356DF6"/>
    <w:rsid w:val="00356FA8"/>
    <w:rsid w:val="00360D66"/>
    <w:rsid w:val="00361747"/>
    <w:rsid w:val="0036182B"/>
    <w:rsid w:val="0036210A"/>
    <w:rsid w:val="00363F6D"/>
    <w:rsid w:val="00364358"/>
    <w:rsid w:val="00364F35"/>
    <w:rsid w:val="00365929"/>
    <w:rsid w:val="00366953"/>
    <w:rsid w:val="00367060"/>
    <w:rsid w:val="003703AC"/>
    <w:rsid w:val="00371BF7"/>
    <w:rsid w:val="0037430C"/>
    <w:rsid w:val="00374328"/>
    <w:rsid w:val="00375301"/>
    <w:rsid w:val="00377B9A"/>
    <w:rsid w:val="00381CEA"/>
    <w:rsid w:val="00382A25"/>
    <w:rsid w:val="00382DE5"/>
    <w:rsid w:val="00384FE2"/>
    <w:rsid w:val="00386974"/>
    <w:rsid w:val="00386C03"/>
    <w:rsid w:val="003871B5"/>
    <w:rsid w:val="00390498"/>
    <w:rsid w:val="00396434"/>
    <w:rsid w:val="003A1213"/>
    <w:rsid w:val="003A19E7"/>
    <w:rsid w:val="003A2955"/>
    <w:rsid w:val="003A6AA9"/>
    <w:rsid w:val="003B088C"/>
    <w:rsid w:val="003B203C"/>
    <w:rsid w:val="003B6079"/>
    <w:rsid w:val="003C0211"/>
    <w:rsid w:val="003C3579"/>
    <w:rsid w:val="003C5CDF"/>
    <w:rsid w:val="003C7269"/>
    <w:rsid w:val="003D06E0"/>
    <w:rsid w:val="003D4197"/>
    <w:rsid w:val="003D44DC"/>
    <w:rsid w:val="003D5BD8"/>
    <w:rsid w:val="003D6D93"/>
    <w:rsid w:val="003D750F"/>
    <w:rsid w:val="003E1F79"/>
    <w:rsid w:val="003E2270"/>
    <w:rsid w:val="003E26D7"/>
    <w:rsid w:val="003E593A"/>
    <w:rsid w:val="003E6DDE"/>
    <w:rsid w:val="003F45EB"/>
    <w:rsid w:val="003F4723"/>
    <w:rsid w:val="003F47FB"/>
    <w:rsid w:val="003F6A67"/>
    <w:rsid w:val="003F75F8"/>
    <w:rsid w:val="0040036B"/>
    <w:rsid w:val="004003DD"/>
    <w:rsid w:val="00402E85"/>
    <w:rsid w:val="00405A87"/>
    <w:rsid w:val="0040699F"/>
    <w:rsid w:val="004072D6"/>
    <w:rsid w:val="00407AB4"/>
    <w:rsid w:val="00415E32"/>
    <w:rsid w:val="00416655"/>
    <w:rsid w:val="00416968"/>
    <w:rsid w:val="004170BA"/>
    <w:rsid w:val="00422A33"/>
    <w:rsid w:val="00422BB3"/>
    <w:rsid w:val="00424081"/>
    <w:rsid w:val="004301CB"/>
    <w:rsid w:val="00432BFC"/>
    <w:rsid w:val="004337A8"/>
    <w:rsid w:val="00434291"/>
    <w:rsid w:val="004342B1"/>
    <w:rsid w:val="004343A7"/>
    <w:rsid w:val="0043480D"/>
    <w:rsid w:val="00437678"/>
    <w:rsid w:val="00437936"/>
    <w:rsid w:val="00437A5B"/>
    <w:rsid w:val="00441C92"/>
    <w:rsid w:val="004426D0"/>
    <w:rsid w:val="00442A2C"/>
    <w:rsid w:val="00444654"/>
    <w:rsid w:val="00444AC5"/>
    <w:rsid w:val="00446A3A"/>
    <w:rsid w:val="00446CAC"/>
    <w:rsid w:val="004473D1"/>
    <w:rsid w:val="004474E0"/>
    <w:rsid w:val="004529EC"/>
    <w:rsid w:val="004539B0"/>
    <w:rsid w:val="00454878"/>
    <w:rsid w:val="00455A89"/>
    <w:rsid w:val="00455B20"/>
    <w:rsid w:val="0046027A"/>
    <w:rsid w:val="00461C8B"/>
    <w:rsid w:val="004626F5"/>
    <w:rsid w:val="00462A36"/>
    <w:rsid w:val="00462D76"/>
    <w:rsid w:val="004639F2"/>
    <w:rsid w:val="00463F8E"/>
    <w:rsid w:val="004645C0"/>
    <w:rsid w:val="00471B6E"/>
    <w:rsid w:val="0047356E"/>
    <w:rsid w:val="00477022"/>
    <w:rsid w:val="00477DD2"/>
    <w:rsid w:val="00477EEE"/>
    <w:rsid w:val="004806FF"/>
    <w:rsid w:val="00480E3D"/>
    <w:rsid w:val="00482AB1"/>
    <w:rsid w:val="00485354"/>
    <w:rsid w:val="00485B19"/>
    <w:rsid w:val="00485F75"/>
    <w:rsid w:val="00487AC8"/>
    <w:rsid w:val="004920E1"/>
    <w:rsid w:val="00493FA2"/>
    <w:rsid w:val="00495150"/>
    <w:rsid w:val="00495CCF"/>
    <w:rsid w:val="004A02C2"/>
    <w:rsid w:val="004A0AB7"/>
    <w:rsid w:val="004A0BE7"/>
    <w:rsid w:val="004A21EE"/>
    <w:rsid w:val="004A2DC6"/>
    <w:rsid w:val="004A33B4"/>
    <w:rsid w:val="004A33F0"/>
    <w:rsid w:val="004B12D6"/>
    <w:rsid w:val="004B285A"/>
    <w:rsid w:val="004B3092"/>
    <w:rsid w:val="004B36F6"/>
    <w:rsid w:val="004B3C1B"/>
    <w:rsid w:val="004B486B"/>
    <w:rsid w:val="004C1A98"/>
    <w:rsid w:val="004C2A00"/>
    <w:rsid w:val="004C6C6B"/>
    <w:rsid w:val="004C77F5"/>
    <w:rsid w:val="004D1E69"/>
    <w:rsid w:val="004D2105"/>
    <w:rsid w:val="004D3BEB"/>
    <w:rsid w:val="004D4175"/>
    <w:rsid w:val="004D502A"/>
    <w:rsid w:val="004D5595"/>
    <w:rsid w:val="004D6892"/>
    <w:rsid w:val="004D7285"/>
    <w:rsid w:val="004E07E8"/>
    <w:rsid w:val="004E083C"/>
    <w:rsid w:val="004E16BC"/>
    <w:rsid w:val="004E1719"/>
    <w:rsid w:val="004E1B17"/>
    <w:rsid w:val="004E3972"/>
    <w:rsid w:val="004E4416"/>
    <w:rsid w:val="004E5016"/>
    <w:rsid w:val="004F0F38"/>
    <w:rsid w:val="004F2D8F"/>
    <w:rsid w:val="004F4AF2"/>
    <w:rsid w:val="00500F62"/>
    <w:rsid w:val="005014B0"/>
    <w:rsid w:val="00504215"/>
    <w:rsid w:val="00505BC2"/>
    <w:rsid w:val="00507491"/>
    <w:rsid w:val="00512F35"/>
    <w:rsid w:val="00513016"/>
    <w:rsid w:val="00514906"/>
    <w:rsid w:val="005156D5"/>
    <w:rsid w:val="00516EF2"/>
    <w:rsid w:val="0052078F"/>
    <w:rsid w:val="00527B53"/>
    <w:rsid w:val="0053227A"/>
    <w:rsid w:val="0053272D"/>
    <w:rsid w:val="005350B6"/>
    <w:rsid w:val="005407BB"/>
    <w:rsid w:val="00541E50"/>
    <w:rsid w:val="005424CD"/>
    <w:rsid w:val="00542D87"/>
    <w:rsid w:val="0054373E"/>
    <w:rsid w:val="00551578"/>
    <w:rsid w:val="005525ED"/>
    <w:rsid w:val="005540FD"/>
    <w:rsid w:val="00554CD7"/>
    <w:rsid w:val="00555D6F"/>
    <w:rsid w:val="00555F06"/>
    <w:rsid w:val="00556042"/>
    <w:rsid w:val="00560B3F"/>
    <w:rsid w:val="00561694"/>
    <w:rsid w:val="00563AB4"/>
    <w:rsid w:val="00563AD5"/>
    <w:rsid w:val="005649A3"/>
    <w:rsid w:val="0057108C"/>
    <w:rsid w:val="005732D8"/>
    <w:rsid w:val="0057506E"/>
    <w:rsid w:val="00577254"/>
    <w:rsid w:val="0057793B"/>
    <w:rsid w:val="005816C4"/>
    <w:rsid w:val="00587696"/>
    <w:rsid w:val="005877FA"/>
    <w:rsid w:val="005906DC"/>
    <w:rsid w:val="005907AD"/>
    <w:rsid w:val="00590F39"/>
    <w:rsid w:val="005912E3"/>
    <w:rsid w:val="005934DB"/>
    <w:rsid w:val="00594D11"/>
    <w:rsid w:val="00595039"/>
    <w:rsid w:val="0059562F"/>
    <w:rsid w:val="00595A2D"/>
    <w:rsid w:val="00595D8A"/>
    <w:rsid w:val="00597D01"/>
    <w:rsid w:val="00597FC4"/>
    <w:rsid w:val="005A0784"/>
    <w:rsid w:val="005A295E"/>
    <w:rsid w:val="005A37D2"/>
    <w:rsid w:val="005A383A"/>
    <w:rsid w:val="005A46FB"/>
    <w:rsid w:val="005B220F"/>
    <w:rsid w:val="005B4B19"/>
    <w:rsid w:val="005B4CE5"/>
    <w:rsid w:val="005B6C24"/>
    <w:rsid w:val="005C1317"/>
    <w:rsid w:val="005C23AD"/>
    <w:rsid w:val="005C2BA0"/>
    <w:rsid w:val="005C4BE4"/>
    <w:rsid w:val="005D1046"/>
    <w:rsid w:val="005D3191"/>
    <w:rsid w:val="005D3FEC"/>
    <w:rsid w:val="005D4767"/>
    <w:rsid w:val="005D4E85"/>
    <w:rsid w:val="005D5FDE"/>
    <w:rsid w:val="005D62D9"/>
    <w:rsid w:val="005D6D6C"/>
    <w:rsid w:val="005D720C"/>
    <w:rsid w:val="005E1B10"/>
    <w:rsid w:val="005E3D02"/>
    <w:rsid w:val="005E4017"/>
    <w:rsid w:val="005E4A9E"/>
    <w:rsid w:val="005E4AD8"/>
    <w:rsid w:val="005E6693"/>
    <w:rsid w:val="005F0117"/>
    <w:rsid w:val="005F0234"/>
    <w:rsid w:val="005F22AB"/>
    <w:rsid w:val="005F4D3A"/>
    <w:rsid w:val="005F5021"/>
    <w:rsid w:val="0060198C"/>
    <w:rsid w:val="00601ADB"/>
    <w:rsid w:val="00601B14"/>
    <w:rsid w:val="00601D17"/>
    <w:rsid w:val="00604621"/>
    <w:rsid w:val="00610816"/>
    <w:rsid w:val="00613421"/>
    <w:rsid w:val="006134CC"/>
    <w:rsid w:val="0061413D"/>
    <w:rsid w:val="00616F7B"/>
    <w:rsid w:val="006206A9"/>
    <w:rsid w:val="00620C3D"/>
    <w:rsid w:val="00622CE7"/>
    <w:rsid w:val="00622FCF"/>
    <w:rsid w:val="00623718"/>
    <w:rsid w:val="0062378D"/>
    <w:rsid w:val="00625220"/>
    <w:rsid w:val="006263D6"/>
    <w:rsid w:val="00626C8D"/>
    <w:rsid w:val="00627BEC"/>
    <w:rsid w:val="00631D58"/>
    <w:rsid w:val="006322E2"/>
    <w:rsid w:val="0063283E"/>
    <w:rsid w:val="006332CA"/>
    <w:rsid w:val="00635110"/>
    <w:rsid w:val="0063748F"/>
    <w:rsid w:val="00646DD6"/>
    <w:rsid w:val="00646F6E"/>
    <w:rsid w:val="006473F4"/>
    <w:rsid w:val="00650858"/>
    <w:rsid w:val="00650F92"/>
    <w:rsid w:val="00651495"/>
    <w:rsid w:val="00653B5D"/>
    <w:rsid w:val="00653EB5"/>
    <w:rsid w:val="0065471F"/>
    <w:rsid w:val="00660EBD"/>
    <w:rsid w:val="00664BF4"/>
    <w:rsid w:val="00664FA7"/>
    <w:rsid w:val="006660C4"/>
    <w:rsid w:val="00670608"/>
    <w:rsid w:val="006710D1"/>
    <w:rsid w:val="006716C4"/>
    <w:rsid w:val="00672412"/>
    <w:rsid w:val="00673BB8"/>
    <w:rsid w:val="00673D81"/>
    <w:rsid w:val="00674513"/>
    <w:rsid w:val="0067478B"/>
    <w:rsid w:val="00681E3F"/>
    <w:rsid w:val="00682671"/>
    <w:rsid w:val="0068383A"/>
    <w:rsid w:val="00683E1F"/>
    <w:rsid w:val="00685825"/>
    <w:rsid w:val="00685B13"/>
    <w:rsid w:val="00687167"/>
    <w:rsid w:val="00687698"/>
    <w:rsid w:val="00691333"/>
    <w:rsid w:val="0069341B"/>
    <w:rsid w:val="00695314"/>
    <w:rsid w:val="006956FC"/>
    <w:rsid w:val="00697F2F"/>
    <w:rsid w:val="006A1D7B"/>
    <w:rsid w:val="006A34C6"/>
    <w:rsid w:val="006A3606"/>
    <w:rsid w:val="006A506C"/>
    <w:rsid w:val="006B0F30"/>
    <w:rsid w:val="006B16CA"/>
    <w:rsid w:val="006B1CCC"/>
    <w:rsid w:val="006B422C"/>
    <w:rsid w:val="006B483A"/>
    <w:rsid w:val="006B539C"/>
    <w:rsid w:val="006B72FA"/>
    <w:rsid w:val="006B7DD6"/>
    <w:rsid w:val="006C003C"/>
    <w:rsid w:val="006C17E3"/>
    <w:rsid w:val="006C2814"/>
    <w:rsid w:val="006C2D2D"/>
    <w:rsid w:val="006C6554"/>
    <w:rsid w:val="006C7765"/>
    <w:rsid w:val="006D0336"/>
    <w:rsid w:val="006D11CA"/>
    <w:rsid w:val="006D249D"/>
    <w:rsid w:val="006D25BD"/>
    <w:rsid w:val="006D3ADA"/>
    <w:rsid w:val="006D3C22"/>
    <w:rsid w:val="006D3C51"/>
    <w:rsid w:val="006D419D"/>
    <w:rsid w:val="006D4212"/>
    <w:rsid w:val="006D428B"/>
    <w:rsid w:val="006D45CC"/>
    <w:rsid w:val="006D4937"/>
    <w:rsid w:val="006D56B8"/>
    <w:rsid w:val="006D5BBB"/>
    <w:rsid w:val="006D62B0"/>
    <w:rsid w:val="006E0013"/>
    <w:rsid w:val="006F095E"/>
    <w:rsid w:val="006F0E48"/>
    <w:rsid w:val="006F0E7B"/>
    <w:rsid w:val="006F1D78"/>
    <w:rsid w:val="006F3312"/>
    <w:rsid w:val="006F33B7"/>
    <w:rsid w:val="006F389C"/>
    <w:rsid w:val="006F6224"/>
    <w:rsid w:val="006F7439"/>
    <w:rsid w:val="00700C39"/>
    <w:rsid w:val="007010A0"/>
    <w:rsid w:val="00704B3E"/>
    <w:rsid w:val="00707540"/>
    <w:rsid w:val="0071130C"/>
    <w:rsid w:val="00711D5C"/>
    <w:rsid w:val="007126F2"/>
    <w:rsid w:val="00712BB7"/>
    <w:rsid w:val="00714D72"/>
    <w:rsid w:val="00720EF3"/>
    <w:rsid w:val="0072190E"/>
    <w:rsid w:val="007255BD"/>
    <w:rsid w:val="00730733"/>
    <w:rsid w:val="007317C4"/>
    <w:rsid w:val="00732818"/>
    <w:rsid w:val="00734280"/>
    <w:rsid w:val="007345DC"/>
    <w:rsid w:val="00734780"/>
    <w:rsid w:val="00734C26"/>
    <w:rsid w:val="00736329"/>
    <w:rsid w:val="00743957"/>
    <w:rsid w:val="00744C2C"/>
    <w:rsid w:val="00745F5D"/>
    <w:rsid w:val="00747E0A"/>
    <w:rsid w:val="007503F7"/>
    <w:rsid w:val="00750839"/>
    <w:rsid w:val="00750F42"/>
    <w:rsid w:val="0075306E"/>
    <w:rsid w:val="007558C8"/>
    <w:rsid w:val="00755B4B"/>
    <w:rsid w:val="00755C3B"/>
    <w:rsid w:val="007611E2"/>
    <w:rsid w:val="00761F67"/>
    <w:rsid w:val="0076274D"/>
    <w:rsid w:val="0076308C"/>
    <w:rsid w:val="007647BB"/>
    <w:rsid w:val="007648E7"/>
    <w:rsid w:val="00765EB2"/>
    <w:rsid w:val="0076712C"/>
    <w:rsid w:val="0076773C"/>
    <w:rsid w:val="00767EF5"/>
    <w:rsid w:val="007706A5"/>
    <w:rsid w:val="00771475"/>
    <w:rsid w:val="0077169D"/>
    <w:rsid w:val="00771AD4"/>
    <w:rsid w:val="00771E4A"/>
    <w:rsid w:val="007728E0"/>
    <w:rsid w:val="00773882"/>
    <w:rsid w:val="00773C75"/>
    <w:rsid w:val="007766F0"/>
    <w:rsid w:val="00777F8B"/>
    <w:rsid w:val="00780117"/>
    <w:rsid w:val="0078107F"/>
    <w:rsid w:val="0078172D"/>
    <w:rsid w:val="00791D90"/>
    <w:rsid w:val="007920E6"/>
    <w:rsid w:val="007934C8"/>
    <w:rsid w:val="00794517"/>
    <w:rsid w:val="007A444D"/>
    <w:rsid w:val="007A4FE7"/>
    <w:rsid w:val="007A5826"/>
    <w:rsid w:val="007A5A88"/>
    <w:rsid w:val="007B0361"/>
    <w:rsid w:val="007B1C4E"/>
    <w:rsid w:val="007B42E0"/>
    <w:rsid w:val="007B5C1F"/>
    <w:rsid w:val="007B6E5B"/>
    <w:rsid w:val="007B7318"/>
    <w:rsid w:val="007B7745"/>
    <w:rsid w:val="007B77EA"/>
    <w:rsid w:val="007B7EAF"/>
    <w:rsid w:val="007C0231"/>
    <w:rsid w:val="007C1465"/>
    <w:rsid w:val="007C1AEE"/>
    <w:rsid w:val="007C208F"/>
    <w:rsid w:val="007C2852"/>
    <w:rsid w:val="007C35B5"/>
    <w:rsid w:val="007C39F0"/>
    <w:rsid w:val="007C5E69"/>
    <w:rsid w:val="007C696B"/>
    <w:rsid w:val="007C7398"/>
    <w:rsid w:val="007D0694"/>
    <w:rsid w:val="007D06C9"/>
    <w:rsid w:val="007D0CDF"/>
    <w:rsid w:val="007D0F11"/>
    <w:rsid w:val="007D2A80"/>
    <w:rsid w:val="007D5AF4"/>
    <w:rsid w:val="007D62D1"/>
    <w:rsid w:val="007D7A82"/>
    <w:rsid w:val="007D7FE8"/>
    <w:rsid w:val="007E1703"/>
    <w:rsid w:val="007E1986"/>
    <w:rsid w:val="007E2B2C"/>
    <w:rsid w:val="007E3213"/>
    <w:rsid w:val="007E6E07"/>
    <w:rsid w:val="007E7485"/>
    <w:rsid w:val="007F068A"/>
    <w:rsid w:val="007F09F4"/>
    <w:rsid w:val="007F1384"/>
    <w:rsid w:val="007F13FA"/>
    <w:rsid w:val="007F3CAE"/>
    <w:rsid w:val="007F605D"/>
    <w:rsid w:val="007F63BC"/>
    <w:rsid w:val="007F799D"/>
    <w:rsid w:val="00800E6E"/>
    <w:rsid w:val="00800FC6"/>
    <w:rsid w:val="00801F34"/>
    <w:rsid w:val="008046F4"/>
    <w:rsid w:val="00806CAE"/>
    <w:rsid w:val="008076D7"/>
    <w:rsid w:val="008079E3"/>
    <w:rsid w:val="00807E35"/>
    <w:rsid w:val="008101E5"/>
    <w:rsid w:val="0081049A"/>
    <w:rsid w:val="00812C42"/>
    <w:rsid w:val="008134D2"/>
    <w:rsid w:val="0081362B"/>
    <w:rsid w:val="0082212E"/>
    <w:rsid w:val="00822753"/>
    <w:rsid w:val="00824B85"/>
    <w:rsid w:val="00824D38"/>
    <w:rsid w:val="00824F64"/>
    <w:rsid w:val="00825630"/>
    <w:rsid w:val="00827157"/>
    <w:rsid w:val="00832075"/>
    <w:rsid w:val="00833440"/>
    <w:rsid w:val="0083441B"/>
    <w:rsid w:val="00834628"/>
    <w:rsid w:val="00835193"/>
    <w:rsid w:val="00835C5E"/>
    <w:rsid w:val="00836549"/>
    <w:rsid w:val="00836FDC"/>
    <w:rsid w:val="008428C6"/>
    <w:rsid w:val="008433A4"/>
    <w:rsid w:val="00845899"/>
    <w:rsid w:val="00845BFD"/>
    <w:rsid w:val="008465D0"/>
    <w:rsid w:val="00846E55"/>
    <w:rsid w:val="00846E84"/>
    <w:rsid w:val="00847519"/>
    <w:rsid w:val="00855D08"/>
    <w:rsid w:val="0085617D"/>
    <w:rsid w:val="00856B1D"/>
    <w:rsid w:val="00857E04"/>
    <w:rsid w:val="0086075F"/>
    <w:rsid w:val="00860892"/>
    <w:rsid w:val="008651E5"/>
    <w:rsid w:val="00867BC6"/>
    <w:rsid w:val="008706C8"/>
    <w:rsid w:val="00871230"/>
    <w:rsid w:val="0087468A"/>
    <w:rsid w:val="00876699"/>
    <w:rsid w:val="00877097"/>
    <w:rsid w:val="00877B19"/>
    <w:rsid w:val="0088118F"/>
    <w:rsid w:val="0088427F"/>
    <w:rsid w:val="00884546"/>
    <w:rsid w:val="00886A45"/>
    <w:rsid w:val="00886F7E"/>
    <w:rsid w:val="00890A7C"/>
    <w:rsid w:val="00890FC5"/>
    <w:rsid w:val="00891D21"/>
    <w:rsid w:val="00894B56"/>
    <w:rsid w:val="00895190"/>
    <w:rsid w:val="008966B3"/>
    <w:rsid w:val="00896D53"/>
    <w:rsid w:val="00897D3F"/>
    <w:rsid w:val="008A212C"/>
    <w:rsid w:val="008A23D1"/>
    <w:rsid w:val="008A2F48"/>
    <w:rsid w:val="008A3566"/>
    <w:rsid w:val="008A36ED"/>
    <w:rsid w:val="008A3853"/>
    <w:rsid w:val="008A3E30"/>
    <w:rsid w:val="008A63C3"/>
    <w:rsid w:val="008A675D"/>
    <w:rsid w:val="008A767B"/>
    <w:rsid w:val="008B0D8C"/>
    <w:rsid w:val="008B1510"/>
    <w:rsid w:val="008B18C3"/>
    <w:rsid w:val="008B1F48"/>
    <w:rsid w:val="008B314B"/>
    <w:rsid w:val="008B5AAD"/>
    <w:rsid w:val="008C0030"/>
    <w:rsid w:val="008C4662"/>
    <w:rsid w:val="008D30A9"/>
    <w:rsid w:val="008D3912"/>
    <w:rsid w:val="008D3ACB"/>
    <w:rsid w:val="008D4517"/>
    <w:rsid w:val="008D4D3A"/>
    <w:rsid w:val="008D6229"/>
    <w:rsid w:val="008D65A6"/>
    <w:rsid w:val="008D6693"/>
    <w:rsid w:val="008D701A"/>
    <w:rsid w:val="008D795B"/>
    <w:rsid w:val="008E14A0"/>
    <w:rsid w:val="008E3340"/>
    <w:rsid w:val="008E33F4"/>
    <w:rsid w:val="008E412C"/>
    <w:rsid w:val="008E4441"/>
    <w:rsid w:val="008E48E2"/>
    <w:rsid w:val="008E6F30"/>
    <w:rsid w:val="008F0A94"/>
    <w:rsid w:val="008F1F2D"/>
    <w:rsid w:val="008F214E"/>
    <w:rsid w:val="008F443D"/>
    <w:rsid w:val="008F4B06"/>
    <w:rsid w:val="008F550C"/>
    <w:rsid w:val="008F683A"/>
    <w:rsid w:val="008F762D"/>
    <w:rsid w:val="009005A9"/>
    <w:rsid w:val="0090173B"/>
    <w:rsid w:val="00902B32"/>
    <w:rsid w:val="00903715"/>
    <w:rsid w:val="00904D40"/>
    <w:rsid w:val="00904D68"/>
    <w:rsid w:val="009058BE"/>
    <w:rsid w:val="00905D5A"/>
    <w:rsid w:val="00906D85"/>
    <w:rsid w:val="009107B5"/>
    <w:rsid w:val="00910B86"/>
    <w:rsid w:val="0091119C"/>
    <w:rsid w:val="00913CBD"/>
    <w:rsid w:val="00914BEF"/>
    <w:rsid w:val="00916E68"/>
    <w:rsid w:val="00922A7C"/>
    <w:rsid w:val="00922C0C"/>
    <w:rsid w:val="00923853"/>
    <w:rsid w:val="00925222"/>
    <w:rsid w:val="0093164F"/>
    <w:rsid w:val="00931ECE"/>
    <w:rsid w:val="009335F5"/>
    <w:rsid w:val="009338B1"/>
    <w:rsid w:val="00933D92"/>
    <w:rsid w:val="00936DB7"/>
    <w:rsid w:val="00940613"/>
    <w:rsid w:val="0094142C"/>
    <w:rsid w:val="00941CC6"/>
    <w:rsid w:val="00941EDF"/>
    <w:rsid w:val="00943476"/>
    <w:rsid w:val="0094403A"/>
    <w:rsid w:val="00944396"/>
    <w:rsid w:val="009515E9"/>
    <w:rsid w:val="00952988"/>
    <w:rsid w:val="009529F9"/>
    <w:rsid w:val="00952D54"/>
    <w:rsid w:val="00952F49"/>
    <w:rsid w:val="00953531"/>
    <w:rsid w:val="009543A8"/>
    <w:rsid w:val="00955C8D"/>
    <w:rsid w:val="00955CAA"/>
    <w:rsid w:val="009563B9"/>
    <w:rsid w:val="0096116C"/>
    <w:rsid w:val="0096185F"/>
    <w:rsid w:val="00962C34"/>
    <w:rsid w:val="00962F01"/>
    <w:rsid w:val="00962F93"/>
    <w:rsid w:val="009631AA"/>
    <w:rsid w:val="00964661"/>
    <w:rsid w:val="009647A4"/>
    <w:rsid w:val="009657FE"/>
    <w:rsid w:val="00965808"/>
    <w:rsid w:val="00965B84"/>
    <w:rsid w:val="0096661C"/>
    <w:rsid w:val="00966FCA"/>
    <w:rsid w:val="00967E59"/>
    <w:rsid w:val="0097189D"/>
    <w:rsid w:val="0097199E"/>
    <w:rsid w:val="00971D14"/>
    <w:rsid w:val="00972FD1"/>
    <w:rsid w:val="009748E5"/>
    <w:rsid w:val="0097735A"/>
    <w:rsid w:val="009825C7"/>
    <w:rsid w:val="00985211"/>
    <w:rsid w:val="009854B5"/>
    <w:rsid w:val="00985723"/>
    <w:rsid w:val="00987296"/>
    <w:rsid w:val="00992312"/>
    <w:rsid w:val="00993070"/>
    <w:rsid w:val="00995ACE"/>
    <w:rsid w:val="00996E18"/>
    <w:rsid w:val="009A0157"/>
    <w:rsid w:val="009A07DF"/>
    <w:rsid w:val="009A2564"/>
    <w:rsid w:val="009A2876"/>
    <w:rsid w:val="009A507C"/>
    <w:rsid w:val="009A7AB4"/>
    <w:rsid w:val="009A7C08"/>
    <w:rsid w:val="009B00F0"/>
    <w:rsid w:val="009B1038"/>
    <w:rsid w:val="009B1BE4"/>
    <w:rsid w:val="009B1D1F"/>
    <w:rsid w:val="009B203F"/>
    <w:rsid w:val="009B3794"/>
    <w:rsid w:val="009B3B67"/>
    <w:rsid w:val="009B6D5B"/>
    <w:rsid w:val="009C1113"/>
    <w:rsid w:val="009C1453"/>
    <w:rsid w:val="009C2305"/>
    <w:rsid w:val="009C318B"/>
    <w:rsid w:val="009C383C"/>
    <w:rsid w:val="009C583F"/>
    <w:rsid w:val="009C7574"/>
    <w:rsid w:val="009C7ED9"/>
    <w:rsid w:val="009D1134"/>
    <w:rsid w:val="009D71FF"/>
    <w:rsid w:val="009D7938"/>
    <w:rsid w:val="009D7FDF"/>
    <w:rsid w:val="009E0121"/>
    <w:rsid w:val="009E198C"/>
    <w:rsid w:val="009E4B28"/>
    <w:rsid w:val="009E60E0"/>
    <w:rsid w:val="009E61E2"/>
    <w:rsid w:val="009F0292"/>
    <w:rsid w:val="009F0801"/>
    <w:rsid w:val="009F2F75"/>
    <w:rsid w:val="009F3381"/>
    <w:rsid w:val="00A0107C"/>
    <w:rsid w:val="00A014B8"/>
    <w:rsid w:val="00A01637"/>
    <w:rsid w:val="00A032EC"/>
    <w:rsid w:val="00A03B69"/>
    <w:rsid w:val="00A05496"/>
    <w:rsid w:val="00A05805"/>
    <w:rsid w:val="00A06B71"/>
    <w:rsid w:val="00A079E2"/>
    <w:rsid w:val="00A101B9"/>
    <w:rsid w:val="00A134B7"/>
    <w:rsid w:val="00A13BAF"/>
    <w:rsid w:val="00A13ED5"/>
    <w:rsid w:val="00A13FF5"/>
    <w:rsid w:val="00A14534"/>
    <w:rsid w:val="00A1484A"/>
    <w:rsid w:val="00A14B8B"/>
    <w:rsid w:val="00A175BC"/>
    <w:rsid w:val="00A17D03"/>
    <w:rsid w:val="00A20128"/>
    <w:rsid w:val="00A2066E"/>
    <w:rsid w:val="00A20813"/>
    <w:rsid w:val="00A21088"/>
    <w:rsid w:val="00A22CB2"/>
    <w:rsid w:val="00A22D9B"/>
    <w:rsid w:val="00A23011"/>
    <w:rsid w:val="00A2340C"/>
    <w:rsid w:val="00A2430D"/>
    <w:rsid w:val="00A24E9B"/>
    <w:rsid w:val="00A27637"/>
    <w:rsid w:val="00A27AAB"/>
    <w:rsid w:val="00A30A11"/>
    <w:rsid w:val="00A3630B"/>
    <w:rsid w:val="00A400A2"/>
    <w:rsid w:val="00A4100B"/>
    <w:rsid w:val="00A42099"/>
    <w:rsid w:val="00A42F7C"/>
    <w:rsid w:val="00A44F91"/>
    <w:rsid w:val="00A44F9E"/>
    <w:rsid w:val="00A45B1A"/>
    <w:rsid w:val="00A4628B"/>
    <w:rsid w:val="00A47B62"/>
    <w:rsid w:val="00A51100"/>
    <w:rsid w:val="00A51F62"/>
    <w:rsid w:val="00A52224"/>
    <w:rsid w:val="00A5512B"/>
    <w:rsid w:val="00A61011"/>
    <w:rsid w:val="00A62FD8"/>
    <w:rsid w:val="00A650B2"/>
    <w:rsid w:val="00A65293"/>
    <w:rsid w:val="00A65FD1"/>
    <w:rsid w:val="00A6691C"/>
    <w:rsid w:val="00A66BAA"/>
    <w:rsid w:val="00A709B9"/>
    <w:rsid w:val="00A71409"/>
    <w:rsid w:val="00A718AC"/>
    <w:rsid w:val="00A71B90"/>
    <w:rsid w:val="00A72475"/>
    <w:rsid w:val="00A73296"/>
    <w:rsid w:val="00A74A5A"/>
    <w:rsid w:val="00A74B96"/>
    <w:rsid w:val="00A74DBC"/>
    <w:rsid w:val="00A75448"/>
    <w:rsid w:val="00A761AD"/>
    <w:rsid w:val="00A763B6"/>
    <w:rsid w:val="00A778DE"/>
    <w:rsid w:val="00A77D4A"/>
    <w:rsid w:val="00A804C4"/>
    <w:rsid w:val="00A83F8D"/>
    <w:rsid w:val="00A8443F"/>
    <w:rsid w:val="00A84DE7"/>
    <w:rsid w:val="00A86C5A"/>
    <w:rsid w:val="00A86F9D"/>
    <w:rsid w:val="00A87466"/>
    <w:rsid w:val="00A87E5E"/>
    <w:rsid w:val="00A9083E"/>
    <w:rsid w:val="00A91174"/>
    <w:rsid w:val="00A912AB"/>
    <w:rsid w:val="00A93044"/>
    <w:rsid w:val="00A942AC"/>
    <w:rsid w:val="00A9631C"/>
    <w:rsid w:val="00A971D3"/>
    <w:rsid w:val="00A9791A"/>
    <w:rsid w:val="00AA1CD1"/>
    <w:rsid w:val="00AA3EF3"/>
    <w:rsid w:val="00AA57B1"/>
    <w:rsid w:val="00AA5935"/>
    <w:rsid w:val="00AA648F"/>
    <w:rsid w:val="00AB0B24"/>
    <w:rsid w:val="00AB12D3"/>
    <w:rsid w:val="00AB314B"/>
    <w:rsid w:val="00AB4398"/>
    <w:rsid w:val="00AB531E"/>
    <w:rsid w:val="00AC0940"/>
    <w:rsid w:val="00AC2F5E"/>
    <w:rsid w:val="00AC3126"/>
    <w:rsid w:val="00AC6A85"/>
    <w:rsid w:val="00AC764D"/>
    <w:rsid w:val="00AD0520"/>
    <w:rsid w:val="00AD05DE"/>
    <w:rsid w:val="00AD094D"/>
    <w:rsid w:val="00AD1366"/>
    <w:rsid w:val="00AD1AA8"/>
    <w:rsid w:val="00AD41D7"/>
    <w:rsid w:val="00AD5058"/>
    <w:rsid w:val="00AD50D9"/>
    <w:rsid w:val="00AD5A42"/>
    <w:rsid w:val="00AD5FA9"/>
    <w:rsid w:val="00AD76A8"/>
    <w:rsid w:val="00AE4EEA"/>
    <w:rsid w:val="00AE70BA"/>
    <w:rsid w:val="00AF04CE"/>
    <w:rsid w:val="00AF379B"/>
    <w:rsid w:val="00AF394E"/>
    <w:rsid w:val="00AF5D1F"/>
    <w:rsid w:val="00AF62CD"/>
    <w:rsid w:val="00B01241"/>
    <w:rsid w:val="00B01254"/>
    <w:rsid w:val="00B027E7"/>
    <w:rsid w:val="00B03613"/>
    <w:rsid w:val="00B03DF5"/>
    <w:rsid w:val="00B052E2"/>
    <w:rsid w:val="00B05685"/>
    <w:rsid w:val="00B05888"/>
    <w:rsid w:val="00B07ECC"/>
    <w:rsid w:val="00B1445D"/>
    <w:rsid w:val="00B14D0E"/>
    <w:rsid w:val="00B15EC2"/>
    <w:rsid w:val="00B24AC7"/>
    <w:rsid w:val="00B24F65"/>
    <w:rsid w:val="00B251CE"/>
    <w:rsid w:val="00B25A14"/>
    <w:rsid w:val="00B2661A"/>
    <w:rsid w:val="00B26A53"/>
    <w:rsid w:val="00B27CAF"/>
    <w:rsid w:val="00B30EBF"/>
    <w:rsid w:val="00B33206"/>
    <w:rsid w:val="00B362C9"/>
    <w:rsid w:val="00B37E74"/>
    <w:rsid w:val="00B445AD"/>
    <w:rsid w:val="00B450CF"/>
    <w:rsid w:val="00B4684A"/>
    <w:rsid w:val="00B50142"/>
    <w:rsid w:val="00B51D61"/>
    <w:rsid w:val="00B52671"/>
    <w:rsid w:val="00B526E5"/>
    <w:rsid w:val="00B535FE"/>
    <w:rsid w:val="00B5418A"/>
    <w:rsid w:val="00B54620"/>
    <w:rsid w:val="00B54D37"/>
    <w:rsid w:val="00B60044"/>
    <w:rsid w:val="00B60317"/>
    <w:rsid w:val="00B606E9"/>
    <w:rsid w:val="00B6187C"/>
    <w:rsid w:val="00B64362"/>
    <w:rsid w:val="00B665AD"/>
    <w:rsid w:val="00B67177"/>
    <w:rsid w:val="00B737DF"/>
    <w:rsid w:val="00B8045F"/>
    <w:rsid w:val="00B81DCE"/>
    <w:rsid w:val="00B82FAC"/>
    <w:rsid w:val="00B83C76"/>
    <w:rsid w:val="00B83CA6"/>
    <w:rsid w:val="00B83D68"/>
    <w:rsid w:val="00B84190"/>
    <w:rsid w:val="00B84D46"/>
    <w:rsid w:val="00B85613"/>
    <w:rsid w:val="00B86350"/>
    <w:rsid w:val="00B9034A"/>
    <w:rsid w:val="00B929CD"/>
    <w:rsid w:val="00B95DC2"/>
    <w:rsid w:val="00B9615E"/>
    <w:rsid w:val="00BA1117"/>
    <w:rsid w:val="00BA18D3"/>
    <w:rsid w:val="00BA2AC2"/>
    <w:rsid w:val="00BA445E"/>
    <w:rsid w:val="00BA47D3"/>
    <w:rsid w:val="00BB08E4"/>
    <w:rsid w:val="00BB10C6"/>
    <w:rsid w:val="00BB1DC3"/>
    <w:rsid w:val="00BB380B"/>
    <w:rsid w:val="00BC0E6F"/>
    <w:rsid w:val="00BC0E87"/>
    <w:rsid w:val="00BC1A74"/>
    <w:rsid w:val="00BC2105"/>
    <w:rsid w:val="00BC3439"/>
    <w:rsid w:val="00BC3974"/>
    <w:rsid w:val="00BC433B"/>
    <w:rsid w:val="00BC6FE9"/>
    <w:rsid w:val="00BD0251"/>
    <w:rsid w:val="00BD32B1"/>
    <w:rsid w:val="00BD42C6"/>
    <w:rsid w:val="00BD6C5C"/>
    <w:rsid w:val="00BD713B"/>
    <w:rsid w:val="00BD73E8"/>
    <w:rsid w:val="00BE0667"/>
    <w:rsid w:val="00BE0F14"/>
    <w:rsid w:val="00BE2F0D"/>
    <w:rsid w:val="00BF0188"/>
    <w:rsid w:val="00BF2271"/>
    <w:rsid w:val="00BF28AE"/>
    <w:rsid w:val="00BF28B4"/>
    <w:rsid w:val="00BF2B2E"/>
    <w:rsid w:val="00BF5857"/>
    <w:rsid w:val="00BF7565"/>
    <w:rsid w:val="00C0012E"/>
    <w:rsid w:val="00C03A6F"/>
    <w:rsid w:val="00C04D72"/>
    <w:rsid w:val="00C04FF4"/>
    <w:rsid w:val="00C05168"/>
    <w:rsid w:val="00C07D8F"/>
    <w:rsid w:val="00C1069B"/>
    <w:rsid w:val="00C10A65"/>
    <w:rsid w:val="00C11BAF"/>
    <w:rsid w:val="00C14737"/>
    <w:rsid w:val="00C14F71"/>
    <w:rsid w:val="00C20222"/>
    <w:rsid w:val="00C21248"/>
    <w:rsid w:val="00C2193D"/>
    <w:rsid w:val="00C25697"/>
    <w:rsid w:val="00C25DA5"/>
    <w:rsid w:val="00C26B35"/>
    <w:rsid w:val="00C3234F"/>
    <w:rsid w:val="00C422B5"/>
    <w:rsid w:val="00C4353F"/>
    <w:rsid w:val="00C439EB"/>
    <w:rsid w:val="00C44322"/>
    <w:rsid w:val="00C44C50"/>
    <w:rsid w:val="00C4725E"/>
    <w:rsid w:val="00C47EEE"/>
    <w:rsid w:val="00C50053"/>
    <w:rsid w:val="00C50485"/>
    <w:rsid w:val="00C507D8"/>
    <w:rsid w:val="00C51931"/>
    <w:rsid w:val="00C53862"/>
    <w:rsid w:val="00C53CC1"/>
    <w:rsid w:val="00C549D3"/>
    <w:rsid w:val="00C56490"/>
    <w:rsid w:val="00C57127"/>
    <w:rsid w:val="00C5786D"/>
    <w:rsid w:val="00C57A72"/>
    <w:rsid w:val="00C57DC7"/>
    <w:rsid w:val="00C60189"/>
    <w:rsid w:val="00C60800"/>
    <w:rsid w:val="00C60903"/>
    <w:rsid w:val="00C65418"/>
    <w:rsid w:val="00C65D6E"/>
    <w:rsid w:val="00C660EB"/>
    <w:rsid w:val="00C66729"/>
    <w:rsid w:val="00C71539"/>
    <w:rsid w:val="00C74E4A"/>
    <w:rsid w:val="00C76EE3"/>
    <w:rsid w:val="00C778EF"/>
    <w:rsid w:val="00C77E16"/>
    <w:rsid w:val="00C82E79"/>
    <w:rsid w:val="00C835E1"/>
    <w:rsid w:val="00C83C97"/>
    <w:rsid w:val="00C867BE"/>
    <w:rsid w:val="00C90F17"/>
    <w:rsid w:val="00C910B8"/>
    <w:rsid w:val="00C929F9"/>
    <w:rsid w:val="00C9354E"/>
    <w:rsid w:val="00C93BE3"/>
    <w:rsid w:val="00C94CE2"/>
    <w:rsid w:val="00C957BB"/>
    <w:rsid w:val="00CA01A4"/>
    <w:rsid w:val="00CA19A8"/>
    <w:rsid w:val="00CA254E"/>
    <w:rsid w:val="00CA2633"/>
    <w:rsid w:val="00CA34B4"/>
    <w:rsid w:val="00CA36FE"/>
    <w:rsid w:val="00CA548C"/>
    <w:rsid w:val="00CB245D"/>
    <w:rsid w:val="00CB5A97"/>
    <w:rsid w:val="00CC05F2"/>
    <w:rsid w:val="00CC1253"/>
    <w:rsid w:val="00CC30F4"/>
    <w:rsid w:val="00CC3649"/>
    <w:rsid w:val="00CC4645"/>
    <w:rsid w:val="00CC5CC2"/>
    <w:rsid w:val="00CC6ED3"/>
    <w:rsid w:val="00CC7030"/>
    <w:rsid w:val="00CC784C"/>
    <w:rsid w:val="00CD21C1"/>
    <w:rsid w:val="00CD255A"/>
    <w:rsid w:val="00CD3BAB"/>
    <w:rsid w:val="00CD6D43"/>
    <w:rsid w:val="00CE0042"/>
    <w:rsid w:val="00CE0A35"/>
    <w:rsid w:val="00CE0F90"/>
    <w:rsid w:val="00CE139B"/>
    <w:rsid w:val="00CE1E81"/>
    <w:rsid w:val="00CE2025"/>
    <w:rsid w:val="00CE33E6"/>
    <w:rsid w:val="00CE3B31"/>
    <w:rsid w:val="00CE40B6"/>
    <w:rsid w:val="00CE5CE9"/>
    <w:rsid w:val="00CE675F"/>
    <w:rsid w:val="00CE7097"/>
    <w:rsid w:val="00CF0058"/>
    <w:rsid w:val="00CF3B3C"/>
    <w:rsid w:val="00CF4102"/>
    <w:rsid w:val="00CF5612"/>
    <w:rsid w:val="00CF5C6B"/>
    <w:rsid w:val="00CF6FB3"/>
    <w:rsid w:val="00D005D0"/>
    <w:rsid w:val="00D01C00"/>
    <w:rsid w:val="00D03AB1"/>
    <w:rsid w:val="00D04054"/>
    <w:rsid w:val="00D122DF"/>
    <w:rsid w:val="00D15352"/>
    <w:rsid w:val="00D1710F"/>
    <w:rsid w:val="00D20461"/>
    <w:rsid w:val="00D205F5"/>
    <w:rsid w:val="00D2179F"/>
    <w:rsid w:val="00D2216E"/>
    <w:rsid w:val="00D24744"/>
    <w:rsid w:val="00D25816"/>
    <w:rsid w:val="00D25D8E"/>
    <w:rsid w:val="00D27505"/>
    <w:rsid w:val="00D30F14"/>
    <w:rsid w:val="00D330F2"/>
    <w:rsid w:val="00D33790"/>
    <w:rsid w:val="00D35680"/>
    <w:rsid w:val="00D4112B"/>
    <w:rsid w:val="00D41F6C"/>
    <w:rsid w:val="00D4271D"/>
    <w:rsid w:val="00D447FC"/>
    <w:rsid w:val="00D44977"/>
    <w:rsid w:val="00D45180"/>
    <w:rsid w:val="00D45D5B"/>
    <w:rsid w:val="00D4615D"/>
    <w:rsid w:val="00D4743C"/>
    <w:rsid w:val="00D4790B"/>
    <w:rsid w:val="00D503D6"/>
    <w:rsid w:val="00D5111E"/>
    <w:rsid w:val="00D51B61"/>
    <w:rsid w:val="00D53654"/>
    <w:rsid w:val="00D557A4"/>
    <w:rsid w:val="00D55BFA"/>
    <w:rsid w:val="00D56042"/>
    <w:rsid w:val="00D560A1"/>
    <w:rsid w:val="00D61366"/>
    <w:rsid w:val="00D6260E"/>
    <w:rsid w:val="00D62A97"/>
    <w:rsid w:val="00D63E3E"/>
    <w:rsid w:val="00D63E7E"/>
    <w:rsid w:val="00D64FEE"/>
    <w:rsid w:val="00D66341"/>
    <w:rsid w:val="00D66ED3"/>
    <w:rsid w:val="00D67CF0"/>
    <w:rsid w:val="00D702FF"/>
    <w:rsid w:val="00D7130D"/>
    <w:rsid w:val="00D728FE"/>
    <w:rsid w:val="00D747A4"/>
    <w:rsid w:val="00D75311"/>
    <w:rsid w:val="00D77E47"/>
    <w:rsid w:val="00D816D8"/>
    <w:rsid w:val="00D82BA8"/>
    <w:rsid w:val="00D83B6C"/>
    <w:rsid w:val="00D84069"/>
    <w:rsid w:val="00D85DB5"/>
    <w:rsid w:val="00D865BF"/>
    <w:rsid w:val="00D86D4D"/>
    <w:rsid w:val="00D87287"/>
    <w:rsid w:val="00D87A41"/>
    <w:rsid w:val="00D92A45"/>
    <w:rsid w:val="00D968EC"/>
    <w:rsid w:val="00D975AC"/>
    <w:rsid w:val="00D97C82"/>
    <w:rsid w:val="00DA4CC8"/>
    <w:rsid w:val="00DA706D"/>
    <w:rsid w:val="00DB078C"/>
    <w:rsid w:val="00DB2EC0"/>
    <w:rsid w:val="00DB3648"/>
    <w:rsid w:val="00DB4A5A"/>
    <w:rsid w:val="00DB52F2"/>
    <w:rsid w:val="00DC034F"/>
    <w:rsid w:val="00DC3A5F"/>
    <w:rsid w:val="00DC52CF"/>
    <w:rsid w:val="00DC5DF0"/>
    <w:rsid w:val="00DC68A1"/>
    <w:rsid w:val="00DC6BFF"/>
    <w:rsid w:val="00DC70CF"/>
    <w:rsid w:val="00DC78AA"/>
    <w:rsid w:val="00DD2B89"/>
    <w:rsid w:val="00DD33B5"/>
    <w:rsid w:val="00DD3F5B"/>
    <w:rsid w:val="00DD405D"/>
    <w:rsid w:val="00DD5454"/>
    <w:rsid w:val="00DD6B0D"/>
    <w:rsid w:val="00DE007B"/>
    <w:rsid w:val="00DE1718"/>
    <w:rsid w:val="00DE27F9"/>
    <w:rsid w:val="00DE4893"/>
    <w:rsid w:val="00DE68FA"/>
    <w:rsid w:val="00DE6A34"/>
    <w:rsid w:val="00DF3437"/>
    <w:rsid w:val="00DF4F28"/>
    <w:rsid w:val="00DF6BAE"/>
    <w:rsid w:val="00E0121C"/>
    <w:rsid w:val="00E03751"/>
    <w:rsid w:val="00E03C3D"/>
    <w:rsid w:val="00E04552"/>
    <w:rsid w:val="00E0692D"/>
    <w:rsid w:val="00E10728"/>
    <w:rsid w:val="00E107E1"/>
    <w:rsid w:val="00E12FC9"/>
    <w:rsid w:val="00E145BC"/>
    <w:rsid w:val="00E16575"/>
    <w:rsid w:val="00E24BAB"/>
    <w:rsid w:val="00E261E7"/>
    <w:rsid w:val="00E26E61"/>
    <w:rsid w:val="00E30792"/>
    <w:rsid w:val="00E30903"/>
    <w:rsid w:val="00E31008"/>
    <w:rsid w:val="00E31DE8"/>
    <w:rsid w:val="00E32710"/>
    <w:rsid w:val="00E32E2D"/>
    <w:rsid w:val="00E33729"/>
    <w:rsid w:val="00E33E05"/>
    <w:rsid w:val="00E35A59"/>
    <w:rsid w:val="00E37843"/>
    <w:rsid w:val="00E3790D"/>
    <w:rsid w:val="00E40367"/>
    <w:rsid w:val="00E42B5B"/>
    <w:rsid w:val="00E529DE"/>
    <w:rsid w:val="00E52CD5"/>
    <w:rsid w:val="00E538FB"/>
    <w:rsid w:val="00E55352"/>
    <w:rsid w:val="00E55CD6"/>
    <w:rsid w:val="00E57341"/>
    <w:rsid w:val="00E60D63"/>
    <w:rsid w:val="00E6217E"/>
    <w:rsid w:val="00E6398A"/>
    <w:rsid w:val="00E659F3"/>
    <w:rsid w:val="00E65FF3"/>
    <w:rsid w:val="00E704BF"/>
    <w:rsid w:val="00E71652"/>
    <w:rsid w:val="00E71A44"/>
    <w:rsid w:val="00E7436B"/>
    <w:rsid w:val="00E772F7"/>
    <w:rsid w:val="00E8003A"/>
    <w:rsid w:val="00E8243D"/>
    <w:rsid w:val="00E82896"/>
    <w:rsid w:val="00E834D7"/>
    <w:rsid w:val="00E8376E"/>
    <w:rsid w:val="00E8544A"/>
    <w:rsid w:val="00E85D21"/>
    <w:rsid w:val="00E863B2"/>
    <w:rsid w:val="00E9077D"/>
    <w:rsid w:val="00E96B06"/>
    <w:rsid w:val="00EA0A55"/>
    <w:rsid w:val="00EA0C8D"/>
    <w:rsid w:val="00EA2C12"/>
    <w:rsid w:val="00EA764A"/>
    <w:rsid w:val="00EB02A1"/>
    <w:rsid w:val="00EB039A"/>
    <w:rsid w:val="00EB049F"/>
    <w:rsid w:val="00EB27A3"/>
    <w:rsid w:val="00EB67F3"/>
    <w:rsid w:val="00EB6D5E"/>
    <w:rsid w:val="00EC30CA"/>
    <w:rsid w:val="00EC31FC"/>
    <w:rsid w:val="00EC3630"/>
    <w:rsid w:val="00EC48FC"/>
    <w:rsid w:val="00EC4AAB"/>
    <w:rsid w:val="00EC5BA9"/>
    <w:rsid w:val="00EC6F1E"/>
    <w:rsid w:val="00ED2B3E"/>
    <w:rsid w:val="00EE0D00"/>
    <w:rsid w:val="00EE1085"/>
    <w:rsid w:val="00EE48EB"/>
    <w:rsid w:val="00EE4A6B"/>
    <w:rsid w:val="00EE5982"/>
    <w:rsid w:val="00EE6AA0"/>
    <w:rsid w:val="00EE7757"/>
    <w:rsid w:val="00EF214A"/>
    <w:rsid w:val="00EF26F6"/>
    <w:rsid w:val="00EF28E6"/>
    <w:rsid w:val="00EF4DFA"/>
    <w:rsid w:val="00EF7667"/>
    <w:rsid w:val="00F00DC6"/>
    <w:rsid w:val="00F00F3D"/>
    <w:rsid w:val="00F01934"/>
    <w:rsid w:val="00F024BD"/>
    <w:rsid w:val="00F02519"/>
    <w:rsid w:val="00F0274F"/>
    <w:rsid w:val="00F02AB5"/>
    <w:rsid w:val="00F0396F"/>
    <w:rsid w:val="00F04067"/>
    <w:rsid w:val="00F0412A"/>
    <w:rsid w:val="00F04331"/>
    <w:rsid w:val="00F04366"/>
    <w:rsid w:val="00F04901"/>
    <w:rsid w:val="00F04C8A"/>
    <w:rsid w:val="00F052D2"/>
    <w:rsid w:val="00F06F68"/>
    <w:rsid w:val="00F1074D"/>
    <w:rsid w:val="00F158E0"/>
    <w:rsid w:val="00F17548"/>
    <w:rsid w:val="00F206FA"/>
    <w:rsid w:val="00F20779"/>
    <w:rsid w:val="00F218EF"/>
    <w:rsid w:val="00F24300"/>
    <w:rsid w:val="00F250DE"/>
    <w:rsid w:val="00F277CD"/>
    <w:rsid w:val="00F3087C"/>
    <w:rsid w:val="00F3092F"/>
    <w:rsid w:val="00F326FE"/>
    <w:rsid w:val="00F350A0"/>
    <w:rsid w:val="00F35C1B"/>
    <w:rsid w:val="00F365ED"/>
    <w:rsid w:val="00F409C5"/>
    <w:rsid w:val="00F435C7"/>
    <w:rsid w:val="00F44477"/>
    <w:rsid w:val="00F463DA"/>
    <w:rsid w:val="00F46E15"/>
    <w:rsid w:val="00F47946"/>
    <w:rsid w:val="00F50E98"/>
    <w:rsid w:val="00F516B8"/>
    <w:rsid w:val="00F526CB"/>
    <w:rsid w:val="00F5304F"/>
    <w:rsid w:val="00F54390"/>
    <w:rsid w:val="00F56AFF"/>
    <w:rsid w:val="00F6074A"/>
    <w:rsid w:val="00F61511"/>
    <w:rsid w:val="00F65201"/>
    <w:rsid w:val="00F66F1A"/>
    <w:rsid w:val="00F70A1F"/>
    <w:rsid w:val="00F717A4"/>
    <w:rsid w:val="00F72463"/>
    <w:rsid w:val="00F74A66"/>
    <w:rsid w:val="00F753C4"/>
    <w:rsid w:val="00F75D73"/>
    <w:rsid w:val="00F76A48"/>
    <w:rsid w:val="00F81D48"/>
    <w:rsid w:val="00F81F67"/>
    <w:rsid w:val="00F8220E"/>
    <w:rsid w:val="00F83A44"/>
    <w:rsid w:val="00F84375"/>
    <w:rsid w:val="00F90E6D"/>
    <w:rsid w:val="00F9209B"/>
    <w:rsid w:val="00F92207"/>
    <w:rsid w:val="00F93FFB"/>
    <w:rsid w:val="00F94491"/>
    <w:rsid w:val="00F95A41"/>
    <w:rsid w:val="00F95F5C"/>
    <w:rsid w:val="00F97C4A"/>
    <w:rsid w:val="00FA0CF8"/>
    <w:rsid w:val="00FA3731"/>
    <w:rsid w:val="00FA3C11"/>
    <w:rsid w:val="00FA3C5B"/>
    <w:rsid w:val="00FA511E"/>
    <w:rsid w:val="00FA623B"/>
    <w:rsid w:val="00FA6890"/>
    <w:rsid w:val="00FA79B0"/>
    <w:rsid w:val="00FA7A9D"/>
    <w:rsid w:val="00FA7CDC"/>
    <w:rsid w:val="00FB208F"/>
    <w:rsid w:val="00FB35F5"/>
    <w:rsid w:val="00FB36CB"/>
    <w:rsid w:val="00FB37EE"/>
    <w:rsid w:val="00FB56C1"/>
    <w:rsid w:val="00FB57F0"/>
    <w:rsid w:val="00FB697B"/>
    <w:rsid w:val="00FB6B15"/>
    <w:rsid w:val="00FC233B"/>
    <w:rsid w:val="00FC2C41"/>
    <w:rsid w:val="00FC3AE2"/>
    <w:rsid w:val="00FC7A70"/>
    <w:rsid w:val="00FD1BBB"/>
    <w:rsid w:val="00FD3498"/>
    <w:rsid w:val="00FD4760"/>
    <w:rsid w:val="00FD4988"/>
    <w:rsid w:val="00FD5DC3"/>
    <w:rsid w:val="00FD6440"/>
    <w:rsid w:val="00FD6A88"/>
    <w:rsid w:val="00FD7D0E"/>
    <w:rsid w:val="00FE033B"/>
    <w:rsid w:val="00FE1D17"/>
    <w:rsid w:val="00FE3E3E"/>
    <w:rsid w:val="00FE6D03"/>
    <w:rsid w:val="00FF2EDD"/>
    <w:rsid w:val="00FF55F6"/>
    <w:rsid w:val="00FF68C5"/>
    <w:rsid w:val="00FF6C44"/>
    <w:rsid w:val="00FF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714DA"/>
  <w15:chartTrackingRefBased/>
  <w15:docId w15:val="{AD274C72-36AE-4242-9C63-FE1D639D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549"/>
  </w:style>
  <w:style w:type="paragraph" w:styleId="Footer">
    <w:name w:val="footer"/>
    <w:basedOn w:val="Normal"/>
    <w:link w:val="FooterChar"/>
    <w:uiPriority w:val="99"/>
    <w:unhideWhenUsed/>
    <w:rsid w:val="00836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549"/>
  </w:style>
  <w:style w:type="paragraph" w:styleId="FootnoteText">
    <w:name w:val="footnote text"/>
    <w:basedOn w:val="Normal"/>
    <w:link w:val="FootnoteTextChar"/>
    <w:uiPriority w:val="99"/>
    <w:unhideWhenUsed/>
    <w:rsid w:val="00807E35"/>
    <w:pPr>
      <w:spacing w:after="0" w:line="240" w:lineRule="auto"/>
    </w:pPr>
    <w:rPr>
      <w:sz w:val="20"/>
      <w:szCs w:val="20"/>
    </w:rPr>
  </w:style>
  <w:style w:type="character" w:customStyle="1" w:styleId="FootnoteTextChar">
    <w:name w:val="Footnote Text Char"/>
    <w:basedOn w:val="DefaultParagraphFont"/>
    <w:link w:val="FootnoteText"/>
    <w:uiPriority w:val="99"/>
    <w:rsid w:val="00807E35"/>
    <w:rPr>
      <w:sz w:val="20"/>
      <w:szCs w:val="20"/>
    </w:rPr>
  </w:style>
  <w:style w:type="character" w:styleId="FootnoteReference">
    <w:name w:val="footnote reference"/>
    <w:basedOn w:val="DefaultParagraphFont"/>
    <w:uiPriority w:val="99"/>
    <w:semiHidden/>
    <w:unhideWhenUsed/>
    <w:rsid w:val="00807E35"/>
    <w:rPr>
      <w:vertAlign w:val="superscript"/>
    </w:rPr>
  </w:style>
  <w:style w:type="character" w:styleId="CommentReference">
    <w:name w:val="annotation reference"/>
    <w:basedOn w:val="DefaultParagraphFont"/>
    <w:uiPriority w:val="99"/>
    <w:semiHidden/>
    <w:unhideWhenUsed/>
    <w:rsid w:val="00220B9F"/>
    <w:rPr>
      <w:sz w:val="16"/>
      <w:szCs w:val="16"/>
    </w:rPr>
  </w:style>
  <w:style w:type="paragraph" w:styleId="CommentText">
    <w:name w:val="annotation text"/>
    <w:basedOn w:val="Normal"/>
    <w:link w:val="CommentTextChar"/>
    <w:uiPriority w:val="99"/>
    <w:semiHidden/>
    <w:unhideWhenUsed/>
    <w:rsid w:val="00220B9F"/>
    <w:pPr>
      <w:spacing w:line="240" w:lineRule="auto"/>
    </w:pPr>
    <w:rPr>
      <w:sz w:val="20"/>
      <w:szCs w:val="20"/>
    </w:rPr>
  </w:style>
  <w:style w:type="character" w:customStyle="1" w:styleId="CommentTextChar">
    <w:name w:val="Comment Text Char"/>
    <w:basedOn w:val="DefaultParagraphFont"/>
    <w:link w:val="CommentText"/>
    <w:uiPriority w:val="99"/>
    <w:semiHidden/>
    <w:rsid w:val="00220B9F"/>
    <w:rPr>
      <w:sz w:val="20"/>
      <w:szCs w:val="20"/>
    </w:rPr>
  </w:style>
  <w:style w:type="paragraph" w:styleId="CommentSubject">
    <w:name w:val="annotation subject"/>
    <w:basedOn w:val="CommentText"/>
    <w:next w:val="CommentText"/>
    <w:link w:val="CommentSubjectChar"/>
    <w:uiPriority w:val="99"/>
    <w:semiHidden/>
    <w:unhideWhenUsed/>
    <w:rsid w:val="00220B9F"/>
    <w:rPr>
      <w:b/>
      <w:bCs/>
    </w:rPr>
  </w:style>
  <w:style w:type="character" w:customStyle="1" w:styleId="CommentSubjectChar">
    <w:name w:val="Comment Subject Char"/>
    <w:basedOn w:val="CommentTextChar"/>
    <w:link w:val="CommentSubject"/>
    <w:uiPriority w:val="99"/>
    <w:semiHidden/>
    <w:rsid w:val="00220B9F"/>
    <w:rPr>
      <w:b/>
      <w:bCs/>
      <w:sz w:val="20"/>
      <w:szCs w:val="20"/>
    </w:rPr>
  </w:style>
  <w:style w:type="paragraph" w:styleId="BalloonText">
    <w:name w:val="Balloon Text"/>
    <w:basedOn w:val="Normal"/>
    <w:link w:val="BalloonTextChar"/>
    <w:uiPriority w:val="99"/>
    <w:semiHidden/>
    <w:unhideWhenUsed/>
    <w:rsid w:val="00220B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B9F"/>
    <w:rPr>
      <w:rFonts w:ascii="Segoe UI" w:hAnsi="Segoe UI" w:cs="Segoe UI"/>
      <w:sz w:val="18"/>
      <w:szCs w:val="18"/>
    </w:rPr>
  </w:style>
  <w:style w:type="paragraph" w:customStyle="1" w:styleId="Body">
    <w:name w:val="Body"/>
    <w:rsid w:val="005912E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paragraph" w:styleId="ListParagraph">
    <w:name w:val="List Paragraph"/>
    <w:basedOn w:val="Normal"/>
    <w:uiPriority w:val="34"/>
    <w:qFormat/>
    <w:rsid w:val="00D92A45"/>
    <w:pPr>
      <w:ind w:left="720"/>
      <w:contextualSpacing/>
    </w:pPr>
  </w:style>
  <w:style w:type="character" w:styleId="Hyperlink">
    <w:name w:val="Hyperlink"/>
    <w:basedOn w:val="DefaultParagraphFont"/>
    <w:uiPriority w:val="99"/>
    <w:unhideWhenUsed/>
    <w:rsid w:val="00A718AC"/>
    <w:rPr>
      <w:color w:val="0563C1" w:themeColor="hyperlink"/>
      <w:u w:val="single"/>
    </w:rPr>
  </w:style>
  <w:style w:type="character" w:styleId="FollowedHyperlink">
    <w:name w:val="FollowedHyperlink"/>
    <w:basedOn w:val="DefaultParagraphFont"/>
    <w:uiPriority w:val="99"/>
    <w:semiHidden/>
    <w:unhideWhenUsed/>
    <w:rsid w:val="008D79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25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pi.parliament.uk/historic-hansard/lords/2005/feb/01/mental-capacity-bill-37-pm" TargetMode="External"/><Relationship Id="rId13" Type="http://schemas.openxmlformats.org/officeDocument/2006/relationships/hyperlink" Target="https://www.hra.nhs.uk/about-us/committees-and-services/res-and-recs/research-ethics-committees-overview/" TargetMode="External"/><Relationship Id="rId3" Type="http://schemas.openxmlformats.org/officeDocument/2006/relationships/hyperlink" Target="https://ico.org.uk/for-organisations/guide-to-data-protection/guide-to-the-general-data-protection-regulation-gdpr/lawful-basis-for-processing/legitimate-interests/" TargetMode="External"/><Relationship Id="rId7" Type="http://schemas.openxmlformats.org/officeDocument/2006/relationships/hyperlink" Target="https://www.nice.org.uk/about/what-we-do/our-programmes/nice-guidance/nice-guidelines/shared-decision-making" TargetMode="External"/><Relationship Id="rId12" Type="http://schemas.openxmlformats.org/officeDocument/2006/relationships/hyperlink" Target="https://api.parliament.uk/historic-hansard/written-statements/2004/jun/18/mental-capacity-bill" TargetMode="External"/><Relationship Id="rId17" Type="http://schemas.openxmlformats.org/officeDocument/2006/relationships/hyperlink" Target="https://api.parliament.uk/historic-hansard/written-statements/2004/jun/18/mental-capacity-bill" TargetMode="External"/><Relationship Id="rId2" Type="http://schemas.openxmlformats.org/officeDocument/2006/relationships/hyperlink" Target="https://api.parliament.uk/historic-hansard/lords/2005/feb/01/mental-capacity-bill-37-pm" TargetMode="External"/><Relationship Id="rId16" Type="http://schemas.openxmlformats.org/officeDocument/2006/relationships/hyperlink" Target="https://api.parliament.uk/historic-hansard/lords/2005/jan/10/mental-capacity-bill" TargetMode="External"/><Relationship Id="rId1" Type="http://schemas.openxmlformats.org/officeDocument/2006/relationships/hyperlink" Target="https://doi.org/10.1093/medlaw/fwy016" TargetMode="External"/><Relationship Id="rId6" Type="http://schemas.openxmlformats.org/officeDocument/2006/relationships/hyperlink" Target="https://doi.org/10.1080/02687038.2018.1548690" TargetMode="External"/><Relationship Id="rId11" Type="http://schemas.openxmlformats.org/officeDocument/2006/relationships/hyperlink" Target="https://www.hra.nhs.uk/planning-and-improving-research/policies-standards-legislation/mental-capacity-act/" TargetMode="External"/><Relationship Id="rId5" Type="http://schemas.openxmlformats.org/officeDocument/2006/relationships/hyperlink" Target="https://api.parliament.uk/historic-hansard/lords/2005/feb/01/mental-capacity-bill-37-pm" TargetMode="External"/><Relationship Id="rId15" Type="http://schemas.openxmlformats.org/officeDocument/2006/relationships/hyperlink" Target="https://www.hra.nhs.uk/about-us/committees-and-services/res-and-recs/become-rec-member/" TargetMode="External"/><Relationship Id="rId10" Type="http://schemas.openxmlformats.org/officeDocument/2006/relationships/hyperlink" Target="https://doi.org/10.1186/s12910-016-0138-9" TargetMode="External"/><Relationship Id="rId4" Type="http://schemas.openxmlformats.org/officeDocument/2006/relationships/hyperlink" Target="https://www.hra.nhs.uk/planning-and-improving-research/policies-standards-legislation/mental-capacity-act/" TargetMode="External"/><Relationship Id="rId9" Type="http://schemas.openxmlformats.org/officeDocument/2006/relationships/hyperlink" Target="https://api.parliament.uk/historic-hansard/lords/2005/feb/01/mental-capacity-bill-37-pm" TargetMode="External"/><Relationship Id="rId14" Type="http://schemas.openxmlformats.org/officeDocument/2006/relationships/hyperlink" Target="https://www.bps.org.uk/news-and-policy/bps-code-ethics-and-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DECBE-E45F-45DB-B1B5-3B00653E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3931</TotalTime>
  <Pages>36</Pages>
  <Words>12101</Words>
  <Characters>68981</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80921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Heywood (LAW - Staff)</dc:creator>
  <cp:keywords/>
  <dc:description/>
  <cp:lastModifiedBy>Rob Heywood (LAW - Staff)</cp:lastModifiedBy>
  <cp:revision>606</cp:revision>
  <dcterms:created xsi:type="dcterms:W3CDTF">2019-02-06T11:44:00Z</dcterms:created>
  <dcterms:modified xsi:type="dcterms:W3CDTF">2019-07-05T08:03:00Z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-3788576</vt:i4>
  </property>
  <property fmtid="{D5CDD505-2E9C-101B-9397-08002B2CF9AE}" pid="3" name="_NewReviewCycle">
    <vt:lpwstr/>
  </property>
  <property fmtid="{D5CDD505-2E9C-101B-9397-08002B2CF9AE}" pid="4" name="_EmailSubject">
    <vt:lpwstr>Revised Article Submitted</vt:lpwstr>
  </property>
  <property fmtid="{D5CDD505-2E9C-101B-9397-08002B2CF9AE}" pid="5" name="_AuthorEmail">
    <vt:lpwstr>R.Heywood@uea.ac.uk</vt:lpwstr>
  </property>
  <property fmtid="{D5CDD505-2E9C-101B-9397-08002B2CF9AE}" pid="6" name="_AuthorEmailDisplayName">
    <vt:lpwstr>Rob Heywood (LAW - Staff)</vt:lpwstr>
  </property>
</Properties>
</file>