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CA6" w:rsidRPr="00724CA6" w:rsidRDefault="001144B3" w:rsidP="00374024">
      <w:pPr>
        <w:spacing w:before="100" w:beforeAutospacing="1" w:after="100" w:afterAutospacing="1"/>
        <w:jc w:val="both"/>
        <w:rPr>
          <w:rFonts w:ascii="Times New Roman" w:hAnsi="Times New Roman"/>
          <w:b/>
          <w:sz w:val="24"/>
          <w:szCs w:val="24"/>
        </w:rPr>
      </w:pPr>
      <w:r w:rsidRPr="002F44AE">
        <w:rPr>
          <w:rFonts w:ascii="Times New Roman" w:hAnsi="Times New Roman"/>
          <w:b/>
          <w:sz w:val="24"/>
          <w:szCs w:val="24"/>
        </w:rPr>
        <w:t xml:space="preserve">2.1 </w:t>
      </w:r>
      <w:r w:rsidR="0025216E" w:rsidRPr="002F44AE">
        <w:rPr>
          <w:rFonts w:ascii="Times New Roman" w:hAnsi="Times New Roman"/>
          <w:b/>
          <w:sz w:val="24"/>
          <w:szCs w:val="24"/>
        </w:rPr>
        <w:t xml:space="preserve">The Cyprus </w:t>
      </w:r>
      <w:r w:rsidR="00732D85" w:rsidRPr="002F44AE">
        <w:rPr>
          <w:rFonts w:ascii="Times New Roman" w:hAnsi="Times New Roman"/>
          <w:b/>
          <w:sz w:val="24"/>
          <w:szCs w:val="24"/>
        </w:rPr>
        <w:t>Stalemate</w:t>
      </w:r>
      <w:r w:rsidR="007348B1" w:rsidRPr="002F44AE">
        <w:rPr>
          <w:rFonts w:ascii="Times New Roman" w:hAnsi="Times New Roman"/>
          <w:b/>
          <w:sz w:val="24"/>
          <w:szCs w:val="24"/>
        </w:rPr>
        <w:t>: Opportunities for Peace and</w:t>
      </w:r>
      <w:r w:rsidR="00147C1E">
        <w:rPr>
          <w:rFonts w:ascii="Times New Roman" w:hAnsi="Times New Roman"/>
          <w:b/>
          <w:sz w:val="24"/>
          <w:szCs w:val="24"/>
        </w:rPr>
        <w:t xml:space="preserve"> </w:t>
      </w:r>
      <w:r w:rsidR="00732D85" w:rsidRPr="002F44AE">
        <w:rPr>
          <w:rFonts w:ascii="Times New Roman" w:hAnsi="Times New Roman"/>
          <w:b/>
          <w:sz w:val="24"/>
          <w:szCs w:val="24"/>
        </w:rPr>
        <w:t xml:space="preserve">Lessons from Turkish-Bulgarian </w:t>
      </w:r>
      <w:r w:rsidR="00424D31">
        <w:rPr>
          <w:rFonts w:ascii="Times New Roman" w:hAnsi="Times New Roman"/>
          <w:b/>
          <w:sz w:val="24"/>
          <w:szCs w:val="24"/>
        </w:rPr>
        <w:t xml:space="preserve">Ethnic </w:t>
      </w:r>
      <w:bookmarkStart w:id="0" w:name="_GoBack"/>
      <w:bookmarkEnd w:id="0"/>
      <w:r w:rsidR="00732D85" w:rsidRPr="002F44AE">
        <w:rPr>
          <w:rFonts w:ascii="Times New Roman" w:hAnsi="Times New Roman"/>
          <w:b/>
          <w:sz w:val="24"/>
          <w:szCs w:val="24"/>
        </w:rPr>
        <w:t>Relations</w:t>
      </w:r>
    </w:p>
    <w:p w:rsidR="00724CA6" w:rsidRPr="00724CA6" w:rsidRDefault="0025216E" w:rsidP="00724CA6">
      <w:pPr>
        <w:spacing w:before="100" w:beforeAutospacing="1" w:after="100" w:afterAutospacing="1" w:line="480" w:lineRule="auto"/>
        <w:jc w:val="both"/>
        <w:rPr>
          <w:rFonts w:ascii="Times New Roman" w:eastAsia="Times New Roman" w:hAnsi="Times New Roman"/>
          <w:i/>
          <w:color w:val="000000"/>
          <w:sz w:val="24"/>
          <w:szCs w:val="24"/>
          <w:lang w:eastAsia="el-GR"/>
        </w:rPr>
      </w:pPr>
      <w:r w:rsidRPr="002F44AE">
        <w:rPr>
          <w:rFonts w:ascii="Times New Roman" w:hAnsi="Times New Roman"/>
          <w:sz w:val="24"/>
          <w:szCs w:val="24"/>
        </w:rPr>
        <w:t>By</w:t>
      </w:r>
      <w:r w:rsidR="00F750B0">
        <w:rPr>
          <w:rFonts w:ascii="Times New Roman" w:hAnsi="Times New Roman"/>
          <w:sz w:val="24"/>
          <w:szCs w:val="24"/>
        </w:rPr>
        <w:t xml:space="preserve"> </w:t>
      </w:r>
      <w:r w:rsidRPr="002F44AE">
        <w:rPr>
          <w:rFonts w:ascii="Times New Roman" w:eastAsia="Times New Roman" w:hAnsi="Times New Roman"/>
          <w:i/>
          <w:color w:val="000000"/>
          <w:sz w:val="24"/>
          <w:szCs w:val="24"/>
          <w:lang w:eastAsia="el-GR"/>
        </w:rPr>
        <w:t>Neophytos Loizide</w:t>
      </w:r>
      <w:r w:rsidR="005E3A19" w:rsidRPr="002F44AE">
        <w:rPr>
          <w:rFonts w:ascii="Times New Roman" w:eastAsia="Times New Roman" w:hAnsi="Times New Roman"/>
          <w:i/>
          <w:color w:val="000000"/>
          <w:sz w:val="24"/>
          <w:szCs w:val="24"/>
          <w:lang w:eastAsia="el-GR"/>
        </w:rPr>
        <w:t xml:space="preserve">s and </w:t>
      </w:r>
      <w:r w:rsidR="005E3A19" w:rsidRPr="002F44AE">
        <w:rPr>
          <w:rFonts w:ascii="Times New Roman" w:hAnsi="Times New Roman"/>
          <w:i/>
          <w:sz w:val="24"/>
          <w:szCs w:val="24"/>
        </w:rPr>
        <w:t>Muzaffer</w:t>
      </w:r>
      <w:r w:rsidR="00F750B0">
        <w:rPr>
          <w:rFonts w:ascii="Times New Roman" w:hAnsi="Times New Roman"/>
          <w:i/>
          <w:sz w:val="24"/>
          <w:szCs w:val="24"/>
        </w:rPr>
        <w:t xml:space="preserve"> </w:t>
      </w:r>
      <w:r w:rsidR="005E3A19" w:rsidRPr="002F44AE">
        <w:rPr>
          <w:rFonts w:ascii="Times New Roman" w:hAnsi="Times New Roman"/>
          <w:i/>
          <w:sz w:val="24"/>
          <w:szCs w:val="24"/>
        </w:rPr>
        <w:t>Kutlay</w:t>
      </w:r>
    </w:p>
    <w:p w:rsidR="00765101" w:rsidRPr="006516EB" w:rsidRDefault="00545253" w:rsidP="00374024">
      <w:pPr>
        <w:spacing w:line="480" w:lineRule="auto"/>
        <w:jc w:val="both"/>
        <w:rPr>
          <w:rFonts w:ascii="Times New Roman" w:hAnsi="Times New Roman"/>
          <w:b/>
          <w:sz w:val="24"/>
          <w:szCs w:val="24"/>
        </w:rPr>
      </w:pPr>
      <w:r w:rsidRPr="006516EB">
        <w:rPr>
          <w:rFonts w:ascii="Times New Roman" w:hAnsi="Times New Roman"/>
          <w:b/>
          <w:sz w:val="24"/>
          <w:szCs w:val="24"/>
        </w:rPr>
        <w:t>Introduction</w:t>
      </w:r>
    </w:p>
    <w:p w:rsidR="00A846C8" w:rsidRPr="002F44AE" w:rsidRDefault="00765101" w:rsidP="00374024">
      <w:pPr>
        <w:spacing w:line="480" w:lineRule="auto"/>
        <w:jc w:val="both"/>
        <w:rPr>
          <w:rFonts w:ascii="Times New Roman" w:hAnsi="Times New Roman"/>
          <w:sz w:val="24"/>
          <w:szCs w:val="24"/>
        </w:rPr>
      </w:pPr>
      <w:r w:rsidRPr="002F44AE">
        <w:rPr>
          <w:rFonts w:ascii="Times New Roman" w:hAnsi="Times New Roman"/>
          <w:sz w:val="24"/>
          <w:szCs w:val="24"/>
        </w:rPr>
        <w:t>Th</w:t>
      </w:r>
      <w:r w:rsidR="00F74D8B" w:rsidRPr="002F44AE">
        <w:rPr>
          <w:rFonts w:ascii="Times New Roman" w:hAnsi="Times New Roman"/>
          <w:sz w:val="24"/>
          <w:szCs w:val="24"/>
        </w:rPr>
        <w:t>e conflict</w:t>
      </w:r>
      <w:r w:rsidR="00F87C89" w:rsidRPr="002F44AE">
        <w:rPr>
          <w:rFonts w:ascii="Times New Roman" w:hAnsi="Times New Roman"/>
          <w:sz w:val="24"/>
          <w:szCs w:val="24"/>
        </w:rPr>
        <w:t xml:space="preserve"> of Cyprus is commonly</w:t>
      </w:r>
      <w:r w:rsidR="00F74D8B" w:rsidRPr="002F44AE">
        <w:rPr>
          <w:rFonts w:ascii="Times New Roman" w:hAnsi="Times New Roman"/>
          <w:sz w:val="24"/>
          <w:szCs w:val="24"/>
        </w:rPr>
        <w:t xml:space="preserve"> associated with</w:t>
      </w:r>
      <w:r w:rsidRPr="002F44AE">
        <w:rPr>
          <w:rFonts w:ascii="Times New Roman" w:hAnsi="Times New Roman"/>
          <w:sz w:val="24"/>
          <w:szCs w:val="24"/>
        </w:rPr>
        <w:t xml:space="preserve"> prolonged deadloc</w:t>
      </w:r>
      <w:r w:rsidR="00F74D8B" w:rsidRPr="002F44AE">
        <w:rPr>
          <w:rFonts w:ascii="Times New Roman" w:hAnsi="Times New Roman"/>
          <w:sz w:val="24"/>
          <w:szCs w:val="24"/>
        </w:rPr>
        <w:t>ks, failures in peace mediations</w:t>
      </w:r>
      <w:r w:rsidR="000A1809">
        <w:rPr>
          <w:rFonts w:ascii="Times New Roman" w:hAnsi="Times New Roman"/>
          <w:sz w:val="24"/>
          <w:szCs w:val="24"/>
        </w:rPr>
        <w:t>,</w:t>
      </w:r>
      <w:r w:rsidR="00F74D8B" w:rsidRPr="002F44AE">
        <w:rPr>
          <w:rFonts w:ascii="Times New Roman" w:hAnsi="Times New Roman"/>
          <w:sz w:val="24"/>
          <w:szCs w:val="24"/>
        </w:rPr>
        <w:t xml:space="preserve"> and hardline politics</w:t>
      </w:r>
      <w:r w:rsidR="00DB33FE" w:rsidRPr="002F44AE">
        <w:rPr>
          <w:rFonts w:ascii="Times New Roman" w:hAnsi="Times New Roman"/>
          <w:sz w:val="24"/>
          <w:szCs w:val="24"/>
        </w:rPr>
        <w:t>.</w:t>
      </w:r>
      <w:r w:rsidR="00147C1E">
        <w:rPr>
          <w:rFonts w:ascii="Times New Roman" w:hAnsi="Times New Roman"/>
          <w:sz w:val="24"/>
          <w:szCs w:val="24"/>
        </w:rPr>
        <w:t xml:space="preserve"> </w:t>
      </w:r>
      <w:r w:rsidR="0025216E" w:rsidRPr="002F44AE">
        <w:rPr>
          <w:rFonts w:ascii="Times New Roman" w:hAnsi="Times New Roman"/>
          <w:sz w:val="24"/>
          <w:szCs w:val="24"/>
        </w:rPr>
        <w:t xml:space="preserve">The </w:t>
      </w:r>
      <w:r w:rsidR="00BD3F31" w:rsidRPr="002F44AE">
        <w:rPr>
          <w:rFonts w:ascii="Times New Roman" w:hAnsi="Times New Roman"/>
          <w:sz w:val="24"/>
          <w:szCs w:val="24"/>
        </w:rPr>
        <w:t>collapse</w:t>
      </w:r>
      <w:r w:rsidR="0025216E" w:rsidRPr="002F44AE">
        <w:rPr>
          <w:rFonts w:ascii="Times New Roman" w:hAnsi="Times New Roman"/>
          <w:sz w:val="24"/>
          <w:szCs w:val="24"/>
        </w:rPr>
        <w:t xml:space="preserve"> of </w:t>
      </w:r>
      <w:r w:rsidR="001144B3" w:rsidRPr="002F44AE">
        <w:rPr>
          <w:rFonts w:ascii="Times New Roman" w:hAnsi="Times New Roman"/>
          <w:sz w:val="24"/>
          <w:szCs w:val="24"/>
        </w:rPr>
        <w:t xml:space="preserve">the </w:t>
      </w:r>
      <w:r w:rsidR="0025216E" w:rsidRPr="002F44AE">
        <w:rPr>
          <w:rFonts w:ascii="Times New Roman" w:hAnsi="Times New Roman"/>
          <w:sz w:val="24"/>
          <w:szCs w:val="24"/>
        </w:rPr>
        <w:t>Crans</w:t>
      </w:r>
      <w:r w:rsidR="005E354B" w:rsidRPr="002F44AE">
        <w:rPr>
          <w:rFonts w:ascii="Times New Roman" w:hAnsi="Times New Roman"/>
          <w:sz w:val="24"/>
          <w:szCs w:val="24"/>
        </w:rPr>
        <w:t>-</w:t>
      </w:r>
      <w:r w:rsidR="0025216E" w:rsidRPr="002F44AE">
        <w:rPr>
          <w:rFonts w:ascii="Times New Roman" w:hAnsi="Times New Roman"/>
          <w:sz w:val="24"/>
          <w:szCs w:val="24"/>
        </w:rPr>
        <w:t xml:space="preserve">Montana talks in the summer of 2017 </w:t>
      </w:r>
      <w:r w:rsidR="00A8378C" w:rsidRPr="002F44AE">
        <w:rPr>
          <w:rFonts w:ascii="Times New Roman" w:hAnsi="Times New Roman"/>
          <w:sz w:val="24"/>
          <w:szCs w:val="24"/>
        </w:rPr>
        <w:t xml:space="preserve">understandably increased despair and pessimism across </w:t>
      </w:r>
      <w:r w:rsidR="00004D36" w:rsidRPr="002F44AE">
        <w:rPr>
          <w:rFonts w:ascii="Times New Roman" w:hAnsi="Times New Roman"/>
          <w:sz w:val="24"/>
          <w:szCs w:val="24"/>
        </w:rPr>
        <w:t xml:space="preserve">pro-settlement groups in </w:t>
      </w:r>
      <w:r w:rsidR="00A8378C" w:rsidRPr="002F44AE">
        <w:rPr>
          <w:rFonts w:ascii="Times New Roman" w:hAnsi="Times New Roman"/>
          <w:sz w:val="24"/>
          <w:szCs w:val="24"/>
        </w:rPr>
        <w:t xml:space="preserve">the two communities. </w:t>
      </w:r>
      <w:r w:rsidR="005E3A19" w:rsidRPr="002F44AE">
        <w:rPr>
          <w:rFonts w:ascii="Times New Roman" w:hAnsi="Times New Roman"/>
          <w:sz w:val="24"/>
          <w:szCs w:val="24"/>
        </w:rPr>
        <w:t>Likewise</w:t>
      </w:r>
      <w:r w:rsidR="00A8378C" w:rsidRPr="002F44AE">
        <w:rPr>
          <w:rFonts w:ascii="Times New Roman" w:hAnsi="Times New Roman"/>
          <w:sz w:val="24"/>
          <w:szCs w:val="24"/>
        </w:rPr>
        <w:t>,</w:t>
      </w:r>
      <w:r w:rsidR="005E3A19" w:rsidRPr="002F44AE">
        <w:rPr>
          <w:rFonts w:ascii="Times New Roman" w:hAnsi="Times New Roman"/>
          <w:sz w:val="24"/>
          <w:szCs w:val="24"/>
        </w:rPr>
        <w:t xml:space="preserve"> the post-2016 coup</w:t>
      </w:r>
      <w:r w:rsidR="00A8378C" w:rsidRPr="002F44AE">
        <w:rPr>
          <w:rFonts w:ascii="Times New Roman" w:hAnsi="Times New Roman"/>
          <w:sz w:val="24"/>
          <w:szCs w:val="24"/>
        </w:rPr>
        <w:t xml:space="preserve"> in Turkey and the worsening of relations in the Eastern Mediterranean </w:t>
      </w:r>
      <w:r w:rsidR="00732D85" w:rsidRPr="002F44AE">
        <w:rPr>
          <w:rFonts w:ascii="Times New Roman" w:hAnsi="Times New Roman"/>
          <w:sz w:val="24"/>
          <w:szCs w:val="24"/>
        </w:rPr>
        <w:t xml:space="preserve">are </w:t>
      </w:r>
      <w:r w:rsidR="005E354B" w:rsidRPr="002F44AE">
        <w:rPr>
          <w:rFonts w:ascii="Times New Roman" w:hAnsi="Times New Roman"/>
          <w:sz w:val="24"/>
          <w:szCs w:val="24"/>
        </w:rPr>
        <w:t xml:space="preserve">generally </w:t>
      </w:r>
      <w:r w:rsidR="00732D85" w:rsidRPr="002F44AE">
        <w:rPr>
          <w:rFonts w:ascii="Times New Roman" w:hAnsi="Times New Roman"/>
          <w:sz w:val="24"/>
          <w:szCs w:val="24"/>
        </w:rPr>
        <w:t xml:space="preserve">seen as </w:t>
      </w:r>
      <w:r w:rsidR="00E5424F">
        <w:rPr>
          <w:rFonts w:ascii="Times New Roman" w:hAnsi="Times New Roman"/>
          <w:sz w:val="24"/>
          <w:szCs w:val="24"/>
        </w:rPr>
        <w:t>dimming</w:t>
      </w:r>
      <w:r w:rsidR="00A8378C" w:rsidRPr="002F44AE">
        <w:rPr>
          <w:rFonts w:ascii="Times New Roman" w:hAnsi="Times New Roman"/>
          <w:sz w:val="24"/>
          <w:szCs w:val="24"/>
        </w:rPr>
        <w:t xml:space="preserve"> hope</w:t>
      </w:r>
      <w:r w:rsidR="000A1809">
        <w:rPr>
          <w:rFonts w:ascii="Times New Roman" w:hAnsi="Times New Roman"/>
          <w:sz w:val="24"/>
          <w:szCs w:val="24"/>
        </w:rPr>
        <w:t>s</w:t>
      </w:r>
      <w:r w:rsidR="00147C1E">
        <w:rPr>
          <w:rFonts w:ascii="Times New Roman" w:hAnsi="Times New Roman"/>
          <w:sz w:val="24"/>
          <w:szCs w:val="24"/>
        </w:rPr>
        <w:t xml:space="preserve"> </w:t>
      </w:r>
      <w:r w:rsidR="00E5424F">
        <w:rPr>
          <w:rFonts w:ascii="Times New Roman" w:hAnsi="Times New Roman"/>
          <w:sz w:val="24"/>
          <w:szCs w:val="24"/>
        </w:rPr>
        <w:t xml:space="preserve">of peace </w:t>
      </w:r>
      <w:r w:rsidR="00A8378C" w:rsidRPr="002F44AE">
        <w:rPr>
          <w:rFonts w:ascii="Times New Roman" w:hAnsi="Times New Roman"/>
          <w:sz w:val="24"/>
          <w:szCs w:val="24"/>
        </w:rPr>
        <w:t>for the broader region and</w:t>
      </w:r>
      <w:r w:rsidR="000A1809">
        <w:rPr>
          <w:rFonts w:ascii="Times New Roman" w:hAnsi="Times New Roman"/>
          <w:sz w:val="24"/>
          <w:szCs w:val="24"/>
        </w:rPr>
        <w:t>,</w:t>
      </w:r>
      <w:r w:rsidR="00A8378C" w:rsidRPr="002F44AE">
        <w:rPr>
          <w:rFonts w:ascii="Times New Roman" w:hAnsi="Times New Roman"/>
          <w:sz w:val="24"/>
          <w:szCs w:val="24"/>
        </w:rPr>
        <w:t xml:space="preserve"> by extension</w:t>
      </w:r>
      <w:r w:rsidR="000A1809">
        <w:rPr>
          <w:rFonts w:ascii="Times New Roman" w:hAnsi="Times New Roman"/>
          <w:sz w:val="24"/>
          <w:szCs w:val="24"/>
        </w:rPr>
        <w:t>,</w:t>
      </w:r>
      <w:r w:rsidR="00BD3F31" w:rsidRPr="002F44AE">
        <w:rPr>
          <w:rFonts w:ascii="Times New Roman" w:hAnsi="Times New Roman"/>
          <w:sz w:val="24"/>
          <w:szCs w:val="24"/>
        </w:rPr>
        <w:t xml:space="preserve"> for</w:t>
      </w:r>
      <w:r w:rsidR="00A8378C" w:rsidRPr="002F44AE">
        <w:rPr>
          <w:rFonts w:ascii="Times New Roman" w:hAnsi="Times New Roman"/>
          <w:sz w:val="24"/>
          <w:szCs w:val="24"/>
        </w:rPr>
        <w:t xml:space="preserve"> the Cyprus peace talks. Yet as demonstrated elsewhere,</w:t>
      </w:r>
      <w:r w:rsidR="004D05CA">
        <w:rPr>
          <w:rFonts w:ascii="Times New Roman" w:hAnsi="Times New Roman"/>
          <w:sz w:val="24"/>
          <w:szCs w:val="24"/>
        </w:rPr>
        <w:t xml:space="preserve"> </w:t>
      </w:r>
      <w:r w:rsidR="00BD3F31" w:rsidRPr="002F44AE">
        <w:rPr>
          <w:rFonts w:ascii="Times New Roman" w:hAnsi="Times New Roman"/>
          <w:sz w:val="24"/>
          <w:szCs w:val="24"/>
        </w:rPr>
        <w:t>nations</w:t>
      </w:r>
      <w:r w:rsidR="005E354B" w:rsidRPr="002F44AE">
        <w:rPr>
          <w:rFonts w:ascii="Times New Roman" w:hAnsi="Times New Roman"/>
          <w:sz w:val="24"/>
          <w:szCs w:val="24"/>
        </w:rPr>
        <w:t xml:space="preserve"> in conflict are not always hostage to </w:t>
      </w:r>
      <w:r w:rsidR="00BD3F31" w:rsidRPr="002F44AE">
        <w:rPr>
          <w:rFonts w:ascii="Times New Roman" w:hAnsi="Times New Roman"/>
          <w:sz w:val="24"/>
          <w:szCs w:val="24"/>
        </w:rPr>
        <w:t xml:space="preserve">their own </w:t>
      </w:r>
      <w:r w:rsidR="005E354B" w:rsidRPr="002F44AE">
        <w:rPr>
          <w:rFonts w:ascii="Times New Roman" w:hAnsi="Times New Roman"/>
          <w:sz w:val="24"/>
          <w:szCs w:val="24"/>
        </w:rPr>
        <w:t>history</w:t>
      </w:r>
      <w:r w:rsidR="004D05CA">
        <w:rPr>
          <w:rFonts w:ascii="Times New Roman" w:hAnsi="Times New Roman"/>
          <w:sz w:val="24"/>
          <w:szCs w:val="24"/>
        </w:rPr>
        <w:t xml:space="preserve"> </w:t>
      </w:r>
      <w:r w:rsidR="006516EB" w:rsidRPr="002F44AE">
        <w:rPr>
          <w:rFonts w:ascii="Times New Roman" w:hAnsi="Times New Roman"/>
          <w:sz w:val="24"/>
          <w:szCs w:val="24"/>
        </w:rPr>
        <w:t>(Pinker</w:t>
      </w:r>
      <w:r w:rsidR="004725DD">
        <w:rPr>
          <w:rFonts w:ascii="Times New Roman" w:hAnsi="Times New Roman"/>
          <w:sz w:val="24"/>
          <w:szCs w:val="24"/>
        </w:rPr>
        <w:t xml:space="preserve"> </w:t>
      </w:r>
      <w:r w:rsidR="006516EB" w:rsidRPr="002F44AE">
        <w:rPr>
          <w:rFonts w:ascii="Times New Roman" w:hAnsi="Times New Roman"/>
          <w:sz w:val="24"/>
          <w:szCs w:val="24"/>
        </w:rPr>
        <w:t>2011)</w:t>
      </w:r>
      <w:r w:rsidR="006516EB">
        <w:rPr>
          <w:rFonts w:ascii="Times New Roman" w:hAnsi="Times New Roman"/>
          <w:sz w:val="24"/>
          <w:szCs w:val="24"/>
        </w:rPr>
        <w:t xml:space="preserve"> and often this becomes possible even under the most difficult situations. </w:t>
      </w:r>
    </w:p>
    <w:p w:rsidR="00531E57" w:rsidRPr="006516EB" w:rsidRDefault="00BD3F31" w:rsidP="00374024">
      <w:pPr>
        <w:spacing w:line="480" w:lineRule="auto"/>
        <w:ind w:firstLine="720"/>
        <w:jc w:val="both"/>
        <w:rPr>
          <w:rFonts w:ascii="Times New Roman" w:hAnsi="Times New Roman"/>
          <w:sz w:val="24"/>
          <w:szCs w:val="24"/>
          <w:lang w:val="en-GB" w:eastAsia="en-GB"/>
        </w:rPr>
      </w:pPr>
      <w:r w:rsidRPr="002F44AE">
        <w:rPr>
          <w:rFonts w:ascii="Times New Roman" w:hAnsi="Times New Roman"/>
          <w:sz w:val="24"/>
          <w:szCs w:val="24"/>
          <w:lang w:eastAsia="en-GB"/>
        </w:rPr>
        <w:t>Our</w:t>
      </w:r>
      <w:r w:rsidR="00B7638F" w:rsidRPr="002F44AE">
        <w:rPr>
          <w:rFonts w:ascii="Times New Roman" w:hAnsi="Times New Roman"/>
          <w:sz w:val="24"/>
          <w:szCs w:val="24"/>
          <w:lang w:val="en-GB" w:eastAsia="en-GB"/>
        </w:rPr>
        <w:t xml:space="preserve"> chapter provides an alternative to the mainstream narratives of the Cyprus problem</w:t>
      </w:r>
      <w:r w:rsidR="000A1809">
        <w:rPr>
          <w:rFonts w:ascii="Times New Roman" w:hAnsi="Times New Roman"/>
          <w:sz w:val="24"/>
          <w:szCs w:val="24"/>
          <w:lang w:val="en-GB" w:eastAsia="en-GB"/>
        </w:rPr>
        <w:t>,</w:t>
      </w:r>
      <w:r w:rsidR="00B7638F" w:rsidRPr="002F44AE">
        <w:rPr>
          <w:rFonts w:ascii="Times New Roman" w:hAnsi="Times New Roman"/>
          <w:sz w:val="24"/>
          <w:szCs w:val="24"/>
          <w:lang w:val="en-GB" w:eastAsia="en-GB"/>
        </w:rPr>
        <w:t xml:space="preserve"> departing from conventional accounts of its intractability </w:t>
      </w:r>
      <w:r w:rsidR="000A1809">
        <w:rPr>
          <w:rFonts w:ascii="Times New Roman" w:hAnsi="Times New Roman"/>
          <w:sz w:val="24"/>
          <w:szCs w:val="24"/>
          <w:lang w:val="en-GB" w:eastAsia="en-GB"/>
        </w:rPr>
        <w:t xml:space="preserve">to </w:t>
      </w:r>
      <w:r w:rsidR="000A1809" w:rsidRPr="002F44AE">
        <w:rPr>
          <w:rFonts w:ascii="Times New Roman" w:hAnsi="Times New Roman"/>
          <w:sz w:val="24"/>
          <w:szCs w:val="24"/>
          <w:lang w:val="en-GB" w:eastAsia="en-GB"/>
        </w:rPr>
        <w:t>emphasiz</w:t>
      </w:r>
      <w:r w:rsidR="00147C1E">
        <w:rPr>
          <w:rFonts w:ascii="Times New Roman" w:hAnsi="Times New Roman"/>
          <w:sz w:val="24"/>
          <w:szCs w:val="24"/>
          <w:lang w:val="en-GB" w:eastAsia="en-GB"/>
        </w:rPr>
        <w:t xml:space="preserve">e </w:t>
      </w:r>
      <w:r w:rsidR="000A1809">
        <w:rPr>
          <w:rFonts w:ascii="Times New Roman" w:hAnsi="Times New Roman"/>
          <w:sz w:val="24"/>
          <w:szCs w:val="24"/>
          <w:lang w:val="en-GB" w:eastAsia="en-GB"/>
        </w:rPr>
        <w:t>the potential for</w:t>
      </w:r>
      <w:r w:rsidR="00B7638F" w:rsidRPr="002F44AE">
        <w:rPr>
          <w:rFonts w:ascii="Times New Roman" w:hAnsi="Times New Roman"/>
          <w:sz w:val="24"/>
          <w:szCs w:val="24"/>
          <w:lang w:val="en-GB" w:eastAsia="en-GB"/>
        </w:rPr>
        <w:t xml:space="preserve"> con</w:t>
      </w:r>
      <w:r w:rsidR="00A8378C" w:rsidRPr="002F44AE">
        <w:rPr>
          <w:rFonts w:ascii="Times New Roman" w:hAnsi="Times New Roman"/>
          <w:sz w:val="24"/>
          <w:szCs w:val="24"/>
          <w:lang w:val="en-GB" w:eastAsia="en-GB"/>
        </w:rPr>
        <w:t xml:space="preserve">flict resolution. </w:t>
      </w:r>
      <w:r w:rsidR="006516EB">
        <w:rPr>
          <w:rFonts w:ascii="Times New Roman" w:hAnsi="Times New Roman"/>
          <w:sz w:val="24"/>
          <w:szCs w:val="24"/>
          <w:lang w:val="en-GB" w:eastAsia="en-GB"/>
        </w:rPr>
        <w:t xml:space="preserve">It utilizes a new term ‘proto-consociationalism’ to define the early stages of cooperation and consensus in the Cyprus peace process (see also Cochrane et al. 2018). </w:t>
      </w:r>
      <w:r w:rsidR="00A8378C" w:rsidRPr="002F44AE">
        <w:rPr>
          <w:rFonts w:ascii="Times New Roman" w:hAnsi="Times New Roman"/>
          <w:sz w:val="24"/>
          <w:szCs w:val="24"/>
          <w:lang w:val="en-GB" w:eastAsia="en-GB"/>
        </w:rPr>
        <w:t xml:space="preserve">While </w:t>
      </w:r>
      <w:r w:rsidR="000A1809">
        <w:rPr>
          <w:rFonts w:ascii="Times New Roman" w:hAnsi="Times New Roman"/>
          <w:sz w:val="24"/>
          <w:szCs w:val="24"/>
          <w:lang w:val="en-GB" w:eastAsia="en-GB"/>
        </w:rPr>
        <w:t xml:space="preserve">admitting there is a </w:t>
      </w:r>
      <w:r w:rsidR="006516EB">
        <w:rPr>
          <w:rFonts w:ascii="Times New Roman" w:hAnsi="Times New Roman"/>
          <w:sz w:val="24"/>
          <w:szCs w:val="24"/>
          <w:lang w:val="en-GB" w:eastAsia="en-GB"/>
        </w:rPr>
        <w:t>protracted stalemate</w:t>
      </w:r>
      <w:r w:rsidR="00A8378C" w:rsidRPr="002F44AE">
        <w:rPr>
          <w:rFonts w:ascii="Times New Roman" w:hAnsi="Times New Roman"/>
          <w:sz w:val="24"/>
          <w:szCs w:val="24"/>
          <w:lang w:val="en-GB" w:eastAsia="en-GB"/>
        </w:rPr>
        <w:t xml:space="preserve"> and</w:t>
      </w:r>
      <w:r w:rsidR="004D05CA">
        <w:rPr>
          <w:rFonts w:ascii="Times New Roman" w:hAnsi="Times New Roman"/>
          <w:sz w:val="24"/>
          <w:szCs w:val="24"/>
          <w:lang w:val="en-GB" w:eastAsia="en-GB"/>
        </w:rPr>
        <w:t xml:space="preserve"> </w:t>
      </w:r>
      <w:r w:rsidR="000A1809">
        <w:rPr>
          <w:rFonts w:ascii="Times New Roman" w:hAnsi="Times New Roman"/>
          <w:sz w:val="24"/>
          <w:szCs w:val="24"/>
          <w:lang w:val="en-GB" w:eastAsia="en-GB"/>
        </w:rPr>
        <w:t xml:space="preserve">discussing </w:t>
      </w:r>
      <w:r w:rsidR="00B7638F" w:rsidRPr="002F44AE">
        <w:rPr>
          <w:rFonts w:ascii="Times New Roman" w:hAnsi="Times New Roman"/>
          <w:sz w:val="24"/>
          <w:szCs w:val="24"/>
          <w:lang w:val="en-GB" w:eastAsia="en-GB"/>
        </w:rPr>
        <w:t>past failu</w:t>
      </w:r>
      <w:r w:rsidR="00A8378C" w:rsidRPr="002F44AE">
        <w:rPr>
          <w:rFonts w:ascii="Times New Roman" w:hAnsi="Times New Roman"/>
          <w:sz w:val="24"/>
          <w:szCs w:val="24"/>
          <w:lang w:val="en-GB" w:eastAsia="en-GB"/>
        </w:rPr>
        <w:t xml:space="preserve">res to reach a peace settlement, </w:t>
      </w:r>
      <w:r w:rsidR="00E5424F">
        <w:rPr>
          <w:rFonts w:ascii="Times New Roman" w:hAnsi="Times New Roman"/>
          <w:sz w:val="24"/>
          <w:szCs w:val="24"/>
          <w:lang w:val="en-GB" w:eastAsia="en-GB"/>
        </w:rPr>
        <w:t>we</w:t>
      </w:r>
      <w:r w:rsidR="00A8378C" w:rsidRPr="002F44AE">
        <w:rPr>
          <w:rFonts w:ascii="Times New Roman" w:hAnsi="Times New Roman"/>
          <w:sz w:val="24"/>
          <w:szCs w:val="24"/>
          <w:lang w:val="en-GB" w:eastAsia="en-GB"/>
        </w:rPr>
        <w:t xml:space="preserve"> caution against interpreting the Cyprus problem as intractable. </w:t>
      </w:r>
      <w:r w:rsidR="005E3A19" w:rsidRPr="002F44AE">
        <w:rPr>
          <w:rFonts w:ascii="Times New Roman" w:hAnsi="Times New Roman"/>
          <w:sz w:val="24"/>
          <w:szCs w:val="24"/>
          <w:lang w:val="en-GB" w:eastAsia="en-GB"/>
        </w:rPr>
        <w:t xml:space="preserve">We argue that </w:t>
      </w:r>
      <w:r w:rsidR="000A1809">
        <w:rPr>
          <w:rFonts w:ascii="Times New Roman" w:hAnsi="Times New Roman"/>
          <w:sz w:val="24"/>
          <w:szCs w:val="24"/>
          <w:lang w:val="en-GB" w:eastAsia="en-GB"/>
        </w:rPr>
        <w:t>i</w:t>
      </w:r>
      <w:r w:rsidR="000A1809" w:rsidRPr="002F44AE">
        <w:rPr>
          <w:rFonts w:ascii="Times New Roman" w:hAnsi="Times New Roman"/>
          <w:sz w:val="24"/>
          <w:szCs w:val="24"/>
          <w:lang w:val="en-GB" w:eastAsia="en-GB"/>
        </w:rPr>
        <w:t>n its management of the Turkish minority</w:t>
      </w:r>
      <w:r w:rsidR="000A1809">
        <w:rPr>
          <w:rFonts w:ascii="Times New Roman" w:hAnsi="Times New Roman"/>
          <w:sz w:val="24"/>
          <w:szCs w:val="24"/>
          <w:lang w:val="en-GB" w:eastAsia="en-GB"/>
        </w:rPr>
        <w:t xml:space="preserve">, </w:t>
      </w:r>
      <w:r w:rsidR="00A8378C" w:rsidRPr="002F44AE">
        <w:rPr>
          <w:rFonts w:ascii="Times New Roman" w:hAnsi="Times New Roman"/>
          <w:sz w:val="24"/>
          <w:szCs w:val="24"/>
          <w:lang w:val="en-GB" w:eastAsia="en-GB"/>
        </w:rPr>
        <w:t>Bulgaria</w:t>
      </w:r>
      <w:r w:rsidR="000A1809">
        <w:rPr>
          <w:rFonts w:ascii="Times New Roman" w:hAnsi="Times New Roman"/>
          <w:sz w:val="24"/>
          <w:szCs w:val="24"/>
          <w:lang w:val="en-GB" w:eastAsia="en-GB"/>
        </w:rPr>
        <w:t xml:space="preserve"> is a</w:t>
      </w:r>
      <w:r w:rsidR="00A6149D">
        <w:rPr>
          <w:rFonts w:ascii="Times New Roman" w:hAnsi="Times New Roman"/>
          <w:sz w:val="24"/>
          <w:szCs w:val="24"/>
          <w:lang w:val="en-GB" w:eastAsia="en-GB"/>
        </w:rPr>
        <w:t>n appropriate</w:t>
      </w:r>
      <w:r w:rsidR="000A1809">
        <w:rPr>
          <w:rFonts w:ascii="Times New Roman" w:hAnsi="Times New Roman"/>
          <w:sz w:val="24"/>
          <w:szCs w:val="24"/>
          <w:lang w:val="en-GB" w:eastAsia="en-GB"/>
        </w:rPr>
        <w:t xml:space="preserve"> comparative fit and has the potential to</w:t>
      </w:r>
      <w:r w:rsidR="00A8378C" w:rsidRPr="002F44AE">
        <w:rPr>
          <w:rFonts w:ascii="Times New Roman" w:hAnsi="Times New Roman"/>
          <w:sz w:val="24"/>
          <w:szCs w:val="24"/>
          <w:lang w:val="en-GB" w:eastAsia="en-GB"/>
        </w:rPr>
        <w:t xml:space="preserve"> provide inspiration </w:t>
      </w:r>
      <w:r w:rsidR="00E5424F">
        <w:rPr>
          <w:rFonts w:ascii="Times New Roman" w:hAnsi="Times New Roman"/>
          <w:sz w:val="24"/>
          <w:szCs w:val="24"/>
          <w:lang w:val="en-GB" w:eastAsia="en-GB"/>
        </w:rPr>
        <w:t xml:space="preserve">in Cyprus and </w:t>
      </w:r>
      <w:r w:rsidR="00A8378C" w:rsidRPr="002F44AE">
        <w:rPr>
          <w:rFonts w:ascii="Times New Roman" w:hAnsi="Times New Roman"/>
          <w:sz w:val="24"/>
          <w:szCs w:val="24"/>
          <w:lang w:val="en-GB" w:eastAsia="en-GB"/>
        </w:rPr>
        <w:t>across the region</w:t>
      </w:r>
      <w:r w:rsidR="000A1809">
        <w:rPr>
          <w:rFonts w:ascii="Times New Roman" w:hAnsi="Times New Roman"/>
          <w:sz w:val="24"/>
          <w:szCs w:val="24"/>
          <w:lang w:val="en-GB" w:eastAsia="en-GB"/>
        </w:rPr>
        <w:t>. More specifically,</w:t>
      </w:r>
      <w:r w:rsidR="004D05CA">
        <w:rPr>
          <w:rFonts w:ascii="Times New Roman" w:hAnsi="Times New Roman"/>
          <w:sz w:val="24"/>
          <w:szCs w:val="24"/>
          <w:lang w:val="en-GB" w:eastAsia="en-GB"/>
        </w:rPr>
        <w:t xml:space="preserve"> </w:t>
      </w:r>
      <w:r w:rsidR="00E5424F">
        <w:rPr>
          <w:rFonts w:ascii="Times New Roman" w:hAnsi="Times New Roman"/>
          <w:sz w:val="24"/>
          <w:szCs w:val="24"/>
          <w:lang w:val="en-GB" w:eastAsia="en-GB"/>
        </w:rPr>
        <w:t>we</w:t>
      </w:r>
      <w:r w:rsidR="004D05CA">
        <w:rPr>
          <w:rFonts w:ascii="Times New Roman" w:hAnsi="Times New Roman"/>
          <w:sz w:val="24"/>
          <w:szCs w:val="24"/>
          <w:lang w:val="en-GB" w:eastAsia="en-GB"/>
        </w:rPr>
        <w:t xml:space="preserve"> </w:t>
      </w:r>
      <w:r w:rsidR="000A1809">
        <w:rPr>
          <w:rFonts w:ascii="Times New Roman" w:hAnsi="Times New Roman"/>
          <w:sz w:val="24"/>
          <w:szCs w:val="24"/>
        </w:rPr>
        <w:t>enumerate</w:t>
      </w:r>
      <w:r w:rsidR="004D05CA">
        <w:rPr>
          <w:rFonts w:ascii="Times New Roman" w:hAnsi="Times New Roman"/>
          <w:sz w:val="24"/>
          <w:szCs w:val="24"/>
        </w:rPr>
        <w:t xml:space="preserve"> </w:t>
      </w:r>
      <w:r w:rsidR="0025216E" w:rsidRPr="002F44AE">
        <w:rPr>
          <w:rFonts w:ascii="Times New Roman" w:hAnsi="Times New Roman"/>
          <w:sz w:val="24"/>
          <w:szCs w:val="24"/>
        </w:rPr>
        <w:t>a set of important lessons from post-Zhivkov Bulgaria</w:t>
      </w:r>
      <w:r w:rsidR="004D05CA">
        <w:rPr>
          <w:rFonts w:ascii="Times New Roman" w:hAnsi="Times New Roman"/>
          <w:sz w:val="24"/>
          <w:szCs w:val="24"/>
        </w:rPr>
        <w:t xml:space="preserve"> </w:t>
      </w:r>
      <w:r w:rsidR="000A1809">
        <w:rPr>
          <w:rFonts w:ascii="Times New Roman" w:hAnsi="Times New Roman"/>
          <w:sz w:val="24"/>
          <w:szCs w:val="24"/>
        </w:rPr>
        <w:t>to</w:t>
      </w:r>
      <w:r w:rsidR="004D05CA">
        <w:rPr>
          <w:rFonts w:ascii="Times New Roman" w:hAnsi="Times New Roman"/>
          <w:sz w:val="24"/>
          <w:szCs w:val="24"/>
        </w:rPr>
        <w:t xml:space="preserve"> </w:t>
      </w:r>
      <w:r w:rsidR="005E3A19" w:rsidRPr="002F44AE">
        <w:rPr>
          <w:rFonts w:ascii="Times New Roman" w:hAnsi="Times New Roman"/>
          <w:sz w:val="24"/>
          <w:szCs w:val="24"/>
        </w:rPr>
        <w:t>support</w:t>
      </w:r>
      <w:r w:rsidR="0025216E" w:rsidRPr="002F44AE">
        <w:rPr>
          <w:rFonts w:ascii="Times New Roman" w:hAnsi="Times New Roman"/>
          <w:sz w:val="24"/>
          <w:szCs w:val="24"/>
        </w:rPr>
        <w:t xml:space="preserve"> th</w:t>
      </w:r>
      <w:r w:rsidR="00004D36" w:rsidRPr="002F44AE">
        <w:rPr>
          <w:rFonts w:ascii="Times New Roman" w:hAnsi="Times New Roman"/>
          <w:sz w:val="24"/>
          <w:szCs w:val="24"/>
        </w:rPr>
        <w:t xml:space="preserve">e positive realignment of Turkish foreign policy in </w:t>
      </w:r>
      <w:r w:rsidR="000A1809">
        <w:rPr>
          <w:rFonts w:ascii="Times New Roman" w:hAnsi="Times New Roman"/>
          <w:sz w:val="24"/>
          <w:szCs w:val="24"/>
        </w:rPr>
        <w:t xml:space="preserve">a </w:t>
      </w:r>
      <w:r w:rsidR="00004D36" w:rsidRPr="002F44AE">
        <w:rPr>
          <w:rFonts w:ascii="Times New Roman" w:hAnsi="Times New Roman"/>
          <w:sz w:val="24"/>
          <w:szCs w:val="24"/>
        </w:rPr>
        <w:t xml:space="preserve">reunited Cyprus </w:t>
      </w:r>
      <w:r w:rsidR="000A1809">
        <w:rPr>
          <w:rFonts w:ascii="Times New Roman" w:hAnsi="Times New Roman"/>
          <w:sz w:val="24"/>
          <w:szCs w:val="24"/>
        </w:rPr>
        <w:t>and</w:t>
      </w:r>
      <w:r w:rsidR="00004D36" w:rsidRPr="002F44AE">
        <w:rPr>
          <w:rFonts w:ascii="Times New Roman" w:hAnsi="Times New Roman"/>
          <w:sz w:val="24"/>
          <w:szCs w:val="24"/>
        </w:rPr>
        <w:t xml:space="preserve"> identify the most effective neighborhood policies </w:t>
      </w:r>
      <w:r w:rsidR="000A1809">
        <w:rPr>
          <w:rFonts w:ascii="Times New Roman" w:hAnsi="Times New Roman"/>
          <w:sz w:val="24"/>
          <w:szCs w:val="24"/>
        </w:rPr>
        <w:t>leading in</w:t>
      </w:r>
      <w:r w:rsidR="00004D36" w:rsidRPr="002F44AE">
        <w:rPr>
          <w:rFonts w:ascii="Times New Roman" w:hAnsi="Times New Roman"/>
          <w:sz w:val="24"/>
          <w:szCs w:val="24"/>
        </w:rPr>
        <w:t xml:space="preserve"> this direction.</w:t>
      </w:r>
      <w:r w:rsidR="0025216E" w:rsidRPr="002F44AE">
        <w:rPr>
          <w:rFonts w:ascii="Times New Roman" w:hAnsi="Times New Roman"/>
          <w:sz w:val="24"/>
          <w:szCs w:val="24"/>
        </w:rPr>
        <w:t> </w:t>
      </w:r>
      <w:r w:rsidR="00E5424F">
        <w:rPr>
          <w:rFonts w:ascii="Times New Roman" w:hAnsi="Times New Roman"/>
          <w:sz w:val="24"/>
          <w:szCs w:val="24"/>
          <w:lang w:val="en-GB" w:eastAsia="en-GB"/>
        </w:rPr>
        <w:t xml:space="preserve">We </w:t>
      </w:r>
      <w:r w:rsidRPr="002F44AE">
        <w:rPr>
          <w:rFonts w:ascii="Times New Roman" w:hAnsi="Times New Roman"/>
          <w:sz w:val="24"/>
          <w:szCs w:val="24"/>
          <w:lang w:val="en-GB" w:eastAsia="en-GB"/>
        </w:rPr>
        <w:t xml:space="preserve">then provide insights </w:t>
      </w:r>
      <w:r w:rsidR="000A1809">
        <w:rPr>
          <w:rFonts w:ascii="Times New Roman" w:hAnsi="Times New Roman"/>
          <w:sz w:val="24"/>
          <w:szCs w:val="24"/>
          <w:lang w:val="en-GB" w:eastAsia="en-GB"/>
        </w:rPr>
        <w:t>in</w:t>
      </w:r>
      <w:r w:rsidRPr="002F44AE">
        <w:rPr>
          <w:rFonts w:ascii="Times New Roman" w:hAnsi="Times New Roman"/>
          <w:sz w:val="24"/>
          <w:szCs w:val="24"/>
          <w:lang w:val="en-GB" w:eastAsia="en-GB"/>
        </w:rPr>
        <w:t>to peace-</w:t>
      </w:r>
      <w:r w:rsidRPr="002F44AE">
        <w:rPr>
          <w:rFonts w:ascii="Times New Roman" w:hAnsi="Times New Roman"/>
          <w:sz w:val="24"/>
          <w:szCs w:val="24"/>
          <w:lang w:val="en-GB" w:eastAsia="en-GB"/>
        </w:rPr>
        <w:lastRenderedPageBreak/>
        <w:t>making in the island by identifying a set of conflict resolution breakthroughs</w:t>
      </w:r>
      <w:r w:rsidR="000A1809">
        <w:rPr>
          <w:rFonts w:ascii="Times New Roman" w:hAnsi="Times New Roman"/>
          <w:sz w:val="24"/>
          <w:szCs w:val="24"/>
          <w:lang w:val="en-GB" w:eastAsia="en-GB"/>
        </w:rPr>
        <w:t>, including</w:t>
      </w:r>
      <w:r w:rsidRPr="002F44AE">
        <w:rPr>
          <w:rFonts w:ascii="Times New Roman" w:hAnsi="Times New Roman"/>
          <w:sz w:val="24"/>
          <w:szCs w:val="24"/>
          <w:lang w:val="en-GB" w:eastAsia="en-GB"/>
        </w:rPr>
        <w:t xml:space="preserve"> the Nicosia sewage system </w:t>
      </w:r>
      <w:r w:rsidR="000A1809">
        <w:rPr>
          <w:rFonts w:ascii="Times New Roman" w:hAnsi="Times New Roman"/>
          <w:sz w:val="24"/>
          <w:szCs w:val="24"/>
          <w:lang w:val="en-GB" w:eastAsia="en-GB"/>
        </w:rPr>
        <w:t>and</w:t>
      </w:r>
      <w:r w:rsidR="004D05CA">
        <w:rPr>
          <w:rFonts w:ascii="Times New Roman" w:hAnsi="Times New Roman"/>
          <w:sz w:val="24"/>
          <w:szCs w:val="24"/>
          <w:lang w:val="en-GB" w:eastAsia="en-GB"/>
        </w:rPr>
        <w:t xml:space="preserve"> </w:t>
      </w:r>
      <w:r w:rsidRPr="002F44AE">
        <w:rPr>
          <w:rFonts w:ascii="Times New Roman" w:hAnsi="Times New Roman"/>
          <w:sz w:val="24"/>
          <w:szCs w:val="24"/>
          <w:lang w:val="en-GB" w:eastAsia="en-GB"/>
        </w:rPr>
        <w:t>the Committee of Missing Persons</w:t>
      </w:r>
      <w:r w:rsidR="000A1809">
        <w:rPr>
          <w:rFonts w:ascii="Times New Roman" w:hAnsi="Times New Roman"/>
          <w:sz w:val="24"/>
          <w:szCs w:val="24"/>
          <w:lang w:val="en-GB" w:eastAsia="en-GB"/>
        </w:rPr>
        <w:t>,</w:t>
      </w:r>
      <w:r w:rsidR="004D05CA">
        <w:rPr>
          <w:rFonts w:ascii="Times New Roman" w:hAnsi="Times New Roman"/>
          <w:sz w:val="24"/>
          <w:szCs w:val="24"/>
          <w:lang w:val="en-GB" w:eastAsia="en-GB"/>
        </w:rPr>
        <w:t xml:space="preserve"> </w:t>
      </w:r>
      <w:r w:rsidR="000A1809">
        <w:rPr>
          <w:rFonts w:ascii="Times New Roman" w:hAnsi="Times New Roman"/>
          <w:sz w:val="24"/>
          <w:szCs w:val="24"/>
          <w:lang w:val="en-GB" w:eastAsia="en-GB"/>
        </w:rPr>
        <w:t>and</w:t>
      </w:r>
      <w:r w:rsidR="004D05CA">
        <w:rPr>
          <w:rFonts w:ascii="Times New Roman" w:hAnsi="Times New Roman"/>
          <w:sz w:val="24"/>
          <w:szCs w:val="24"/>
          <w:lang w:val="en-GB" w:eastAsia="en-GB"/>
        </w:rPr>
        <w:t xml:space="preserve"> </w:t>
      </w:r>
      <w:r w:rsidR="00E5424F">
        <w:rPr>
          <w:rFonts w:ascii="Times New Roman" w:hAnsi="Times New Roman"/>
          <w:sz w:val="24"/>
          <w:szCs w:val="24"/>
          <w:lang w:val="en-GB" w:eastAsia="en-GB"/>
        </w:rPr>
        <w:t xml:space="preserve">we </w:t>
      </w:r>
      <w:r w:rsidR="00E5424F" w:rsidRPr="002F44AE">
        <w:rPr>
          <w:rFonts w:ascii="Times New Roman" w:hAnsi="Times New Roman"/>
          <w:sz w:val="24"/>
          <w:szCs w:val="24"/>
          <w:lang w:val="en-GB" w:eastAsia="en-GB"/>
        </w:rPr>
        <w:t>propos</w:t>
      </w:r>
      <w:r w:rsidR="00E5424F">
        <w:rPr>
          <w:rFonts w:ascii="Times New Roman" w:hAnsi="Times New Roman"/>
          <w:sz w:val="24"/>
          <w:szCs w:val="24"/>
          <w:lang w:val="en-GB" w:eastAsia="en-GB"/>
        </w:rPr>
        <w:t>e</w:t>
      </w:r>
      <w:r w:rsidR="004D05CA">
        <w:rPr>
          <w:rFonts w:ascii="Times New Roman" w:hAnsi="Times New Roman"/>
          <w:sz w:val="24"/>
          <w:szCs w:val="24"/>
          <w:lang w:val="en-GB" w:eastAsia="en-GB"/>
        </w:rPr>
        <w:t xml:space="preserve"> </w:t>
      </w:r>
      <w:r w:rsidRPr="002F44AE">
        <w:rPr>
          <w:rFonts w:ascii="Times New Roman" w:hAnsi="Times New Roman"/>
          <w:sz w:val="24"/>
          <w:szCs w:val="24"/>
          <w:lang w:val="en-GB" w:eastAsia="en-GB"/>
        </w:rPr>
        <w:t xml:space="preserve">a </w:t>
      </w:r>
      <w:r w:rsidR="000A1809" w:rsidRPr="002F44AE">
        <w:rPr>
          <w:rFonts w:ascii="Times New Roman" w:hAnsi="Times New Roman"/>
          <w:sz w:val="24"/>
          <w:szCs w:val="24"/>
          <w:lang w:val="en-GB" w:eastAsia="en-GB"/>
        </w:rPr>
        <w:t>se</w:t>
      </w:r>
      <w:r w:rsidR="000A1809">
        <w:rPr>
          <w:rFonts w:ascii="Times New Roman" w:hAnsi="Times New Roman"/>
          <w:sz w:val="24"/>
          <w:szCs w:val="24"/>
          <w:lang w:val="en-GB" w:eastAsia="en-GB"/>
        </w:rPr>
        <w:t>ries</w:t>
      </w:r>
      <w:r w:rsidR="004D05CA">
        <w:rPr>
          <w:rFonts w:ascii="Times New Roman" w:hAnsi="Times New Roman"/>
          <w:sz w:val="24"/>
          <w:szCs w:val="24"/>
          <w:lang w:val="en-GB" w:eastAsia="en-GB"/>
        </w:rPr>
        <w:t xml:space="preserve"> </w:t>
      </w:r>
      <w:r w:rsidRPr="002F44AE">
        <w:rPr>
          <w:rFonts w:ascii="Times New Roman" w:hAnsi="Times New Roman"/>
          <w:sz w:val="24"/>
          <w:szCs w:val="24"/>
          <w:lang w:val="en-GB" w:eastAsia="en-GB"/>
        </w:rPr>
        <w:t xml:space="preserve">of steps to </w:t>
      </w:r>
      <w:r w:rsidR="000A1809">
        <w:rPr>
          <w:rFonts w:ascii="Times New Roman" w:hAnsi="Times New Roman"/>
          <w:sz w:val="24"/>
          <w:szCs w:val="24"/>
          <w:lang w:val="en-GB" w:eastAsia="en-GB"/>
        </w:rPr>
        <w:t>get past</w:t>
      </w:r>
      <w:r w:rsidR="00147C1E">
        <w:rPr>
          <w:rFonts w:ascii="Times New Roman" w:hAnsi="Times New Roman"/>
          <w:sz w:val="24"/>
          <w:szCs w:val="24"/>
          <w:lang w:val="en-GB" w:eastAsia="en-GB"/>
        </w:rPr>
        <w:t xml:space="preserve"> </w:t>
      </w:r>
      <w:r w:rsidRPr="002F44AE">
        <w:rPr>
          <w:rFonts w:ascii="Times New Roman" w:hAnsi="Times New Roman"/>
          <w:sz w:val="24"/>
          <w:szCs w:val="24"/>
          <w:lang w:val="en-GB" w:eastAsia="en-GB"/>
        </w:rPr>
        <w:t xml:space="preserve">the current </w:t>
      </w:r>
      <w:r w:rsidR="005E3A19" w:rsidRPr="002F44AE">
        <w:rPr>
          <w:rFonts w:ascii="Times New Roman" w:hAnsi="Times New Roman"/>
          <w:sz w:val="24"/>
          <w:szCs w:val="24"/>
          <w:lang w:val="en-GB" w:eastAsia="en-GB"/>
        </w:rPr>
        <w:t>stalemate</w:t>
      </w:r>
      <w:r w:rsidRPr="002F44AE">
        <w:rPr>
          <w:rFonts w:ascii="Times New Roman" w:hAnsi="Times New Roman"/>
          <w:sz w:val="24"/>
          <w:szCs w:val="24"/>
          <w:lang w:val="en-GB" w:eastAsia="en-GB"/>
        </w:rPr>
        <w:t xml:space="preserve"> and re-incentiv</w:t>
      </w:r>
      <w:r w:rsidR="005E3A19" w:rsidRPr="002F44AE">
        <w:rPr>
          <w:rFonts w:ascii="Times New Roman" w:hAnsi="Times New Roman"/>
          <w:sz w:val="24"/>
          <w:szCs w:val="24"/>
          <w:lang w:val="en-GB" w:eastAsia="en-GB"/>
        </w:rPr>
        <w:t>ize</w:t>
      </w:r>
      <w:r w:rsidRPr="002F44AE">
        <w:rPr>
          <w:rFonts w:ascii="Times New Roman" w:hAnsi="Times New Roman"/>
          <w:sz w:val="24"/>
          <w:szCs w:val="24"/>
          <w:lang w:val="en-GB" w:eastAsia="en-GB"/>
        </w:rPr>
        <w:t xml:space="preserve"> the peace talks.</w:t>
      </w:r>
    </w:p>
    <w:p w:rsidR="002F44AE" w:rsidRPr="002F44AE" w:rsidRDefault="002F44AE" w:rsidP="00374024">
      <w:pPr>
        <w:spacing w:line="480" w:lineRule="auto"/>
        <w:jc w:val="both"/>
        <w:rPr>
          <w:rFonts w:ascii="Times New Roman" w:hAnsi="Times New Roman"/>
          <w:sz w:val="24"/>
          <w:szCs w:val="24"/>
          <w:lang w:val="en-GB" w:eastAsia="en-GB"/>
        </w:rPr>
      </w:pPr>
    </w:p>
    <w:p w:rsidR="00545253" w:rsidRPr="002F44AE" w:rsidRDefault="00545253" w:rsidP="00374024">
      <w:pPr>
        <w:spacing w:line="480" w:lineRule="auto"/>
        <w:jc w:val="both"/>
        <w:rPr>
          <w:rFonts w:ascii="Times New Roman" w:hAnsi="Times New Roman"/>
          <w:b/>
          <w:i/>
          <w:sz w:val="24"/>
          <w:szCs w:val="24"/>
          <w:lang w:val="en-GB" w:eastAsia="en-GB"/>
        </w:rPr>
      </w:pPr>
      <w:r w:rsidRPr="006516EB">
        <w:rPr>
          <w:rFonts w:ascii="Times New Roman" w:hAnsi="Times New Roman"/>
          <w:b/>
          <w:sz w:val="24"/>
          <w:szCs w:val="24"/>
          <w:lang w:val="en-GB" w:eastAsia="en-GB"/>
        </w:rPr>
        <w:t>The Cypriot context</w:t>
      </w:r>
    </w:p>
    <w:p w:rsidR="00E5424F" w:rsidRDefault="000A1809" w:rsidP="00374024">
      <w:pPr>
        <w:spacing w:line="480" w:lineRule="auto"/>
        <w:jc w:val="both"/>
        <w:rPr>
          <w:rFonts w:ascii="Times New Roman" w:hAnsi="Times New Roman"/>
          <w:sz w:val="24"/>
          <w:szCs w:val="24"/>
          <w:lang w:eastAsia="en-GB"/>
        </w:rPr>
      </w:pPr>
      <w:r>
        <w:rPr>
          <w:rFonts w:ascii="Times New Roman" w:hAnsi="Times New Roman"/>
          <w:sz w:val="24"/>
          <w:szCs w:val="24"/>
          <w:lang w:val="en-GB" w:eastAsia="en-GB"/>
        </w:rPr>
        <w:t>Cyprus is a good case study</w:t>
      </w:r>
      <w:r w:rsidR="00004D36" w:rsidRPr="002F44AE">
        <w:rPr>
          <w:rFonts w:ascii="Times New Roman" w:hAnsi="Times New Roman"/>
          <w:sz w:val="24"/>
          <w:szCs w:val="24"/>
          <w:lang w:eastAsia="en-GB"/>
        </w:rPr>
        <w:t xml:space="preserve"> of </w:t>
      </w:r>
      <w:r w:rsidR="00D36848" w:rsidRPr="002F44AE">
        <w:rPr>
          <w:rFonts w:ascii="Times New Roman" w:hAnsi="Times New Roman"/>
          <w:sz w:val="24"/>
          <w:szCs w:val="24"/>
          <w:lang w:eastAsia="en-GB"/>
        </w:rPr>
        <w:t xml:space="preserve">intractability and </w:t>
      </w:r>
      <w:r w:rsidR="00004D36" w:rsidRPr="002F44AE">
        <w:rPr>
          <w:rFonts w:ascii="Times New Roman" w:hAnsi="Times New Roman"/>
          <w:sz w:val="24"/>
          <w:szCs w:val="24"/>
          <w:lang w:eastAsia="en-GB"/>
        </w:rPr>
        <w:t>protracted stalemates</w:t>
      </w:r>
      <w:r w:rsidR="009B23FF" w:rsidRPr="002F44AE">
        <w:rPr>
          <w:rFonts w:ascii="Times New Roman" w:hAnsi="Times New Roman"/>
          <w:sz w:val="24"/>
          <w:szCs w:val="24"/>
          <w:lang w:eastAsia="en-GB"/>
        </w:rPr>
        <w:t xml:space="preserve">. </w:t>
      </w:r>
      <w:r w:rsidR="005E354B" w:rsidRPr="002F44AE">
        <w:rPr>
          <w:rFonts w:ascii="Times New Roman" w:hAnsi="Times New Roman"/>
          <w:sz w:val="24"/>
          <w:szCs w:val="24"/>
          <w:lang w:eastAsia="en-GB"/>
        </w:rPr>
        <w:t xml:space="preserve">Since 1974, </w:t>
      </w:r>
      <w:r w:rsidR="00531E57" w:rsidRPr="002F44AE">
        <w:rPr>
          <w:rFonts w:ascii="Times New Roman" w:hAnsi="Times New Roman"/>
          <w:sz w:val="24"/>
          <w:szCs w:val="24"/>
          <w:lang w:eastAsia="en-GB"/>
        </w:rPr>
        <w:t xml:space="preserve">the </w:t>
      </w:r>
      <w:r w:rsidR="00E5424F">
        <w:rPr>
          <w:rFonts w:ascii="Times New Roman" w:hAnsi="Times New Roman"/>
          <w:sz w:val="24"/>
          <w:szCs w:val="24"/>
          <w:lang w:eastAsia="en-GB"/>
        </w:rPr>
        <w:t>UN has</w:t>
      </w:r>
      <w:r w:rsidR="004D05CA">
        <w:rPr>
          <w:rFonts w:ascii="Times New Roman" w:hAnsi="Times New Roman"/>
          <w:sz w:val="24"/>
          <w:szCs w:val="24"/>
          <w:lang w:eastAsia="en-GB"/>
        </w:rPr>
        <w:t xml:space="preserve"> </w:t>
      </w:r>
      <w:r>
        <w:rPr>
          <w:rFonts w:ascii="Times New Roman" w:hAnsi="Times New Roman"/>
          <w:sz w:val="24"/>
          <w:szCs w:val="24"/>
          <w:lang w:eastAsia="en-GB"/>
        </w:rPr>
        <w:t>made</w:t>
      </w:r>
      <w:r w:rsidR="004D05CA">
        <w:rPr>
          <w:rFonts w:ascii="Times New Roman" w:hAnsi="Times New Roman"/>
          <w:sz w:val="24"/>
          <w:szCs w:val="24"/>
          <w:lang w:eastAsia="en-GB"/>
        </w:rPr>
        <w:t xml:space="preserve"> </w:t>
      </w:r>
      <w:r w:rsidR="00531E57" w:rsidRPr="002F44AE">
        <w:rPr>
          <w:rFonts w:ascii="Times New Roman" w:hAnsi="Times New Roman"/>
          <w:sz w:val="24"/>
          <w:szCs w:val="24"/>
          <w:lang w:eastAsia="en-GB"/>
        </w:rPr>
        <w:t>several proposals to reunite the island</w:t>
      </w:r>
      <w:r w:rsidR="005E354B" w:rsidRPr="002F44AE">
        <w:rPr>
          <w:rFonts w:ascii="Times New Roman" w:hAnsi="Times New Roman"/>
          <w:sz w:val="24"/>
          <w:szCs w:val="24"/>
          <w:lang w:eastAsia="en-GB"/>
        </w:rPr>
        <w:t xml:space="preserve">, albeit with little success. </w:t>
      </w:r>
      <w:r w:rsidR="00BF184D" w:rsidRPr="002F44AE">
        <w:rPr>
          <w:rFonts w:ascii="Times New Roman" w:hAnsi="Times New Roman"/>
          <w:sz w:val="24"/>
          <w:szCs w:val="24"/>
          <w:lang w:val="en-GB"/>
        </w:rPr>
        <w:t xml:space="preserve">The Cyprus problem </w:t>
      </w:r>
      <w:r w:rsidR="00E5424F">
        <w:rPr>
          <w:rFonts w:ascii="Times New Roman" w:hAnsi="Times New Roman"/>
          <w:sz w:val="24"/>
          <w:szCs w:val="24"/>
          <w:lang w:val="en-GB"/>
        </w:rPr>
        <w:t>has been called</w:t>
      </w:r>
      <w:r w:rsidR="004D05CA">
        <w:rPr>
          <w:rFonts w:ascii="Times New Roman" w:hAnsi="Times New Roman"/>
          <w:sz w:val="24"/>
          <w:szCs w:val="24"/>
          <w:lang w:val="en-GB"/>
        </w:rPr>
        <w:t xml:space="preserve"> </w:t>
      </w:r>
      <w:r w:rsidR="00B40F66">
        <w:rPr>
          <w:rFonts w:ascii="Times New Roman" w:hAnsi="Times New Roman"/>
          <w:sz w:val="24"/>
          <w:szCs w:val="24"/>
          <w:lang w:val="en-GB"/>
        </w:rPr>
        <w:t>a</w:t>
      </w:r>
      <w:r w:rsidR="004D05CA">
        <w:rPr>
          <w:rFonts w:ascii="Times New Roman" w:hAnsi="Times New Roman"/>
          <w:sz w:val="24"/>
          <w:szCs w:val="24"/>
          <w:lang w:val="en-GB"/>
        </w:rPr>
        <w:t xml:space="preserve"> </w:t>
      </w:r>
      <w:r w:rsidR="00BF184D" w:rsidRPr="002F44AE">
        <w:rPr>
          <w:rFonts w:ascii="Times New Roman" w:hAnsi="Times New Roman"/>
          <w:sz w:val="24"/>
          <w:szCs w:val="24"/>
          <w:lang w:val="en-GB"/>
        </w:rPr>
        <w:t>‘diplomat’s graveyard’</w:t>
      </w:r>
      <w:r w:rsidR="00B40F66">
        <w:rPr>
          <w:rFonts w:ascii="Times New Roman" w:hAnsi="Times New Roman"/>
          <w:sz w:val="24"/>
          <w:szCs w:val="24"/>
          <w:lang w:val="en-GB"/>
        </w:rPr>
        <w:t>,</w:t>
      </w:r>
      <w:r w:rsidR="00BF184D" w:rsidRPr="002F44AE">
        <w:rPr>
          <w:rFonts w:ascii="Times New Roman" w:hAnsi="Times New Roman"/>
          <w:sz w:val="24"/>
          <w:szCs w:val="24"/>
          <w:lang w:val="en-GB"/>
        </w:rPr>
        <w:t xml:space="preserve"> a </w:t>
      </w:r>
      <w:r w:rsidR="00B40F66">
        <w:rPr>
          <w:rFonts w:ascii="Times New Roman" w:hAnsi="Times New Roman"/>
          <w:sz w:val="24"/>
          <w:szCs w:val="24"/>
          <w:lang w:val="en-GB"/>
        </w:rPr>
        <w:t xml:space="preserve">metaphor </w:t>
      </w:r>
      <w:r w:rsidR="00BF184D" w:rsidRPr="002F44AE">
        <w:rPr>
          <w:rFonts w:ascii="Times New Roman" w:hAnsi="Times New Roman"/>
          <w:sz w:val="24"/>
          <w:szCs w:val="24"/>
          <w:lang w:val="en-GB"/>
        </w:rPr>
        <w:t xml:space="preserve">used to describe </w:t>
      </w:r>
      <w:r w:rsidR="00B40F66">
        <w:rPr>
          <w:rFonts w:ascii="Times New Roman" w:hAnsi="Times New Roman"/>
          <w:sz w:val="24"/>
          <w:szCs w:val="24"/>
          <w:lang w:val="en-GB"/>
        </w:rPr>
        <w:t>‘</w:t>
      </w:r>
      <w:r w:rsidR="00BF184D" w:rsidRPr="002F44AE">
        <w:rPr>
          <w:rFonts w:ascii="Times New Roman" w:hAnsi="Times New Roman"/>
          <w:sz w:val="24"/>
          <w:szCs w:val="24"/>
          <w:lang w:val="en-GB"/>
        </w:rPr>
        <w:t xml:space="preserve">the effect the intractable Cyprus issue has had on the </w:t>
      </w:r>
      <w:r w:rsidR="00B40F66">
        <w:rPr>
          <w:rFonts w:ascii="Times New Roman" w:hAnsi="Times New Roman"/>
          <w:sz w:val="24"/>
          <w:szCs w:val="24"/>
          <w:lang w:val="en-GB"/>
        </w:rPr>
        <w:t>“</w:t>
      </w:r>
      <w:r w:rsidR="00BF184D" w:rsidRPr="002F44AE">
        <w:rPr>
          <w:rFonts w:ascii="Times New Roman" w:hAnsi="Times New Roman"/>
          <w:sz w:val="24"/>
          <w:szCs w:val="24"/>
          <w:lang w:val="en-GB"/>
        </w:rPr>
        <w:t xml:space="preserve">parade of UN </w:t>
      </w:r>
      <w:r w:rsidR="00B40F66" w:rsidRPr="002F44AE">
        <w:rPr>
          <w:rFonts w:ascii="Times New Roman" w:hAnsi="Times New Roman"/>
          <w:sz w:val="24"/>
          <w:szCs w:val="24"/>
          <w:lang w:val="en-GB"/>
        </w:rPr>
        <w:t>representatives</w:t>
      </w:r>
      <w:r w:rsidR="00B40F66">
        <w:rPr>
          <w:rFonts w:ascii="Times New Roman" w:hAnsi="Times New Roman"/>
          <w:sz w:val="24"/>
          <w:szCs w:val="24"/>
          <w:lang w:val="en-GB"/>
        </w:rPr>
        <w:t>”</w:t>
      </w:r>
      <w:r w:rsidR="00147C1E">
        <w:rPr>
          <w:rFonts w:ascii="Times New Roman" w:hAnsi="Times New Roman"/>
          <w:sz w:val="24"/>
          <w:szCs w:val="24"/>
          <w:lang w:val="en-GB"/>
        </w:rPr>
        <w:t xml:space="preserve"> </w:t>
      </w:r>
      <w:r w:rsidR="00BF184D" w:rsidRPr="002F44AE">
        <w:rPr>
          <w:rFonts w:ascii="Times New Roman" w:hAnsi="Times New Roman"/>
          <w:sz w:val="24"/>
          <w:szCs w:val="24"/>
          <w:lang w:val="en-GB"/>
        </w:rPr>
        <w:t xml:space="preserve">who </w:t>
      </w:r>
      <w:r w:rsidR="00B40F66">
        <w:rPr>
          <w:rFonts w:ascii="Times New Roman" w:hAnsi="Times New Roman"/>
          <w:sz w:val="24"/>
          <w:szCs w:val="24"/>
          <w:lang w:val="en-GB"/>
        </w:rPr>
        <w:t>…</w:t>
      </w:r>
      <w:r w:rsidR="00BF184D" w:rsidRPr="002F44AE">
        <w:rPr>
          <w:rFonts w:ascii="Times New Roman" w:hAnsi="Times New Roman"/>
          <w:sz w:val="24"/>
          <w:szCs w:val="24"/>
          <w:lang w:val="en-GB"/>
        </w:rPr>
        <w:t xml:space="preserve">tried to help fund a settlement, only to </w:t>
      </w:r>
      <w:r w:rsidR="008F0CFC">
        <w:rPr>
          <w:rFonts w:ascii="Times New Roman" w:hAnsi="Times New Roman"/>
          <w:sz w:val="24"/>
          <w:szCs w:val="24"/>
          <w:lang w:val="en-GB"/>
        </w:rPr>
        <w:t xml:space="preserve">depart empty handed’ (Christou </w:t>
      </w:r>
      <w:r w:rsidR="00BF184D" w:rsidRPr="002F44AE">
        <w:rPr>
          <w:rFonts w:ascii="Times New Roman" w:hAnsi="Times New Roman"/>
          <w:sz w:val="24"/>
          <w:szCs w:val="24"/>
          <w:lang w:val="en-GB"/>
        </w:rPr>
        <w:t xml:space="preserve">2014). A </w:t>
      </w:r>
      <w:r w:rsidR="00C71418" w:rsidRPr="002F44AE">
        <w:rPr>
          <w:rFonts w:ascii="Times New Roman" w:hAnsi="Times New Roman"/>
          <w:sz w:val="24"/>
          <w:szCs w:val="24"/>
          <w:lang w:val="en-GB"/>
        </w:rPr>
        <w:t>study</w:t>
      </w:r>
      <w:r w:rsidR="00BF184D" w:rsidRPr="002F44AE">
        <w:rPr>
          <w:rFonts w:ascii="Times New Roman" w:hAnsi="Times New Roman"/>
          <w:sz w:val="24"/>
          <w:szCs w:val="24"/>
          <w:lang w:val="en-GB"/>
        </w:rPr>
        <w:t xml:space="preserve"> published to mark the UN’s 50</w:t>
      </w:r>
      <w:r w:rsidR="00BF184D" w:rsidRPr="002F44AE">
        <w:rPr>
          <w:rFonts w:ascii="Times New Roman" w:hAnsi="Times New Roman"/>
          <w:sz w:val="24"/>
          <w:szCs w:val="24"/>
          <w:vertAlign w:val="superscript"/>
          <w:lang w:val="en-GB"/>
        </w:rPr>
        <w:t>th</w:t>
      </w:r>
      <w:r w:rsidR="00BF184D" w:rsidRPr="002F44AE">
        <w:rPr>
          <w:rFonts w:ascii="Times New Roman" w:hAnsi="Times New Roman"/>
          <w:sz w:val="24"/>
          <w:szCs w:val="24"/>
          <w:lang w:val="en-GB"/>
        </w:rPr>
        <w:t xml:space="preserve"> anniversary in the island </w:t>
      </w:r>
      <w:r w:rsidR="00B40F66">
        <w:rPr>
          <w:rFonts w:ascii="Times New Roman" w:hAnsi="Times New Roman"/>
          <w:sz w:val="24"/>
          <w:szCs w:val="24"/>
          <w:lang w:val="en-GB"/>
        </w:rPr>
        <w:t>notes that</w:t>
      </w:r>
      <w:r w:rsidR="00BF184D" w:rsidRPr="002F44AE">
        <w:rPr>
          <w:rFonts w:ascii="Times New Roman" w:hAnsi="Times New Roman"/>
          <w:sz w:val="24"/>
          <w:szCs w:val="24"/>
          <w:lang w:val="en-GB"/>
        </w:rPr>
        <w:t xml:space="preserve"> 25 envoys </w:t>
      </w:r>
      <w:r w:rsidR="00E5424F">
        <w:rPr>
          <w:rFonts w:ascii="Times New Roman" w:hAnsi="Times New Roman"/>
          <w:sz w:val="24"/>
          <w:szCs w:val="24"/>
          <w:lang w:val="en-GB"/>
        </w:rPr>
        <w:t xml:space="preserve">have </w:t>
      </w:r>
      <w:r w:rsidR="00B40F66" w:rsidRPr="002F44AE">
        <w:rPr>
          <w:rFonts w:ascii="Times New Roman" w:hAnsi="Times New Roman"/>
          <w:sz w:val="24"/>
          <w:szCs w:val="24"/>
          <w:lang w:val="en-GB"/>
        </w:rPr>
        <w:t>serv</w:t>
      </w:r>
      <w:r w:rsidR="00B40F66">
        <w:rPr>
          <w:rFonts w:ascii="Times New Roman" w:hAnsi="Times New Roman"/>
          <w:sz w:val="24"/>
          <w:szCs w:val="24"/>
          <w:lang w:val="en-GB"/>
        </w:rPr>
        <w:t>ed</w:t>
      </w:r>
      <w:r w:rsidR="004D05CA">
        <w:rPr>
          <w:rFonts w:ascii="Times New Roman" w:hAnsi="Times New Roman"/>
          <w:sz w:val="24"/>
          <w:szCs w:val="24"/>
          <w:lang w:val="en-GB"/>
        </w:rPr>
        <w:t xml:space="preserve"> </w:t>
      </w:r>
      <w:r w:rsidR="00BF184D" w:rsidRPr="002F44AE">
        <w:rPr>
          <w:rFonts w:ascii="Times New Roman" w:hAnsi="Times New Roman"/>
          <w:sz w:val="24"/>
          <w:szCs w:val="24"/>
          <w:lang w:val="en-GB"/>
        </w:rPr>
        <w:t>under eight Secretary</w:t>
      </w:r>
      <w:r w:rsidR="004D05CA">
        <w:rPr>
          <w:rFonts w:ascii="Times New Roman" w:hAnsi="Times New Roman"/>
          <w:sz w:val="24"/>
          <w:szCs w:val="24"/>
          <w:lang w:val="en-GB"/>
        </w:rPr>
        <w:t xml:space="preserve"> </w:t>
      </w:r>
      <w:r w:rsidR="00BF184D" w:rsidRPr="002F44AE">
        <w:rPr>
          <w:rFonts w:ascii="Times New Roman" w:hAnsi="Times New Roman"/>
          <w:sz w:val="24"/>
          <w:szCs w:val="24"/>
          <w:lang w:val="en-GB"/>
        </w:rPr>
        <w:t xml:space="preserve">Generals </w:t>
      </w:r>
      <w:r w:rsidR="00B40F66">
        <w:rPr>
          <w:rFonts w:ascii="Times New Roman" w:hAnsi="Times New Roman"/>
          <w:sz w:val="24"/>
          <w:szCs w:val="24"/>
          <w:lang w:val="en-GB"/>
        </w:rPr>
        <w:t xml:space="preserve">working on the </w:t>
      </w:r>
      <w:r w:rsidR="008F0CFC">
        <w:rPr>
          <w:rFonts w:ascii="Times New Roman" w:hAnsi="Times New Roman"/>
          <w:sz w:val="24"/>
          <w:szCs w:val="24"/>
          <w:lang w:val="en-GB"/>
        </w:rPr>
        <w:t>problem (Hadjigregoriou</w:t>
      </w:r>
      <w:r w:rsidR="00BF184D" w:rsidRPr="002F44AE">
        <w:rPr>
          <w:rFonts w:ascii="Times New Roman" w:hAnsi="Times New Roman"/>
          <w:sz w:val="24"/>
          <w:szCs w:val="24"/>
          <w:lang w:val="en-GB"/>
        </w:rPr>
        <w:t xml:space="preserve"> 2014). </w:t>
      </w:r>
      <w:r w:rsidR="00B40F66">
        <w:rPr>
          <w:rFonts w:ascii="Times New Roman" w:hAnsi="Times New Roman"/>
          <w:sz w:val="24"/>
          <w:szCs w:val="24"/>
          <w:lang w:val="en-GB"/>
        </w:rPr>
        <w:t xml:space="preserve">Admittedly, </w:t>
      </w:r>
      <w:r w:rsidR="00B40F66">
        <w:rPr>
          <w:rFonts w:ascii="Times New Roman" w:hAnsi="Times New Roman"/>
          <w:sz w:val="24"/>
          <w:szCs w:val="24"/>
          <w:lang w:eastAsia="en-GB"/>
        </w:rPr>
        <w:t>t</w:t>
      </w:r>
      <w:r w:rsidR="003A2E43" w:rsidRPr="002F44AE">
        <w:rPr>
          <w:rFonts w:ascii="Times New Roman" w:hAnsi="Times New Roman"/>
          <w:sz w:val="24"/>
          <w:szCs w:val="24"/>
          <w:lang w:eastAsia="en-GB"/>
        </w:rPr>
        <w:t>he Cypriot mediation</w:t>
      </w:r>
      <w:r w:rsidR="00147C1E">
        <w:rPr>
          <w:rFonts w:ascii="Times New Roman" w:hAnsi="Times New Roman"/>
          <w:sz w:val="24"/>
          <w:szCs w:val="24"/>
          <w:lang w:eastAsia="en-GB"/>
        </w:rPr>
        <w:t xml:space="preserve"> </w:t>
      </w:r>
      <w:r w:rsidR="003A2E43" w:rsidRPr="002F44AE">
        <w:rPr>
          <w:rFonts w:ascii="Times New Roman" w:hAnsi="Times New Roman"/>
          <w:sz w:val="24"/>
          <w:szCs w:val="24"/>
          <w:lang w:eastAsia="en-GB"/>
        </w:rPr>
        <w:t>is complicated</w:t>
      </w:r>
      <w:r w:rsidR="00B40F66">
        <w:rPr>
          <w:rFonts w:ascii="Times New Roman" w:hAnsi="Times New Roman"/>
          <w:sz w:val="24"/>
          <w:szCs w:val="24"/>
          <w:lang w:eastAsia="en-GB"/>
        </w:rPr>
        <w:t>, as it involves</w:t>
      </w:r>
      <w:r w:rsidR="00531E57" w:rsidRPr="002F44AE">
        <w:rPr>
          <w:rFonts w:ascii="Times New Roman" w:hAnsi="Times New Roman"/>
          <w:sz w:val="24"/>
          <w:szCs w:val="24"/>
          <w:lang w:eastAsia="en-GB"/>
        </w:rPr>
        <w:t xml:space="preserve"> a set of inherently </w:t>
      </w:r>
      <w:r w:rsidR="00A846C8" w:rsidRPr="002F44AE">
        <w:rPr>
          <w:rFonts w:ascii="Times New Roman" w:hAnsi="Times New Roman"/>
          <w:sz w:val="24"/>
          <w:szCs w:val="24"/>
          <w:lang w:eastAsia="en-GB"/>
        </w:rPr>
        <w:t>difficult</w:t>
      </w:r>
      <w:r w:rsidR="00531E57" w:rsidRPr="002F44AE">
        <w:rPr>
          <w:rFonts w:ascii="Times New Roman" w:hAnsi="Times New Roman"/>
          <w:sz w:val="24"/>
          <w:szCs w:val="24"/>
          <w:lang w:eastAsia="en-GB"/>
        </w:rPr>
        <w:t xml:space="preserve"> issues, </w:t>
      </w:r>
      <w:r w:rsidR="00A846C8" w:rsidRPr="002F44AE">
        <w:rPr>
          <w:rFonts w:ascii="Times New Roman" w:hAnsi="Times New Roman"/>
          <w:sz w:val="24"/>
          <w:szCs w:val="24"/>
          <w:lang w:eastAsia="en-GB"/>
        </w:rPr>
        <w:t xml:space="preserve">such as </w:t>
      </w:r>
      <w:r w:rsidR="00531E57" w:rsidRPr="002F44AE">
        <w:rPr>
          <w:rFonts w:ascii="Times New Roman" w:hAnsi="Times New Roman"/>
          <w:sz w:val="24"/>
          <w:szCs w:val="24"/>
          <w:lang w:eastAsia="en-GB"/>
        </w:rPr>
        <w:t xml:space="preserve">power-sharing, </w:t>
      </w:r>
      <w:r w:rsidR="00027D1E" w:rsidRPr="002F44AE">
        <w:rPr>
          <w:rFonts w:ascii="Times New Roman" w:hAnsi="Times New Roman"/>
          <w:sz w:val="24"/>
          <w:szCs w:val="24"/>
          <w:lang w:eastAsia="en-GB"/>
        </w:rPr>
        <w:t xml:space="preserve">internal </w:t>
      </w:r>
      <w:r w:rsidR="00531E57" w:rsidRPr="002F44AE">
        <w:rPr>
          <w:rFonts w:ascii="Times New Roman" w:hAnsi="Times New Roman"/>
          <w:sz w:val="24"/>
          <w:szCs w:val="24"/>
          <w:lang w:eastAsia="en-GB"/>
        </w:rPr>
        <w:t>displacement, settlers</w:t>
      </w:r>
      <w:r w:rsidR="00B40F66">
        <w:rPr>
          <w:rFonts w:ascii="Times New Roman" w:hAnsi="Times New Roman"/>
          <w:sz w:val="24"/>
          <w:szCs w:val="24"/>
          <w:lang w:eastAsia="en-GB"/>
        </w:rPr>
        <w:t>,</w:t>
      </w:r>
      <w:r w:rsidR="00531E57" w:rsidRPr="002F44AE">
        <w:rPr>
          <w:rFonts w:ascii="Times New Roman" w:hAnsi="Times New Roman"/>
          <w:sz w:val="24"/>
          <w:szCs w:val="24"/>
          <w:lang w:eastAsia="en-GB"/>
        </w:rPr>
        <w:t xml:space="preserve"> and security provisions. </w:t>
      </w:r>
    </w:p>
    <w:p w:rsidR="00545253" w:rsidRPr="002F44AE" w:rsidRDefault="00531E57" w:rsidP="00374024">
      <w:pPr>
        <w:spacing w:line="480" w:lineRule="auto"/>
        <w:ind w:firstLine="720"/>
        <w:jc w:val="both"/>
        <w:rPr>
          <w:rFonts w:ascii="Times New Roman" w:hAnsi="Times New Roman"/>
          <w:sz w:val="24"/>
          <w:szCs w:val="24"/>
          <w:lang w:eastAsia="en-GB"/>
        </w:rPr>
      </w:pPr>
      <w:r w:rsidRPr="002F44AE">
        <w:rPr>
          <w:rFonts w:ascii="Times New Roman" w:hAnsi="Times New Roman"/>
          <w:sz w:val="24"/>
          <w:szCs w:val="24"/>
        </w:rPr>
        <w:t xml:space="preserve">Since 1974, UN proposals and resolutions for a negotiated settlement in Cyprus have included federal and consociational provisions. It has generally </w:t>
      </w:r>
      <w:r w:rsidR="00B40F66">
        <w:rPr>
          <w:rFonts w:ascii="Times New Roman" w:hAnsi="Times New Roman"/>
          <w:sz w:val="24"/>
          <w:szCs w:val="24"/>
        </w:rPr>
        <w:t xml:space="preserve">been </w:t>
      </w:r>
      <w:r w:rsidRPr="002F44AE">
        <w:rPr>
          <w:rFonts w:ascii="Times New Roman" w:hAnsi="Times New Roman"/>
          <w:sz w:val="24"/>
          <w:szCs w:val="24"/>
        </w:rPr>
        <w:t>assumed that a negotiated settlement will incorporate two federal units and a shared administration at the central government</w:t>
      </w:r>
      <w:r w:rsidR="00B40F66">
        <w:rPr>
          <w:rFonts w:ascii="Times New Roman" w:hAnsi="Times New Roman"/>
          <w:sz w:val="24"/>
          <w:szCs w:val="24"/>
        </w:rPr>
        <w:t xml:space="preserve"> level</w:t>
      </w:r>
      <w:r w:rsidRPr="002F44AE">
        <w:rPr>
          <w:rFonts w:ascii="Times New Roman" w:hAnsi="Times New Roman"/>
          <w:sz w:val="24"/>
          <w:szCs w:val="24"/>
        </w:rPr>
        <w:t xml:space="preserve">. </w:t>
      </w:r>
      <w:r w:rsidR="00A77C5B" w:rsidRPr="002F44AE">
        <w:rPr>
          <w:rFonts w:ascii="Times New Roman" w:hAnsi="Times New Roman"/>
          <w:sz w:val="24"/>
          <w:szCs w:val="24"/>
        </w:rPr>
        <w:t>Negotiated t</w:t>
      </w:r>
      <w:r w:rsidRPr="002F44AE">
        <w:rPr>
          <w:rFonts w:ascii="Times New Roman" w:hAnsi="Times New Roman"/>
          <w:sz w:val="24"/>
          <w:szCs w:val="24"/>
        </w:rPr>
        <w:t xml:space="preserve">erms such as </w:t>
      </w:r>
      <w:r w:rsidR="00B40F66">
        <w:rPr>
          <w:rFonts w:ascii="Times New Roman" w:hAnsi="Times New Roman"/>
          <w:sz w:val="24"/>
          <w:szCs w:val="24"/>
        </w:rPr>
        <w:t>‘</w:t>
      </w:r>
      <w:r w:rsidRPr="002F44AE">
        <w:rPr>
          <w:rFonts w:ascii="Times New Roman" w:hAnsi="Times New Roman"/>
          <w:sz w:val="24"/>
          <w:szCs w:val="24"/>
        </w:rPr>
        <w:t>bizonal</w:t>
      </w:r>
      <w:r w:rsidR="00B40F66">
        <w:rPr>
          <w:rFonts w:ascii="Times New Roman" w:hAnsi="Times New Roman"/>
          <w:sz w:val="24"/>
          <w:szCs w:val="24"/>
        </w:rPr>
        <w:t>’</w:t>
      </w:r>
      <w:r w:rsidR="004D05CA">
        <w:rPr>
          <w:rFonts w:ascii="Times New Roman" w:hAnsi="Times New Roman"/>
          <w:sz w:val="24"/>
          <w:szCs w:val="24"/>
        </w:rPr>
        <w:t xml:space="preserve"> </w:t>
      </w:r>
      <w:r w:rsidRPr="002F44AE">
        <w:rPr>
          <w:rFonts w:ascii="Times New Roman" w:hAnsi="Times New Roman"/>
          <w:sz w:val="24"/>
          <w:szCs w:val="24"/>
        </w:rPr>
        <w:t xml:space="preserve">and </w:t>
      </w:r>
      <w:r w:rsidR="00B40F66">
        <w:rPr>
          <w:rFonts w:ascii="Times New Roman" w:hAnsi="Times New Roman"/>
          <w:sz w:val="24"/>
          <w:szCs w:val="24"/>
        </w:rPr>
        <w:t>‘</w:t>
      </w:r>
      <w:r w:rsidRPr="002F44AE">
        <w:rPr>
          <w:rFonts w:ascii="Times New Roman" w:hAnsi="Times New Roman"/>
          <w:sz w:val="24"/>
          <w:szCs w:val="24"/>
        </w:rPr>
        <w:t>bicommunal</w:t>
      </w:r>
      <w:r w:rsidR="00B40F66">
        <w:rPr>
          <w:rFonts w:ascii="Times New Roman" w:hAnsi="Times New Roman"/>
          <w:sz w:val="24"/>
          <w:szCs w:val="24"/>
        </w:rPr>
        <w:t>’</w:t>
      </w:r>
      <w:r w:rsidR="004D05CA">
        <w:rPr>
          <w:rFonts w:ascii="Times New Roman" w:hAnsi="Times New Roman"/>
          <w:sz w:val="24"/>
          <w:szCs w:val="24"/>
        </w:rPr>
        <w:t xml:space="preserve"> </w:t>
      </w:r>
      <w:r w:rsidRPr="002F44AE">
        <w:rPr>
          <w:rFonts w:ascii="Times New Roman" w:hAnsi="Times New Roman"/>
          <w:sz w:val="24"/>
          <w:szCs w:val="24"/>
        </w:rPr>
        <w:t>federation (BBF), as well</w:t>
      </w:r>
      <w:r w:rsidR="00B40F66">
        <w:rPr>
          <w:rFonts w:ascii="Times New Roman" w:hAnsi="Times New Roman"/>
          <w:sz w:val="24"/>
          <w:szCs w:val="24"/>
        </w:rPr>
        <w:t xml:space="preserve"> as</w:t>
      </w:r>
      <w:r w:rsidRPr="002F44AE">
        <w:rPr>
          <w:rFonts w:ascii="Times New Roman" w:hAnsi="Times New Roman"/>
          <w:sz w:val="24"/>
          <w:szCs w:val="24"/>
        </w:rPr>
        <w:t xml:space="preserve"> references to </w:t>
      </w:r>
      <w:r w:rsidR="00B40F66">
        <w:rPr>
          <w:rFonts w:ascii="Times New Roman" w:hAnsi="Times New Roman"/>
          <w:sz w:val="24"/>
          <w:szCs w:val="24"/>
        </w:rPr>
        <w:t>‘</w:t>
      </w:r>
      <w:r w:rsidRPr="002F44AE">
        <w:rPr>
          <w:rFonts w:ascii="Times New Roman" w:hAnsi="Times New Roman"/>
          <w:sz w:val="24"/>
          <w:szCs w:val="24"/>
        </w:rPr>
        <w:t>political equality</w:t>
      </w:r>
      <w:r w:rsidR="00B40F66">
        <w:rPr>
          <w:rFonts w:ascii="Times New Roman" w:hAnsi="Times New Roman"/>
          <w:sz w:val="24"/>
          <w:szCs w:val="24"/>
        </w:rPr>
        <w:t>’,</w:t>
      </w:r>
      <w:r w:rsidR="00147C1E">
        <w:rPr>
          <w:rFonts w:ascii="Times New Roman" w:hAnsi="Times New Roman"/>
          <w:sz w:val="24"/>
          <w:szCs w:val="24"/>
        </w:rPr>
        <w:t xml:space="preserve"> </w:t>
      </w:r>
      <w:r w:rsidRPr="002F44AE">
        <w:rPr>
          <w:rFonts w:ascii="Times New Roman" w:hAnsi="Times New Roman"/>
          <w:sz w:val="24"/>
          <w:szCs w:val="24"/>
        </w:rPr>
        <w:t xml:space="preserve">included in </w:t>
      </w:r>
      <w:r w:rsidR="00B40F66">
        <w:rPr>
          <w:rFonts w:ascii="Times New Roman" w:hAnsi="Times New Roman"/>
          <w:sz w:val="24"/>
          <w:szCs w:val="24"/>
        </w:rPr>
        <w:t>previously</w:t>
      </w:r>
      <w:r w:rsidR="00147C1E">
        <w:rPr>
          <w:rFonts w:ascii="Times New Roman" w:hAnsi="Times New Roman"/>
          <w:sz w:val="24"/>
          <w:szCs w:val="24"/>
        </w:rPr>
        <w:t xml:space="preserve"> </w:t>
      </w:r>
      <w:r w:rsidRPr="002F44AE">
        <w:rPr>
          <w:rFonts w:ascii="Times New Roman" w:hAnsi="Times New Roman"/>
          <w:sz w:val="24"/>
          <w:szCs w:val="24"/>
        </w:rPr>
        <w:t xml:space="preserve">signed framework agreements and joint statements by the leaders of the two communities </w:t>
      </w:r>
      <w:r w:rsidR="00A77C5B" w:rsidRPr="002F44AE">
        <w:rPr>
          <w:rFonts w:ascii="Times New Roman" w:hAnsi="Times New Roman"/>
          <w:sz w:val="24"/>
          <w:szCs w:val="24"/>
        </w:rPr>
        <w:t>point to</w:t>
      </w:r>
      <w:r w:rsidR="00F87C89" w:rsidRPr="002F44AE">
        <w:rPr>
          <w:rFonts w:ascii="Times New Roman" w:hAnsi="Times New Roman"/>
          <w:sz w:val="24"/>
          <w:szCs w:val="24"/>
        </w:rPr>
        <w:t xml:space="preserve"> a</w:t>
      </w:r>
      <w:r w:rsidR="00545253" w:rsidRPr="002F44AE">
        <w:rPr>
          <w:rFonts w:ascii="Times New Roman" w:hAnsi="Times New Roman"/>
          <w:sz w:val="24"/>
          <w:szCs w:val="24"/>
        </w:rPr>
        <w:t xml:space="preserve">n important convergence </w:t>
      </w:r>
      <w:r w:rsidR="00B40F66">
        <w:rPr>
          <w:rFonts w:ascii="Times New Roman" w:hAnsi="Times New Roman"/>
          <w:sz w:val="24"/>
          <w:szCs w:val="24"/>
        </w:rPr>
        <w:t>in ideas about</w:t>
      </w:r>
      <w:r w:rsidR="00F87C89" w:rsidRPr="002F44AE">
        <w:rPr>
          <w:rFonts w:ascii="Times New Roman" w:hAnsi="Times New Roman"/>
          <w:sz w:val="24"/>
          <w:szCs w:val="24"/>
        </w:rPr>
        <w:t xml:space="preserve"> sharing power and recognizing each community’s genuine security needs</w:t>
      </w:r>
      <w:r w:rsidR="00E5424F">
        <w:rPr>
          <w:rFonts w:ascii="Times New Roman" w:hAnsi="Times New Roman"/>
          <w:sz w:val="24"/>
          <w:szCs w:val="24"/>
        </w:rPr>
        <w:t>, but</w:t>
      </w:r>
      <w:r w:rsidRPr="002F44AE">
        <w:rPr>
          <w:rFonts w:ascii="Times New Roman" w:hAnsi="Times New Roman"/>
          <w:sz w:val="24"/>
          <w:szCs w:val="24"/>
        </w:rPr>
        <w:t xml:space="preserve"> the details and substance of a settlement remain </w:t>
      </w:r>
      <w:r w:rsidR="00B40F66">
        <w:rPr>
          <w:rFonts w:ascii="Times New Roman" w:hAnsi="Times New Roman"/>
          <w:sz w:val="24"/>
          <w:szCs w:val="24"/>
        </w:rPr>
        <w:t>un</w:t>
      </w:r>
      <w:r w:rsidRPr="002F44AE">
        <w:rPr>
          <w:rFonts w:ascii="Times New Roman" w:hAnsi="Times New Roman"/>
          <w:sz w:val="24"/>
          <w:szCs w:val="24"/>
        </w:rPr>
        <w:t xml:space="preserve">resolved. </w:t>
      </w:r>
    </w:p>
    <w:p w:rsidR="003A2E43" w:rsidRPr="002F44AE" w:rsidRDefault="00531E57" w:rsidP="00374024">
      <w:pPr>
        <w:spacing w:line="480" w:lineRule="auto"/>
        <w:ind w:firstLine="720"/>
        <w:jc w:val="both"/>
        <w:rPr>
          <w:rFonts w:ascii="Times New Roman" w:hAnsi="Times New Roman"/>
          <w:sz w:val="24"/>
          <w:szCs w:val="24"/>
        </w:rPr>
      </w:pPr>
      <w:r w:rsidRPr="002F44AE">
        <w:rPr>
          <w:rFonts w:ascii="Times New Roman" w:hAnsi="Times New Roman"/>
          <w:sz w:val="24"/>
          <w:szCs w:val="24"/>
          <w:lang w:eastAsia="en-GB"/>
        </w:rPr>
        <w:lastRenderedPageBreak/>
        <w:t xml:space="preserve">As early as </w:t>
      </w:r>
      <w:r w:rsidRPr="002F44AE">
        <w:rPr>
          <w:rFonts w:ascii="Times New Roman" w:hAnsi="Times New Roman"/>
          <w:sz w:val="24"/>
          <w:szCs w:val="24"/>
        </w:rPr>
        <w:t xml:space="preserve">the late 1970s, Cypriot leaders on both sides signed two High Level Agreements signifying initial </w:t>
      </w:r>
      <w:r w:rsidRPr="002F44AE">
        <w:rPr>
          <w:rFonts w:ascii="Times New Roman" w:hAnsi="Times New Roman"/>
          <w:sz w:val="24"/>
          <w:szCs w:val="24"/>
          <w:lang w:eastAsia="en-GB"/>
        </w:rPr>
        <w:t>convergence towards a bi-communal federal compromise</w:t>
      </w:r>
      <w:r w:rsidRPr="002F44AE">
        <w:rPr>
          <w:rFonts w:ascii="Times New Roman" w:hAnsi="Times New Roman"/>
          <w:sz w:val="24"/>
          <w:szCs w:val="24"/>
        </w:rPr>
        <w:t>. However, the 1977-1979 High Level Agreements were not clearly defined</w:t>
      </w:r>
      <w:r w:rsidR="00B40F66">
        <w:rPr>
          <w:rFonts w:ascii="Times New Roman" w:hAnsi="Times New Roman"/>
          <w:sz w:val="24"/>
          <w:szCs w:val="24"/>
        </w:rPr>
        <w:t>. F</w:t>
      </w:r>
      <w:r w:rsidRPr="002F44AE">
        <w:rPr>
          <w:rFonts w:ascii="Times New Roman" w:hAnsi="Times New Roman"/>
          <w:sz w:val="24"/>
          <w:szCs w:val="24"/>
        </w:rPr>
        <w:t>or instance, they emphasized adherence to human rights for all citizens, but the issue of Greek Cypriot</w:t>
      </w:r>
      <w:r w:rsidR="00147C1E">
        <w:rPr>
          <w:rFonts w:ascii="Times New Roman" w:hAnsi="Times New Roman"/>
          <w:sz w:val="24"/>
          <w:szCs w:val="24"/>
        </w:rPr>
        <w:t xml:space="preserve"> internally displaced persons (IDPs)</w:t>
      </w:r>
      <w:r w:rsidR="005E3A19" w:rsidRPr="002F44AE">
        <w:rPr>
          <w:rFonts w:ascii="Times New Roman" w:hAnsi="Times New Roman"/>
          <w:sz w:val="24"/>
          <w:szCs w:val="24"/>
        </w:rPr>
        <w:t xml:space="preserve"> returning</w:t>
      </w:r>
      <w:r w:rsidR="004D05CA">
        <w:rPr>
          <w:rFonts w:ascii="Times New Roman" w:hAnsi="Times New Roman"/>
          <w:sz w:val="24"/>
          <w:szCs w:val="24"/>
        </w:rPr>
        <w:t xml:space="preserve"> </w:t>
      </w:r>
      <w:r w:rsidR="005E3A19" w:rsidRPr="002F44AE">
        <w:rPr>
          <w:rFonts w:ascii="Times New Roman" w:hAnsi="Times New Roman"/>
          <w:sz w:val="24"/>
          <w:szCs w:val="24"/>
        </w:rPr>
        <w:t>to</w:t>
      </w:r>
      <w:r w:rsidRPr="002F44AE">
        <w:rPr>
          <w:rFonts w:ascii="Times New Roman" w:hAnsi="Times New Roman"/>
          <w:sz w:val="24"/>
          <w:szCs w:val="24"/>
        </w:rPr>
        <w:t xml:space="preserve"> the North </w:t>
      </w:r>
      <w:r w:rsidR="00E5424F">
        <w:rPr>
          <w:rFonts w:ascii="Times New Roman" w:hAnsi="Times New Roman"/>
          <w:sz w:val="24"/>
          <w:szCs w:val="24"/>
        </w:rPr>
        <w:t>was</w:t>
      </w:r>
      <w:r w:rsidR="004D05CA">
        <w:rPr>
          <w:rFonts w:ascii="Times New Roman" w:hAnsi="Times New Roman"/>
          <w:sz w:val="24"/>
          <w:szCs w:val="24"/>
        </w:rPr>
        <w:t xml:space="preserve"> </w:t>
      </w:r>
      <w:r w:rsidRPr="002F44AE">
        <w:rPr>
          <w:rFonts w:ascii="Times New Roman" w:hAnsi="Times New Roman"/>
          <w:sz w:val="24"/>
          <w:szCs w:val="24"/>
        </w:rPr>
        <w:t xml:space="preserve">subject to overcoming the </w:t>
      </w:r>
      <w:r w:rsidR="00B40F66">
        <w:rPr>
          <w:rFonts w:ascii="Times New Roman" w:hAnsi="Times New Roman"/>
          <w:sz w:val="24"/>
          <w:szCs w:val="24"/>
        </w:rPr>
        <w:t>‘</w:t>
      </w:r>
      <w:r w:rsidRPr="002F44AE">
        <w:rPr>
          <w:rFonts w:ascii="Times New Roman" w:hAnsi="Times New Roman"/>
          <w:sz w:val="24"/>
          <w:szCs w:val="24"/>
        </w:rPr>
        <w:t>practical difficulties</w:t>
      </w:r>
      <w:r w:rsidR="00B40F66">
        <w:rPr>
          <w:rFonts w:ascii="Times New Roman" w:hAnsi="Times New Roman"/>
          <w:sz w:val="24"/>
          <w:szCs w:val="24"/>
        </w:rPr>
        <w:t>’</w:t>
      </w:r>
      <w:r w:rsidR="00147C1E">
        <w:rPr>
          <w:rFonts w:ascii="Times New Roman" w:hAnsi="Times New Roman"/>
          <w:sz w:val="24"/>
          <w:szCs w:val="24"/>
        </w:rPr>
        <w:t xml:space="preserve"> </w:t>
      </w:r>
      <w:r w:rsidRPr="002F44AE">
        <w:rPr>
          <w:rFonts w:ascii="Times New Roman" w:hAnsi="Times New Roman"/>
          <w:sz w:val="24"/>
          <w:szCs w:val="24"/>
        </w:rPr>
        <w:t>of the Turkish Cypr</w:t>
      </w:r>
      <w:r w:rsidR="002F44AE">
        <w:rPr>
          <w:rFonts w:ascii="Times New Roman" w:hAnsi="Times New Roman"/>
          <w:sz w:val="24"/>
          <w:szCs w:val="24"/>
        </w:rPr>
        <w:t>iot community (Ker-Lindsay</w:t>
      </w:r>
      <w:r w:rsidR="008F0CFC">
        <w:rPr>
          <w:rFonts w:ascii="Times New Roman" w:hAnsi="Times New Roman"/>
          <w:sz w:val="24"/>
          <w:szCs w:val="24"/>
        </w:rPr>
        <w:t xml:space="preserve"> 2011,</w:t>
      </w:r>
      <w:r w:rsidR="004725DD">
        <w:rPr>
          <w:rFonts w:ascii="Times New Roman" w:hAnsi="Times New Roman"/>
          <w:sz w:val="24"/>
          <w:szCs w:val="24"/>
        </w:rPr>
        <w:t xml:space="preserve"> </w:t>
      </w:r>
      <w:r w:rsidRPr="002F44AE">
        <w:rPr>
          <w:rFonts w:ascii="Times New Roman" w:hAnsi="Times New Roman"/>
          <w:sz w:val="24"/>
          <w:szCs w:val="24"/>
        </w:rPr>
        <w:t>49-51). Moreover, the decision on whether the two communities should be territorially re-integrated</w:t>
      </w:r>
      <w:r w:rsidR="00F87C89" w:rsidRPr="002F44AE">
        <w:rPr>
          <w:rFonts w:ascii="Times New Roman" w:hAnsi="Times New Roman"/>
          <w:sz w:val="24"/>
          <w:szCs w:val="24"/>
        </w:rPr>
        <w:t xml:space="preserve"> through the return of the displaced</w:t>
      </w:r>
      <w:r w:rsidRPr="002F44AE">
        <w:rPr>
          <w:rFonts w:ascii="Times New Roman" w:hAnsi="Times New Roman"/>
          <w:sz w:val="24"/>
          <w:szCs w:val="24"/>
        </w:rPr>
        <w:t xml:space="preserve"> to meet Greek Cypriot expectations, or whether federal boundaries would assume a more ‘ethnic form’ to satisfy the Turkish Cypriot positions was left for the future. </w:t>
      </w:r>
    </w:p>
    <w:p w:rsidR="00A846C8" w:rsidRPr="002F44AE" w:rsidRDefault="003A2E43" w:rsidP="00374024">
      <w:pPr>
        <w:spacing w:line="480" w:lineRule="auto"/>
        <w:ind w:firstLine="720"/>
        <w:jc w:val="both"/>
        <w:rPr>
          <w:rStyle w:val="Strong"/>
          <w:rFonts w:ascii="Times New Roman" w:hAnsi="Times New Roman"/>
          <w:b w:val="0"/>
          <w:bCs w:val="0"/>
          <w:sz w:val="24"/>
          <w:szCs w:val="24"/>
          <w:lang w:eastAsia="en-GB"/>
        </w:rPr>
      </w:pPr>
      <w:r w:rsidRPr="002F44AE">
        <w:rPr>
          <w:rFonts w:ascii="Times New Roman" w:hAnsi="Times New Roman"/>
          <w:sz w:val="24"/>
          <w:szCs w:val="24"/>
        </w:rPr>
        <w:t xml:space="preserve">Despite these ambiguities, </w:t>
      </w:r>
      <w:r w:rsidR="00E5424F">
        <w:rPr>
          <w:rFonts w:ascii="Times New Roman" w:hAnsi="Times New Roman"/>
          <w:sz w:val="24"/>
          <w:szCs w:val="24"/>
        </w:rPr>
        <w:t xml:space="preserve">the </w:t>
      </w:r>
      <w:r w:rsidR="00531E57" w:rsidRPr="002F44AE">
        <w:rPr>
          <w:rFonts w:ascii="Times New Roman" w:hAnsi="Times New Roman"/>
          <w:sz w:val="24"/>
          <w:szCs w:val="24"/>
          <w:lang w:eastAsia="en-GB"/>
        </w:rPr>
        <w:t xml:space="preserve">communities have </w:t>
      </w:r>
      <w:r w:rsidR="00B40F66">
        <w:rPr>
          <w:rFonts w:ascii="Times New Roman" w:hAnsi="Times New Roman"/>
          <w:sz w:val="24"/>
          <w:szCs w:val="24"/>
          <w:lang w:eastAsia="en-GB"/>
        </w:rPr>
        <w:t>occasionally</w:t>
      </w:r>
      <w:r w:rsidR="00531E57" w:rsidRPr="002F44AE">
        <w:rPr>
          <w:rFonts w:ascii="Times New Roman" w:hAnsi="Times New Roman"/>
          <w:sz w:val="24"/>
          <w:szCs w:val="24"/>
          <w:lang w:eastAsia="en-GB"/>
        </w:rPr>
        <w:t xml:space="preserve"> voted for pro-federal politicians or rallied in support of the reunification of the island, as for example, the impressive Turkish Cypriot rallies of 2002-2004. Historically, two-thirds of the Greek Cypriot public has voted for pro-settlement politicians hailing</w:t>
      </w:r>
      <w:r w:rsidR="00E5424F">
        <w:rPr>
          <w:rFonts w:ascii="Times New Roman" w:hAnsi="Times New Roman"/>
          <w:sz w:val="24"/>
          <w:szCs w:val="24"/>
          <w:lang w:eastAsia="en-GB"/>
        </w:rPr>
        <w:t xml:space="preserve"> from</w:t>
      </w:r>
      <w:r w:rsidR="00531E57" w:rsidRPr="002F44AE">
        <w:rPr>
          <w:rFonts w:ascii="Times New Roman" w:hAnsi="Times New Roman"/>
          <w:sz w:val="24"/>
          <w:szCs w:val="24"/>
          <w:lang w:eastAsia="en-GB"/>
        </w:rPr>
        <w:t xml:space="preserve"> either the nominally communist AKEL (Progressive Party of the Working People) or the center-right DISY (Democratic Rally). Yet these parties have failed to articulate a shared agenda on the Cyprus issue </w:t>
      </w:r>
      <w:r w:rsidR="00B40F66">
        <w:rPr>
          <w:rFonts w:ascii="Times New Roman" w:hAnsi="Times New Roman"/>
          <w:sz w:val="24"/>
          <w:szCs w:val="24"/>
          <w:lang w:eastAsia="en-GB"/>
        </w:rPr>
        <w:t>because of</w:t>
      </w:r>
      <w:r w:rsidR="00147C1E">
        <w:rPr>
          <w:rFonts w:ascii="Times New Roman" w:hAnsi="Times New Roman"/>
          <w:sz w:val="24"/>
          <w:szCs w:val="24"/>
          <w:lang w:eastAsia="en-GB"/>
        </w:rPr>
        <w:t xml:space="preserve"> </w:t>
      </w:r>
      <w:r w:rsidR="00F8646C" w:rsidRPr="002F44AE">
        <w:rPr>
          <w:rFonts w:ascii="Times New Roman" w:hAnsi="Times New Roman"/>
          <w:sz w:val="24"/>
          <w:szCs w:val="24"/>
          <w:lang w:eastAsia="en-GB"/>
        </w:rPr>
        <w:t>their internal political</w:t>
      </w:r>
      <w:r w:rsidR="00531E57" w:rsidRPr="002F44AE">
        <w:rPr>
          <w:rFonts w:ascii="Times New Roman" w:hAnsi="Times New Roman"/>
          <w:sz w:val="24"/>
          <w:szCs w:val="24"/>
          <w:lang w:eastAsia="en-GB"/>
        </w:rPr>
        <w:t xml:space="preserve"> antagonism</w:t>
      </w:r>
      <w:r w:rsidR="00B40F66">
        <w:rPr>
          <w:rFonts w:ascii="Times New Roman" w:hAnsi="Times New Roman"/>
          <w:sz w:val="24"/>
          <w:szCs w:val="24"/>
          <w:lang w:eastAsia="en-GB"/>
        </w:rPr>
        <w:t>s</w:t>
      </w:r>
      <w:r w:rsidR="00F8646C" w:rsidRPr="002F44AE">
        <w:rPr>
          <w:rFonts w:ascii="Times New Roman" w:hAnsi="Times New Roman"/>
          <w:sz w:val="24"/>
          <w:szCs w:val="24"/>
          <w:lang w:eastAsia="en-GB"/>
        </w:rPr>
        <w:t xml:space="preserve">. </w:t>
      </w:r>
      <w:r w:rsidR="00531E57" w:rsidRPr="002F44AE">
        <w:rPr>
          <w:rFonts w:ascii="Times New Roman" w:hAnsi="Times New Roman"/>
          <w:sz w:val="24"/>
          <w:szCs w:val="24"/>
          <w:lang w:eastAsia="en-GB"/>
        </w:rPr>
        <w:t xml:space="preserve">Nor has the prospect of cooperating on issues such as energy and oil and natural gas exploration positively influenced the Cyprus </w:t>
      </w:r>
      <w:r w:rsidR="00F8646C" w:rsidRPr="002F44AE">
        <w:rPr>
          <w:rFonts w:ascii="Times New Roman" w:hAnsi="Times New Roman"/>
          <w:sz w:val="24"/>
          <w:szCs w:val="24"/>
          <w:lang w:eastAsia="en-GB"/>
        </w:rPr>
        <w:t xml:space="preserve">peace talks; in fact, </w:t>
      </w:r>
      <w:r w:rsidR="00B40F66">
        <w:rPr>
          <w:rFonts w:ascii="Times New Roman" w:hAnsi="Times New Roman"/>
          <w:sz w:val="24"/>
          <w:szCs w:val="24"/>
          <w:lang w:eastAsia="en-GB"/>
        </w:rPr>
        <w:t>in</w:t>
      </w:r>
      <w:r w:rsidR="00147C1E">
        <w:rPr>
          <w:rFonts w:ascii="Times New Roman" w:hAnsi="Times New Roman"/>
          <w:sz w:val="24"/>
          <w:szCs w:val="24"/>
          <w:lang w:eastAsia="en-GB"/>
        </w:rPr>
        <w:t xml:space="preserve"> </w:t>
      </w:r>
      <w:r w:rsidR="001144B3" w:rsidRPr="002F44AE">
        <w:rPr>
          <w:rFonts w:ascii="Times New Roman" w:hAnsi="Times New Roman"/>
          <w:sz w:val="24"/>
          <w:szCs w:val="24"/>
          <w:lang w:eastAsia="en-GB"/>
        </w:rPr>
        <w:t>2018</w:t>
      </w:r>
      <w:r w:rsidR="00B40F66">
        <w:rPr>
          <w:rFonts w:ascii="Times New Roman" w:hAnsi="Times New Roman"/>
          <w:sz w:val="24"/>
          <w:szCs w:val="24"/>
          <w:lang w:eastAsia="en-GB"/>
        </w:rPr>
        <w:t>,</w:t>
      </w:r>
      <w:r w:rsidR="00147C1E">
        <w:rPr>
          <w:rFonts w:ascii="Times New Roman" w:hAnsi="Times New Roman"/>
          <w:sz w:val="24"/>
          <w:szCs w:val="24"/>
          <w:lang w:eastAsia="en-GB"/>
        </w:rPr>
        <w:t xml:space="preserve"> </w:t>
      </w:r>
      <w:r w:rsidR="00B40F66">
        <w:rPr>
          <w:rFonts w:ascii="Times New Roman" w:hAnsi="Times New Roman"/>
          <w:sz w:val="24"/>
          <w:szCs w:val="24"/>
          <w:lang w:eastAsia="en-GB"/>
        </w:rPr>
        <w:t>th</w:t>
      </w:r>
      <w:r w:rsidR="00E5424F">
        <w:rPr>
          <w:rFonts w:ascii="Times New Roman" w:hAnsi="Times New Roman"/>
          <w:sz w:val="24"/>
          <w:szCs w:val="24"/>
          <w:lang w:eastAsia="en-GB"/>
        </w:rPr>
        <w:t>e</w:t>
      </w:r>
      <w:r w:rsidR="00B40F66">
        <w:rPr>
          <w:rFonts w:ascii="Times New Roman" w:hAnsi="Times New Roman"/>
          <w:sz w:val="24"/>
          <w:szCs w:val="24"/>
          <w:lang w:eastAsia="en-GB"/>
        </w:rPr>
        <w:t xml:space="preserve"> inability to agree led </w:t>
      </w:r>
      <w:r w:rsidR="00531E57" w:rsidRPr="002F44AE">
        <w:rPr>
          <w:rFonts w:ascii="Times New Roman" w:hAnsi="Times New Roman"/>
          <w:sz w:val="24"/>
          <w:szCs w:val="24"/>
          <w:lang w:eastAsia="en-GB"/>
        </w:rPr>
        <w:t>to</w:t>
      </w:r>
      <w:r w:rsidR="00147C1E">
        <w:rPr>
          <w:rFonts w:ascii="Times New Roman" w:hAnsi="Times New Roman"/>
          <w:sz w:val="24"/>
          <w:szCs w:val="24"/>
          <w:lang w:eastAsia="en-GB"/>
        </w:rPr>
        <w:t xml:space="preserve"> </w:t>
      </w:r>
      <w:r w:rsidR="00A275F4">
        <w:rPr>
          <w:rFonts w:ascii="Times New Roman" w:hAnsi="Times New Roman"/>
          <w:sz w:val="24"/>
          <w:szCs w:val="24"/>
          <w:lang w:eastAsia="en-GB"/>
        </w:rPr>
        <w:t>spiraling</w:t>
      </w:r>
      <w:r w:rsidR="00531E57" w:rsidRPr="002F44AE">
        <w:rPr>
          <w:rFonts w:ascii="Times New Roman" w:hAnsi="Times New Roman"/>
          <w:sz w:val="24"/>
          <w:szCs w:val="24"/>
          <w:lang w:eastAsia="en-GB"/>
        </w:rPr>
        <w:t xml:space="preserve"> cris</w:t>
      </w:r>
      <w:r w:rsidR="00F8646C" w:rsidRPr="002F44AE">
        <w:rPr>
          <w:rFonts w:ascii="Times New Roman" w:hAnsi="Times New Roman"/>
          <w:sz w:val="24"/>
          <w:szCs w:val="24"/>
          <w:lang w:eastAsia="en-GB"/>
        </w:rPr>
        <w:t>es in the Eastern Mediterranean. Equally,</w:t>
      </w:r>
      <w:r w:rsidR="00531E57" w:rsidRPr="002F44AE">
        <w:rPr>
          <w:rFonts w:ascii="Times New Roman" w:hAnsi="Times New Roman"/>
          <w:sz w:val="24"/>
          <w:szCs w:val="24"/>
          <w:lang w:eastAsia="en-GB"/>
        </w:rPr>
        <w:t xml:space="preserve"> the incentives of EU-accession for both Cyprus and Turkey have failed to </w:t>
      </w:r>
      <w:r w:rsidR="001144B3" w:rsidRPr="002F44AE">
        <w:rPr>
          <w:rFonts w:ascii="Times New Roman" w:hAnsi="Times New Roman"/>
          <w:sz w:val="24"/>
          <w:szCs w:val="24"/>
          <w:lang w:eastAsia="en-GB"/>
        </w:rPr>
        <w:t>lead to a</w:t>
      </w:r>
      <w:r w:rsidR="00531E57" w:rsidRPr="002F44AE">
        <w:rPr>
          <w:rFonts w:ascii="Times New Roman" w:hAnsi="Times New Roman"/>
          <w:sz w:val="24"/>
          <w:szCs w:val="24"/>
          <w:lang w:eastAsia="en-GB"/>
        </w:rPr>
        <w:t xml:space="preserve"> comprehensive settlement in the island</w:t>
      </w:r>
      <w:r w:rsidR="004D05CA">
        <w:rPr>
          <w:rFonts w:ascii="Times New Roman" w:hAnsi="Times New Roman"/>
          <w:sz w:val="24"/>
          <w:szCs w:val="24"/>
          <w:lang w:eastAsia="en-GB"/>
        </w:rPr>
        <w:t xml:space="preserve"> </w:t>
      </w:r>
      <w:r w:rsidR="00531E57" w:rsidRPr="002F44AE">
        <w:rPr>
          <w:rFonts w:ascii="Times New Roman" w:hAnsi="Times New Roman"/>
          <w:sz w:val="24"/>
          <w:szCs w:val="24"/>
          <w:lang w:eastAsia="en-GB"/>
        </w:rPr>
        <w:t>(Demetriou 2004; Tocci</w:t>
      </w:r>
      <w:r w:rsidR="004D05CA">
        <w:rPr>
          <w:rFonts w:ascii="Times New Roman" w:hAnsi="Times New Roman"/>
          <w:sz w:val="24"/>
          <w:szCs w:val="24"/>
          <w:lang w:eastAsia="en-GB"/>
        </w:rPr>
        <w:t xml:space="preserve"> </w:t>
      </w:r>
      <w:r w:rsidR="00531E57" w:rsidRPr="002F44AE">
        <w:rPr>
          <w:rFonts w:ascii="Times New Roman" w:hAnsi="Times New Roman"/>
          <w:sz w:val="24"/>
          <w:szCs w:val="24"/>
          <w:lang w:eastAsia="en-GB"/>
        </w:rPr>
        <w:t>2007; Ker-Lindsay</w:t>
      </w:r>
      <w:r w:rsidR="00C87159">
        <w:rPr>
          <w:rFonts w:ascii="Times New Roman" w:hAnsi="Times New Roman"/>
          <w:sz w:val="24"/>
          <w:szCs w:val="24"/>
          <w:lang w:eastAsia="en-GB"/>
        </w:rPr>
        <w:t>2012</w:t>
      </w:r>
      <w:r w:rsidR="00531E57" w:rsidRPr="002F44AE">
        <w:rPr>
          <w:rFonts w:ascii="Times New Roman" w:hAnsi="Times New Roman"/>
          <w:sz w:val="24"/>
          <w:szCs w:val="24"/>
          <w:lang w:eastAsia="en-GB"/>
        </w:rPr>
        <w:t xml:space="preserve">). </w:t>
      </w:r>
    </w:p>
    <w:p w:rsidR="00A846C8" w:rsidRPr="004D05CA" w:rsidRDefault="00A846C8" w:rsidP="00374024">
      <w:pPr>
        <w:pStyle w:val="NormalWeb"/>
        <w:shd w:val="clear" w:color="auto" w:fill="FFFFFF"/>
        <w:spacing w:before="0" w:beforeAutospacing="0" w:after="0" w:afterAutospacing="0" w:line="480" w:lineRule="auto"/>
        <w:jc w:val="both"/>
        <w:rPr>
          <w:rStyle w:val="Strong"/>
          <w:color w:val="000000"/>
          <w:lang w:val="en-US"/>
        </w:rPr>
      </w:pPr>
    </w:p>
    <w:p w:rsidR="004D05CA" w:rsidRDefault="004D05CA" w:rsidP="00374024">
      <w:pPr>
        <w:pStyle w:val="NormalWeb"/>
        <w:shd w:val="clear" w:color="auto" w:fill="FFFFFF"/>
        <w:spacing w:before="0" w:beforeAutospacing="0" w:after="0" w:afterAutospacing="0" w:line="480" w:lineRule="auto"/>
        <w:jc w:val="both"/>
        <w:rPr>
          <w:rStyle w:val="Strong"/>
          <w:color w:val="000000"/>
        </w:rPr>
      </w:pPr>
    </w:p>
    <w:p w:rsidR="004D05CA" w:rsidRDefault="004D05CA" w:rsidP="00374024">
      <w:pPr>
        <w:pStyle w:val="NormalWeb"/>
        <w:shd w:val="clear" w:color="auto" w:fill="FFFFFF"/>
        <w:spacing w:before="0" w:beforeAutospacing="0" w:after="0" w:afterAutospacing="0" w:line="480" w:lineRule="auto"/>
        <w:jc w:val="both"/>
        <w:rPr>
          <w:rStyle w:val="Strong"/>
          <w:color w:val="000000"/>
        </w:rPr>
      </w:pPr>
    </w:p>
    <w:p w:rsidR="00E620E6" w:rsidRPr="002F44AE" w:rsidRDefault="00E620E6" w:rsidP="00374024">
      <w:pPr>
        <w:pStyle w:val="NormalWeb"/>
        <w:shd w:val="clear" w:color="auto" w:fill="FFFFFF"/>
        <w:spacing w:before="0" w:beforeAutospacing="0" w:after="0" w:afterAutospacing="0" w:line="480" w:lineRule="auto"/>
        <w:jc w:val="both"/>
        <w:rPr>
          <w:color w:val="000000"/>
        </w:rPr>
      </w:pPr>
      <w:r w:rsidRPr="002F44AE">
        <w:rPr>
          <w:rStyle w:val="Strong"/>
          <w:color w:val="000000"/>
        </w:rPr>
        <w:lastRenderedPageBreak/>
        <w:t>Why do the negotiations in Cyprus keep failing at the last minute?</w:t>
      </w:r>
      <w:r w:rsidRPr="002F44AE">
        <w:rPr>
          <w:rStyle w:val="apple-converted-space"/>
          <w:rFonts w:eastAsia="Calibri"/>
          <w:b/>
          <w:bCs/>
          <w:color w:val="000000"/>
        </w:rPr>
        <w:t> </w:t>
      </w:r>
    </w:p>
    <w:p w:rsidR="00590029" w:rsidRPr="002F44AE" w:rsidRDefault="00B40F66" w:rsidP="00374024">
      <w:pPr>
        <w:spacing w:line="480" w:lineRule="auto"/>
        <w:jc w:val="both"/>
        <w:rPr>
          <w:rFonts w:ascii="Times New Roman" w:hAnsi="Times New Roman"/>
          <w:sz w:val="24"/>
          <w:szCs w:val="24"/>
          <w:lang w:val="en-GB" w:eastAsia="en-GB"/>
        </w:rPr>
      </w:pPr>
      <w:r>
        <w:rPr>
          <w:rFonts w:ascii="Times New Roman" w:hAnsi="Times New Roman"/>
          <w:sz w:val="24"/>
          <w:szCs w:val="24"/>
          <w:lang w:val="en-GB" w:eastAsia="en-GB"/>
        </w:rPr>
        <w:t>W</w:t>
      </w:r>
      <w:r w:rsidR="00590029" w:rsidRPr="002F44AE">
        <w:rPr>
          <w:rFonts w:ascii="Times New Roman" w:hAnsi="Times New Roman"/>
          <w:sz w:val="24"/>
          <w:szCs w:val="24"/>
          <w:lang w:val="en-GB" w:eastAsia="en-GB"/>
        </w:rPr>
        <w:t xml:space="preserve">hy have all proposals failed despite being supported by the United Nations and </w:t>
      </w:r>
      <w:r w:rsidR="000A598D">
        <w:rPr>
          <w:rFonts w:ascii="Times New Roman" w:hAnsi="Times New Roman"/>
          <w:sz w:val="24"/>
          <w:szCs w:val="24"/>
          <w:lang w:val="en-GB" w:eastAsia="en-GB"/>
        </w:rPr>
        <w:t xml:space="preserve">often </w:t>
      </w:r>
      <w:r>
        <w:rPr>
          <w:rFonts w:ascii="Times New Roman" w:hAnsi="Times New Roman"/>
          <w:sz w:val="24"/>
          <w:szCs w:val="24"/>
          <w:lang w:val="en-GB" w:eastAsia="en-GB"/>
        </w:rPr>
        <w:t>by</w:t>
      </w:r>
      <w:r w:rsidR="00CE2C27">
        <w:rPr>
          <w:rFonts w:ascii="Times New Roman" w:hAnsi="Times New Roman"/>
          <w:sz w:val="24"/>
          <w:szCs w:val="24"/>
          <w:lang w:val="en-GB" w:eastAsia="en-GB"/>
        </w:rPr>
        <w:t xml:space="preserve"> </w:t>
      </w:r>
      <w:r w:rsidR="00590029" w:rsidRPr="002F44AE">
        <w:rPr>
          <w:rFonts w:ascii="Times New Roman" w:hAnsi="Times New Roman"/>
          <w:sz w:val="24"/>
          <w:szCs w:val="24"/>
          <w:lang w:val="en-GB" w:eastAsia="en-GB"/>
        </w:rPr>
        <w:t>moderate parties in both communities?</w:t>
      </w:r>
      <w:r w:rsidR="006E47A1">
        <w:rPr>
          <w:rFonts w:ascii="Times New Roman" w:hAnsi="Times New Roman"/>
          <w:sz w:val="24"/>
          <w:szCs w:val="24"/>
          <w:lang w:val="en-GB" w:eastAsia="en-GB"/>
        </w:rPr>
        <w:t xml:space="preserve"> For one thing,</w:t>
      </w:r>
      <w:r w:rsidR="00590029" w:rsidRPr="002F44AE">
        <w:rPr>
          <w:rFonts w:ascii="Times New Roman" w:hAnsi="Times New Roman"/>
          <w:sz w:val="24"/>
          <w:szCs w:val="24"/>
          <w:lang w:val="en-GB" w:eastAsia="en-GB"/>
        </w:rPr>
        <w:t xml:space="preserve"> it is more difficult to establish power-sharing and political equality between Greek and Turkish Cypriots than between opponents in most other divided communities (e.g. Northern Ireland or Belgium) because of the fundamental demographic inequality</w:t>
      </w:r>
      <w:r w:rsidR="00A275F4">
        <w:rPr>
          <w:rFonts w:ascii="Times New Roman" w:hAnsi="Times New Roman"/>
          <w:sz w:val="24"/>
          <w:szCs w:val="24"/>
          <w:lang w:val="en-GB" w:eastAsia="en-GB"/>
        </w:rPr>
        <w:t xml:space="preserve">; </w:t>
      </w:r>
      <w:r w:rsidR="00590029" w:rsidRPr="002F44AE">
        <w:rPr>
          <w:rFonts w:ascii="Times New Roman" w:hAnsi="Times New Roman"/>
          <w:sz w:val="24"/>
          <w:szCs w:val="24"/>
          <w:lang w:val="en-GB" w:eastAsia="en-GB"/>
        </w:rPr>
        <w:t xml:space="preserve">historically Greek Cypriots have outnumbered Turkish Cypriots by four to one. An additional worry for Greek Cypriots is the role of Turkey and Turkish settlers; the latter are often used to exaggerate fears that power-sharing will be a stepping stone for Turkish control of the entire island in the near future. Greek Cypriots could conceivably compromise on power-sharing if there </w:t>
      </w:r>
      <w:r w:rsidR="006E47A1">
        <w:rPr>
          <w:rFonts w:ascii="Times New Roman" w:hAnsi="Times New Roman"/>
          <w:sz w:val="24"/>
          <w:szCs w:val="24"/>
          <w:lang w:val="en-GB" w:eastAsia="en-GB"/>
        </w:rPr>
        <w:t>were</w:t>
      </w:r>
      <w:r w:rsidR="00590029" w:rsidRPr="002F44AE">
        <w:rPr>
          <w:rFonts w:ascii="Times New Roman" w:hAnsi="Times New Roman"/>
          <w:sz w:val="24"/>
          <w:szCs w:val="24"/>
          <w:lang w:val="en-GB" w:eastAsia="en-GB"/>
        </w:rPr>
        <w:t xml:space="preserve"> credible mechanisms for their security but given Turkey’s policies</w:t>
      </w:r>
      <w:r w:rsidR="006E47A1">
        <w:rPr>
          <w:rFonts w:ascii="Times New Roman" w:hAnsi="Times New Roman"/>
          <w:sz w:val="24"/>
          <w:szCs w:val="24"/>
          <w:lang w:val="en-GB" w:eastAsia="en-GB"/>
        </w:rPr>
        <w:t>,</w:t>
      </w:r>
      <w:r w:rsidR="00590029" w:rsidRPr="002F44AE">
        <w:rPr>
          <w:rFonts w:ascii="Times New Roman" w:hAnsi="Times New Roman"/>
          <w:sz w:val="24"/>
          <w:szCs w:val="24"/>
          <w:lang w:val="en-GB" w:eastAsia="en-GB"/>
        </w:rPr>
        <w:t xml:space="preserve"> such credible mechanisms and commitments appear improbable. In other words, there are no immediate trade-offs for Greek Cypriots in terms </w:t>
      </w:r>
      <w:r w:rsidR="006E47A1">
        <w:rPr>
          <w:rFonts w:ascii="Times New Roman" w:hAnsi="Times New Roman"/>
          <w:sz w:val="24"/>
          <w:szCs w:val="24"/>
          <w:lang w:val="en-GB" w:eastAsia="en-GB"/>
        </w:rPr>
        <w:t xml:space="preserve">of </w:t>
      </w:r>
      <w:r w:rsidR="00590029" w:rsidRPr="002F44AE">
        <w:rPr>
          <w:rFonts w:ascii="Times New Roman" w:hAnsi="Times New Roman"/>
          <w:sz w:val="24"/>
          <w:szCs w:val="24"/>
          <w:lang w:val="en-GB" w:eastAsia="en-GB"/>
        </w:rPr>
        <w:t>security</w:t>
      </w:r>
      <w:r w:rsidR="006E47A1">
        <w:rPr>
          <w:rFonts w:ascii="Times New Roman" w:hAnsi="Times New Roman"/>
          <w:sz w:val="24"/>
          <w:szCs w:val="24"/>
          <w:lang w:val="en-GB" w:eastAsia="en-GB"/>
        </w:rPr>
        <w:t>,</w:t>
      </w:r>
      <w:r w:rsidR="00CE2C27">
        <w:rPr>
          <w:rFonts w:ascii="Times New Roman" w:hAnsi="Times New Roman"/>
          <w:sz w:val="24"/>
          <w:szCs w:val="24"/>
          <w:lang w:val="en-GB" w:eastAsia="en-GB"/>
        </w:rPr>
        <w:t xml:space="preserve"> </w:t>
      </w:r>
      <w:r w:rsidR="006E47A1">
        <w:rPr>
          <w:rFonts w:ascii="Times New Roman" w:hAnsi="Times New Roman"/>
          <w:sz w:val="24"/>
          <w:szCs w:val="24"/>
          <w:lang w:val="en-GB" w:eastAsia="en-GB"/>
        </w:rPr>
        <w:t>even though</w:t>
      </w:r>
      <w:r w:rsidR="00CE2C27">
        <w:rPr>
          <w:rFonts w:ascii="Times New Roman" w:hAnsi="Times New Roman"/>
          <w:sz w:val="24"/>
          <w:szCs w:val="24"/>
          <w:lang w:val="en-GB" w:eastAsia="en-GB"/>
        </w:rPr>
        <w:t xml:space="preserve"> </w:t>
      </w:r>
      <w:r w:rsidR="006E47A1">
        <w:rPr>
          <w:rFonts w:ascii="Times New Roman" w:hAnsi="Times New Roman"/>
          <w:sz w:val="24"/>
          <w:szCs w:val="24"/>
          <w:lang w:val="en-GB" w:eastAsia="en-GB"/>
        </w:rPr>
        <w:t xml:space="preserve">they are expected to make </w:t>
      </w:r>
      <w:r w:rsidR="00590029" w:rsidRPr="002F44AE">
        <w:rPr>
          <w:rFonts w:ascii="Times New Roman" w:hAnsi="Times New Roman"/>
          <w:sz w:val="24"/>
          <w:szCs w:val="24"/>
          <w:lang w:val="en-GB" w:eastAsia="en-GB"/>
        </w:rPr>
        <w:t xml:space="preserve">compromises on the right of return for displaced persons under future Turkish Cypriot administrations. </w:t>
      </w:r>
    </w:p>
    <w:p w:rsidR="006E47A1" w:rsidRDefault="00590029" w:rsidP="00374024">
      <w:pPr>
        <w:spacing w:line="480" w:lineRule="auto"/>
        <w:ind w:firstLine="720"/>
        <w:jc w:val="both"/>
        <w:rPr>
          <w:rFonts w:ascii="Times New Roman" w:hAnsi="Times New Roman"/>
          <w:sz w:val="24"/>
          <w:szCs w:val="24"/>
        </w:rPr>
      </w:pPr>
      <w:r w:rsidRPr="002F44AE">
        <w:rPr>
          <w:rFonts w:ascii="Times New Roman" w:hAnsi="Times New Roman"/>
          <w:sz w:val="24"/>
          <w:szCs w:val="24"/>
          <w:lang w:val="en-GB"/>
        </w:rPr>
        <w:t>Despite these objective difficulties, progress has been made on multiple issues</w:t>
      </w:r>
      <w:r w:rsidR="00A275F4">
        <w:rPr>
          <w:rFonts w:ascii="Times New Roman" w:hAnsi="Times New Roman"/>
          <w:sz w:val="24"/>
          <w:szCs w:val="24"/>
          <w:lang w:val="en-GB"/>
        </w:rPr>
        <w:t>, and most</w:t>
      </w:r>
      <w:r w:rsidRPr="002F44AE">
        <w:rPr>
          <w:rFonts w:ascii="Times New Roman" w:hAnsi="Times New Roman"/>
          <w:sz w:val="24"/>
          <w:szCs w:val="24"/>
        </w:rPr>
        <w:t xml:space="preserve"> peace plans and packages proposed so far represent a compromise between the aspirations of </w:t>
      </w:r>
      <w:r w:rsidR="006E47A1">
        <w:rPr>
          <w:rFonts w:ascii="Times New Roman" w:hAnsi="Times New Roman"/>
          <w:sz w:val="24"/>
          <w:szCs w:val="24"/>
        </w:rPr>
        <w:t xml:space="preserve">the </w:t>
      </w:r>
      <w:r w:rsidRPr="002F44AE">
        <w:rPr>
          <w:rFonts w:ascii="Times New Roman" w:hAnsi="Times New Roman"/>
          <w:sz w:val="24"/>
          <w:szCs w:val="24"/>
        </w:rPr>
        <w:t>different parties</w:t>
      </w:r>
      <w:r w:rsidR="006E47A1">
        <w:rPr>
          <w:rFonts w:ascii="Times New Roman" w:hAnsi="Times New Roman"/>
          <w:sz w:val="24"/>
          <w:szCs w:val="24"/>
        </w:rPr>
        <w:t xml:space="preserve">. </w:t>
      </w:r>
      <w:r w:rsidRPr="002F44AE">
        <w:rPr>
          <w:rFonts w:ascii="Times New Roman" w:hAnsi="Times New Roman"/>
          <w:sz w:val="24"/>
          <w:szCs w:val="24"/>
        </w:rPr>
        <w:t xml:space="preserve">On the one hand, the UN has attempted to re-establish Cyprus as a unified state with significant territorial readjustments in favor of the Greek Cypriot side to enable the maximum number of returnees among the post-1974 victims of ethnic cleansing. On the other, it </w:t>
      </w:r>
      <w:r w:rsidR="006E47A1">
        <w:rPr>
          <w:rFonts w:ascii="Times New Roman" w:hAnsi="Times New Roman"/>
          <w:sz w:val="24"/>
          <w:szCs w:val="24"/>
        </w:rPr>
        <w:t>has proposed</w:t>
      </w:r>
      <w:r w:rsidR="004D05CA">
        <w:rPr>
          <w:rFonts w:ascii="Times New Roman" w:hAnsi="Times New Roman"/>
          <w:sz w:val="24"/>
          <w:szCs w:val="24"/>
        </w:rPr>
        <w:t xml:space="preserve"> </w:t>
      </w:r>
      <w:r w:rsidRPr="002F44AE">
        <w:rPr>
          <w:rFonts w:ascii="Times New Roman" w:hAnsi="Times New Roman"/>
          <w:sz w:val="24"/>
          <w:szCs w:val="24"/>
        </w:rPr>
        <w:t xml:space="preserve">ethnic federal structures recognizing significant autonomy for the future Turkish Cypriot constituent state and political equality within the central government. </w:t>
      </w:r>
      <w:r w:rsidR="006E47A1">
        <w:rPr>
          <w:rFonts w:ascii="Times New Roman" w:hAnsi="Times New Roman"/>
          <w:sz w:val="24"/>
          <w:szCs w:val="24"/>
        </w:rPr>
        <w:t xml:space="preserve">In short, the </w:t>
      </w:r>
      <w:r w:rsidRPr="002F44AE">
        <w:rPr>
          <w:rFonts w:ascii="Times New Roman" w:hAnsi="Times New Roman"/>
          <w:sz w:val="24"/>
          <w:szCs w:val="24"/>
        </w:rPr>
        <w:t>UN proposals aim</w:t>
      </w:r>
      <w:r w:rsidR="000A598D">
        <w:rPr>
          <w:rFonts w:ascii="Times New Roman" w:hAnsi="Times New Roman"/>
          <w:sz w:val="24"/>
          <w:szCs w:val="24"/>
        </w:rPr>
        <w:t>ed</w:t>
      </w:r>
      <w:r w:rsidRPr="002F44AE">
        <w:rPr>
          <w:rFonts w:ascii="Times New Roman" w:hAnsi="Times New Roman"/>
          <w:sz w:val="24"/>
          <w:szCs w:val="24"/>
        </w:rPr>
        <w:t xml:space="preserve"> to establish a form of power-sharing and designated community rights, thereby preventing </w:t>
      </w:r>
      <w:r w:rsidRPr="002F44AE">
        <w:rPr>
          <w:rFonts w:ascii="Times New Roman" w:hAnsi="Times New Roman"/>
          <w:sz w:val="24"/>
          <w:szCs w:val="24"/>
        </w:rPr>
        <w:lastRenderedPageBreak/>
        <w:t xml:space="preserve">the Greek Cypriot majority from out-voting Turkish Cypriots on issues of vital political concern. </w:t>
      </w:r>
    </w:p>
    <w:p w:rsidR="00590029" w:rsidRPr="002F44AE" w:rsidRDefault="00590029" w:rsidP="00374024">
      <w:pPr>
        <w:spacing w:line="480" w:lineRule="auto"/>
        <w:ind w:firstLine="720"/>
        <w:jc w:val="both"/>
        <w:rPr>
          <w:rFonts w:ascii="Times New Roman" w:hAnsi="Times New Roman"/>
          <w:sz w:val="24"/>
          <w:szCs w:val="24"/>
        </w:rPr>
      </w:pPr>
      <w:r w:rsidRPr="002F44AE">
        <w:rPr>
          <w:rFonts w:ascii="Times New Roman" w:hAnsi="Times New Roman"/>
          <w:sz w:val="24"/>
          <w:szCs w:val="24"/>
        </w:rPr>
        <w:t xml:space="preserve">On the issue of security, in its most recent intervention in the summer of 2017, </w:t>
      </w:r>
      <w:r w:rsidR="006E47A1">
        <w:rPr>
          <w:rFonts w:ascii="Times New Roman" w:hAnsi="Times New Roman"/>
          <w:sz w:val="24"/>
          <w:szCs w:val="24"/>
        </w:rPr>
        <w:t xml:space="preserve">the UN attempted </w:t>
      </w:r>
      <w:r w:rsidRPr="002F44AE">
        <w:rPr>
          <w:rFonts w:ascii="Times New Roman" w:hAnsi="Times New Roman"/>
          <w:sz w:val="24"/>
          <w:szCs w:val="24"/>
        </w:rPr>
        <w:t>to abolish Greek and Turkish unilateral guarantees for intervention. However, significant disagreements remain</w:t>
      </w:r>
      <w:r w:rsidR="006E47A1">
        <w:rPr>
          <w:rFonts w:ascii="Times New Roman" w:hAnsi="Times New Roman"/>
          <w:sz w:val="24"/>
          <w:szCs w:val="24"/>
        </w:rPr>
        <w:t>,</w:t>
      </w:r>
      <w:r w:rsidRPr="002F44AE">
        <w:rPr>
          <w:rFonts w:ascii="Times New Roman" w:hAnsi="Times New Roman"/>
          <w:sz w:val="24"/>
          <w:szCs w:val="24"/>
        </w:rPr>
        <w:t xml:space="preserve"> particularly </w:t>
      </w:r>
      <w:r w:rsidR="006E47A1">
        <w:rPr>
          <w:rFonts w:ascii="Times New Roman" w:hAnsi="Times New Roman"/>
          <w:sz w:val="24"/>
          <w:szCs w:val="24"/>
        </w:rPr>
        <w:t>on</w:t>
      </w:r>
      <w:r w:rsidRPr="002F44AE">
        <w:rPr>
          <w:rFonts w:ascii="Times New Roman" w:hAnsi="Times New Roman"/>
          <w:sz w:val="24"/>
          <w:szCs w:val="24"/>
        </w:rPr>
        <w:t xml:space="preserve"> the timing and conditions for the complete withdrawal of Turkish troops. </w:t>
      </w:r>
    </w:p>
    <w:p w:rsidR="000A598D" w:rsidRDefault="00590029" w:rsidP="00374024">
      <w:pPr>
        <w:spacing w:line="480" w:lineRule="auto"/>
        <w:ind w:firstLine="720"/>
        <w:jc w:val="both"/>
        <w:rPr>
          <w:rFonts w:ascii="Times New Roman" w:hAnsi="Times New Roman"/>
          <w:color w:val="000000"/>
          <w:sz w:val="24"/>
          <w:szCs w:val="24"/>
        </w:rPr>
      </w:pPr>
      <w:r w:rsidRPr="002F44AE">
        <w:rPr>
          <w:rFonts w:ascii="Times New Roman" w:hAnsi="Times New Roman"/>
          <w:sz w:val="24"/>
          <w:szCs w:val="24"/>
          <w:lang w:val="en-GB"/>
        </w:rPr>
        <w:t>Despite intensive efforts to renegotiate new and comprehensive security, territorial, and power-sharing arrangements, the island remains divided.</w:t>
      </w:r>
      <w:r w:rsidR="00E620E6" w:rsidRPr="002F44AE">
        <w:rPr>
          <w:rFonts w:ascii="Times New Roman" w:hAnsi="Times New Roman"/>
          <w:color w:val="000000"/>
          <w:sz w:val="24"/>
          <w:szCs w:val="24"/>
        </w:rPr>
        <w:t> </w:t>
      </w:r>
      <w:r w:rsidR="00D93AFE">
        <w:rPr>
          <w:rFonts w:ascii="Times New Roman" w:hAnsi="Times New Roman"/>
          <w:color w:val="000000"/>
          <w:sz w:val="24"/>
          <w:szCs w:val="24"/>
        </w:rPr>
        <w:t>In addition to</w:t>
      </w:r>
      <w:r w:rsidR="00A846C8" w:rsidRPr="002F44AE">
        <w:rPr>
          <w:rFonts w:ascii="Times New Roman" w:hAnsi="Times New Roman"/>
          <w:color w:val="000000"/>
          <w:sz w:val="24"/>
          <w:szCs w:val="24"/>
        </w:rPr>
        <w:t xml:space="preserve"> the multiple dimensions/challenges </w:t>
      </w:r>
      <w:r w:rsidR="00D5733C">
        <w:rPr>
          <w:rFonts w:ascii="Times New Roman" w:hAnsi="Times New Roman"/>
          <w:color w:val="000000"/>
          <w:sz w:val="24"/>
          <w:szCs w:val="24"/>
        </w:rPr>
        <w:t xml:space="preserve">of the Cyprus conflict, </w:t>
      </w:r>
      <w:r w:rsidR="00D93AFE">
        <w:rPr>
          <w:rFonts w:ascii="Times New Roman" w:hAnsi="Times New Roman"/>
          <w:color w:val="000000"/>
          <w:sz w:val="24"/>
          <w:szCs w:val="24"/>
        </w:rPr>
        <w:t xml:space="preserve">other </w:t>
      </w:r>
      <w:r w:rsidR="00D5733C">
        <w:rPr>
          <w:rFonts w:ascii="Times New Roman" w:hAnsi="Times New Roman"/>
          <w:color w:val="000000"/>
          <w:sz w:val="24"/>
          <w:szCs w:val="24"/>
        </w:rPr>
        <w:t>obstacles</w:t>
      </w:r>
      <w:r w:rsidR="00D93AFE">
        <w:rPr>
          <w:rFonts w:ascii="Times New Roman" w:hAnsi="Times New Roman"/>
          <w:color w:val="000000"/>
          <w:sz w:val="24"/>
          <w:szCs w:val="24"/>
        </w:rPr>
        <w:t xml:space="preserve"> include the</w:t>
      </w:r>
      <w:r w:rsidR="00A846C8" w:rsidRPr="002F44AE">
        <w:rPr>
          <w:rFonts w:ascii="Times New Roman" w:hAnsi="Times New Roman"/>
          <w:color w:val="000000"/>
          <w:sz w:val="24"/>
          <w:szCs w:val="24"/>
        </w:rPr>
        <w:t xml:space="preserve"> history of ethnic nationalism in the island and the region</w:t>
      </w:r>
      <w:r w:rsidR="00275AB4" w:rsidRPr="002F44AE">
        <w:rPr>
          <w:rFonts w:ascii="Times New Roman" w:hAnsi="Times New Roman"/>
          <w:color w:val="000000"/>
          <w:sz w:val="24"/>
          <w:szCs w:val="24"/>
        </w:rPr>
        <w:t xml:space="preserve"> (Loizides 2007</w:t>
      </w:r>
      <w:r w:rsidR="00821A82" w:rsidRPr="002F44AE">
        <w:rPr>
          <w:rFonts w:ascii="Times New Roman" w:hAnsi="Times New Roman"/>
          <w:color w:val="000000"/>
          <w:sz w:val="24"/>
          <w:szCs w:val="24"/>
        </w:rPr>
        <w:t>; Heraclides 2011)</w:t>
      </w:r>
      <w:r w:rsidR="00E620E6" w:rsidRPr="002F44AE">
        <w:rPr>
          <w:rFonts w:ascii="Times New Roman" w:hAnsi="Times New Roman"/>
          <w:color w:val="000000"/>
          <w:sz w:val="24"/>
          <w:szCs w:val="24"/>
        </w:rPr>
        <w:t>, the passage of time and the long separation of the two communities</w:t>
      </w:r>
      <w:r w:rsidR="00D93AFE">
        <w:rPr>
          <w:rFonts w:ascii="Times New Roman" w:hAnsi="Times New Roman"/>
          <w:color w:val="000000"/>
          <w:sz w:val="24"/>
          <w:szCs w:val="24"/>
        </w:rPr>
        <w:t>,</w:t>
      </w:r>
      <w:r w:rsidR="00A846C8" w:rsidRPr="002F44AE">
        <w:rPr>
          <w:rFonts w:ascii="Times New Roman" w:hAnsi="Times New Roman"/>
          <w:color w:val="000000"/>
          <w:sz w:val="24"/>
          <w:szCs w:val="24"/>
        </w:rPr>
        <w:t xml:space="preserve"> and lack of trust</w:t>
      </w:r>
      <w:r w:rsidR="00E620E6" w:rsidRPr="002F44AE">
        <w:rPr>
          <w:rFonts w:ascii="Times New Roman" w:hAnsi="Times New Roman"/>
          <w:color w:val="000000"/>
          <w:sz w:val="24"/>
          <w:szCs w:val="24"/>
        </w:rPr>
        <w:t>. A</w:t>
      </w:r>
      <w:r w:rsidRPr="002F44AE">
        <w:rPr>
          <w:rFonts w:ascii="Times New Roman" w:hAnsi="Times New Roman"/>
          <w:color w:val="000000"/>
          <w:sz w:val="24"/>
          <w:szCs w:val="24"/>
        </w:rPr>
        <w:t>s noted above</w:t>
      </w:r>
      <w:r w:rsidR="00A846C8" w:rsidRPr="002F44AE">
        <w:rPr>
          <w:rFonts w:ascii="Times New Roman" w:hAnsi="Times New Roman"/>
          <w:color w:val="000000"/>
          <w:sz w:val="24"/>
          <w:szCs w:val="24"/>
        </w:rPr>
        <w:t>,</w:t>
      </w:r>
      <w:r w:rsidRPr="002F44AE">
        <w:rPr>
          <w:rFonts w:ascii="Times New Roman" w:hAnsi="Times New Roman"/>
          <w:color w:val="000000"/>
          <w:sz w:val="24"/>
          <w:szCs w:val="24"/>
        </w:rPr>
        <w:t xml:space="preserve"> a</w:t>
      </w:r>
      <w:r w:rsidR="00E620E6" w:rsidRPr="002F44AE">
        <w:rPr>
          <w:rFonts w:ascii="Times New Roman" w:hAnsi="Times New Roman"/>
          <w:color w:val="000000"/>
          <w:sz w:val="24"/>
          <w:szCs w:val="24"/>
        </w:rPr>
        <w:t xml:space="preserve"> comprehensive Cyprus settlement should answer the security fears of both communities</w:t>
      </w:r>
      <w:r w:rsidR="00A846C8" w:rsidRPr="002F44AE">
        <w:rPr>
          <w:rFonts w:ascii="Times New Roman" w:hAnsi="Times New Roman"/>
          <w:color w:val="000000"/>
          <w:sz w:val="24"/>
          <w:szCs w:val="24"/>
        </w:rPr>
        <w:t xml:space="preserve"> and do so in a convincing way to the public and policymakers</w:t>
      </w:r>
      <w:r w:rsidR="00D5733C">
        <w:rPr>
          <w:rFonts w:ascii="Times New Roman" w:hAnsi="Times New Roman"/>
          <w:color w:val="000000"/>
          <w:sz w:val="24"/>
          <w:szCs w:val="24"/>
        </w:rPr>
        <w:t xml:space="preserve"> not only in Cyprus but also the broader region</w:t>
      </w:r>
      <w:r w:rsidR="005E3A19" w:rsidRPr="002F44AE">
        <w:rPr>
          <w:rFonts w:ascii="Times New Roman" w:hAnsi="Times New Roman"/>
          <w:color w:val="000000"/>
          <w:sz w:val="24"/>
          <w:szCs w:val="24"/>
        </w:rPr>
        <w:t>.</w:t>
      </w:r>
      <w:r w:rsidR="000A598D" w:rsidRPr="002F44AE">
        <w:rPr>
          <w:rFonts w:ascii="Times New Roman" w:hAnsi="Times New Roman"/>
          <w:color w:val="000000"/>
          <w:sz w:val="24"/>
          <w:szCs w:val="24"/>
          <w:vertAlign w:val="superscript"/>
        </w:rPr>
        <w:endnoteReference w:id="1"/>
      </w:r>
    </w:p>
    <w:p w:rsidR="000A598D" w:rsidRDefault="00D5733C" w:rsidP="00374024">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In the future</w:t>
      </w:r>
      <w:r w:rsidR="000A598D" w:rsidRPr="002F44AE">
        <w:rPr>
          <w:rFonts w:ascii="Times New Roman" w:hAnsi="Times New Roman"/>
          <w:color w:val="000000"/>
          <w:sz w:val="24"/>
          <w:szCs w:val="24"/>
        </w:rPr>
        <w:t xml:space="preserve">, the two sides will have to identify solutions to the questions of power-sharing, refugee return, immigration policy, property rights etc. </w:t>
      </w:r>
      <w:r w:rsidR="000A598D">
        <w:rPr>
          <w:rFonts w:ascii="Times New Roman" w:hAnsi="Times New Roman"/>
          <w:color w:val="000000"/>
          <w:sz w:val="24"/>
          <w:szCs w:val="24"/>
        </w:rPr>
        <w:t>P</w:t>
      </w:r>
      <w:r w:rsidR="000A598D" w:rsidRPr="002F44AE">
        <w:rPr>
          <w:rFonts w:ascii="Times New Roman" w:hAnsi="Times New Roman"/>
          <w:color w:val="000000"/>
          <w:sz w:val="24"/>
          <w:szCs w:val="24"/>
        </w:rPr>
        <w:t xml:space="preserve">roperty compensations </w:t>
      </w:r>
      <w:r w:rsidR="000A598D">
        <w:rPr>
          <w:rFonts w:ascii="Times New Roman" w:hAnsi="Times New Roman"/>
          <w:color w:val="000000"/>
          <w:sz w:val="24"/>
          <w:szCs w:val="24"/>
        </w:rPr>
        <w:t xml:space="preserve">alone </w:t>
      </w:r>
      <w:r w:rsidR="000A598D" w:rsidRPr="002F44AE">
        <w:rPr>
          <w:rFonts w:ascii="Times New Roman" w:hAnsi="Times New Roman"/>
          <w:color w:val="000000"/>
          <w:sz w:val="24"/>
          <w:szCs w:val="24"/>
        </w:rPr>
        <w:t>will cost tens of billion Euros</w:t>
      </w:r>
      <w:r w:rsidR="000A598D">
        <w:rPr>
          <w:rFonts w:ascii="Times New Roman" w:hAnsi="Times New Roman"/>
          <w:color w:val="000000"/>
          <w:sz w:val="24"/>
          <w:szCs w:val="24"/>
        </w:rPr>
        <w:t>,</w:t>
      </w:r>
      <w:r w:rsidR="000A598D" w:rsidRPr="002F44AE">
        <w:rPr>
          <w:rFonts w:ascii="Times New Roman" w:hAnsi="Times New Roman"/>
          <w:color w:val="000000"/>
          <w:sz w:val="24"/>
          <w:szCs w:val="24"/>
        </w:rPr>
        <w:t xml:space="preserve"> depending on </w:t>
      </w:r>
      <w:r w:rsidR="000A598D">
        <w:rPr>
          <w:rFonts w:ascii="Times New Roman" w:hAnsi="Times New Roman"/>
          <w:color w:val="000000"/>
          <w:sz w:val="24"/>
          <w:szCs w:val="24"/>
        </w:rPr>
        <w:t>an</w:t>
      </w:r>
      <w:r w:rsidR="00CE2C27">
        <w:rPr>
          <w:rFonts w:ascii="Times New Roman" w:hAnsi="Times New Roman"/>
          <w:color w:val="000000"/>
          <w:sz w:val="24"/>
          <w:szCs w:val="24"/>
        </w:rPr>
        <w:t xml:space="preserve"> </w:t>
      </w:r>
      <w:r w:rsidR="000A598D">
        <w:rPr>
          <w:rFonts w:ascii="Times New Roman" w:hAnsi="Times New Roman"/>
          <w:color w:val="000000"/>
          <w:sz w:val="24"/>
          <w:szCs w:val="24"/>
        </w:rPr>
        <w:t xml:space="preserve">agreed-upon </w:t>
      </w:r>
      <w:r w:rsidR="000A598D" w:rsidRPr="002F44AE">
        <w:rPr>
          <w:rFonts w:ascii="Times New Roman" w:hAnsi="Times New Roman"/>
          <w:color w:val="000000"/>
          <w:sz w:val="24"/>
          <w:szCs w:val="24"/>
        </w:rPr>
        <w:t>formula</w:t>
      </w:r>
      <w:r w:rsidR="000A598D">
        <w:rPr>
          <w:rFonts w:ascii="Times New Roman" w:hAnsi="Times New Roman"/>
          <w:color w:val="000000"/>
          <w:sz w:val="24"/>
          <w:szCs w:val="24"/>
        </w:rPr>
        <w:t xml:space="preserve"> that would respect ECtHR requirements and past court decisions.</w:t>
      </w:r>
      <w:r w:rsidR="000A598D">
        <w:rPr>
          <w:rStyle w:val="EndnoteReference"/>
          <w:rFonts w:ascii="Times New Roman" w:hAnsi="Times New Roman"/>
          <w:color w:val="000000"/>
          <w:sz w:val="24"/>
          <w:szCs w:val="24"/>
        </w:rPr>
        <w:endnoteReference w:id="2"/>
      </w:r>
      <w:r w:rsidR="00CE2C27">
        <w:rPr>
          <w:rFonts w:ascii="Times New Roman" w:hAnsi="Times New Roman"/>
          <w:color w:val="000000"/>
          <w:sz w:val="24"/>
          <w:szCs w:val="24"/>
        </w:rPr>
        <w:t xml:space="preserve"> </w:t>
      </w:r>
      <w:r w:rsidR="000A598D" w:rsidRPr="002F44AE">
        <w:rPr>
          <w:rFonts w:ascii="Times New Roman" w:hAnsi="Times New Roman"/>
          <w:color w:val="000000"/>
          <w:sz w:val="24"/>
          <w:szCs w:val="24"/>
        </w:rPr>
        <w:t>In a nutshell, the key fears of each side will have to be addressed, provisions for IDPs will have to be carefully designed</w:t>
      </w:r>
      <w:r w:rsidR="000A598D">
        <w:rPr>
          <w:rFonts w:ascii="Times New Roman" w:hAnsi="Times New Roman"/>
          <w:color w:val="000000"/>
          <w:sz w:val="24"/>
          <w:szCs w:val="24"/>
        </w:rPr>
        <w:t>,</w:t>
      </w:r>
      <w:r w:rsidR="000A598D" w:rsidRPr="002F44AE">
        <w:rPr>
          <w:rFonts w:ascii="Times New Roman" w:hAnsi="Times New Roman"/>
          <w:color w:val="000000"/>
          <w:sz w:val="24"/>
          <w:szCs w:val="24"/>
        </w:rPr>
        <w:t xml:space="preserve"> and the EU will have to assume a more integrated role in the overall equation. </w:t>
      </w:r>
      <w:r w:rsidR="000A598D">
        <w:rPr>
          <w:rFonts w:ascii="Times New Roman" w:hAnsi="Times New Roman"/>
          <w:color w:val="000000"/>
          <w:sz w:val="24"/>
          <w:szCs w:val="24"/>
        </w:rPr>
        <w:t>The problems are not insurmountable, however, and here t</w:t>
      </w:r>
      <w:r w:rsidR="000A598D" w:rsidRPr="002F44AE">
        <w:rPr>
          <w:rFonts w:ascii="Times New Roman" w:hAnsi="Times New Roman"/>
          <w:color w:val="000000"/>
          <w:sz w:val="24"/>
          <w:szCs w:val="24"/>
        </w:rPr>
        <w:t xml:space="preserve">he case of Bulgaria </w:t>
      </w:r>
      <w:r w:rsidR="000A598D">
        <w:rPr>
          <w:rFonts w:ascii="Times New Roman" w:hAnsi="Times New Roman"/>
          <w:color w:val="000000"/>
          <w:sz w:val="24"/>
          <w:szCs w:val="24"/>
        </w:rPr>
        <w:t xml:space="preserve">offers some </w:t>
      </w:r>
      <w:r w:rsidR="000A598D" w:rsidRPr="002F44AE">
        <w:rPr>
          <w:rFonts w:ascii="Times New Roman" w:hAnsi="Times New Roman"/>
          <w:color w:val="000000"/>
          <w:sz w:val="24"/>
          <w:szCs w:val="24"/>
        </w:rPr>
        <w:t xml:space="preserve">useful insights and institutional lessons. </w:t>
      </w:r>
    </w:p>
    <w:p w:rsidR="000A598D" w:rsidRPr="00593390" w:rsidRDefault="000A598D" w:rsidP="00374024">
      <w:pPr>
        <w:spacing w:line="480" w:lineRule="auto"/>
        <w:ind w:firstLine="720"/>
        <w:jc w:val="both"/>
        <w:rPr>
          <w:rFonts w:ascii="Times New Roman" w:hAnsi="Times New Roman"/>
          <w:sz w:val="24"/>
          <w:szCs w:val="24"/>
        </w:rPr>
      </w:pPr>
    </w:p>
    <w:p w:rsidR="004D05CA" w:rsidRDefault="004D05CA" w:rsidP="00374024">
      <w:pPr>
        <w:pStyle w:val="NormalWeb"/>
        <w:shd w:val="clear" w:color="auto" w:fill="FFFFFF"/>
        <w:spacing w:before="0" w:beforeAutospacing="0" w:after="0" w:afterAutospacing="0" w:line="480" w:lineRule="auto"/>
        <w:jc w:val="both"/>
        <w:rPr>
          <w:b/>
          <w:color w:val="000000"/>
        </w:rPr>
      </w:pPr>
    </w:p>
    <w:p w:rsidR="004D05CA" w:rsidRDefault="004D05CA" w:rsidP="00374024">
      <w:pPr>
        <w:pStyle w:val="NormalWeb"/>
        <w:shd w:val="clear" w:color="auto" w:fill="FFFFFF"/>
        <w:spacing w:before="0" w:beforeAutospacing="0" w:after="0" w:afterAutospacing="0" w:line="480" w:lineRule="auto"/>
        <w:jc w:val="both"/>
        <w:rPr>
          <w:b/>
          <w:color w:val="000000"/>
        </w:rPr>
      </w:pPr>
    </w:p>
    <w:p w:rsidR="000A598D" w:rsidRPr="002F44AE" w:rsidRDefault="000A598D" w:rsidP="00374024">
      <w:pPr>
        <w:pStyle w:val="NormalWeb"/>
        <w:shd w:val="clear" w:color="auto" w:fill="FFFFFF"/>
        <w:spacing w:before="0" w:beforeAutospacing="0" w:after="0" w:afterAutospacing="0" w:line="480" w:lineRule="auto"/>
        <w:jc w:val="both"/>
        <w:rPr>
          <w:b/>
          <w:color w:val="000000"/>
        </w:rPr>
      </w:pPr>
      <w:r w:rsidRPr="002F44AE">
        <w:rPr>
          <w:b/>
          <w:color w:val="000000"/>
        </w:rPr>
        <w:lastRenderedPageBreak/>
        <w:t xml:space="preserve">The Bulgarian-Turkish Precedent </w:t>
      </w:r>
    </w:p>
    <w:p w:rsidR="000A598D" w:rsidRPr="002F44AE" w:rsidRDefault="000A598D" w:rsidP="00374024">
      <w:pPr>
        <w:spacing w:line="480" w:lineRule="auto"/>
        <w:jc w:val="both"/>
        <w:rPr>
          <w:rFonts w:ascii="Times New Roman" w:hAnsi="Times New Roman"/>
          <w:sz w:val="24"/>
          <w:szCs w:val="24"/>
        </w:rPr>
      </w:pPr>
      <w:r w:rsidRPr="002F44AE">
        <w:rPr>
          <w:rFonts w:ascii="Times New Roman" w:hAnsi="Times New Roman"/>
          <w:sz w:val="24"/>
          <w:szCs w:val="24"/>
        </w:rPr>
        <w:t>The peaceful transformation of inter-ethnic relations since the early 1990s makes Bulgaria a useful comparative case</w:t>
      </w:r>
      <w:r>
        <w:rPr>
          <w:rFonts w:ascii="Times New Roman" w:hAnsi="Times New Roman"/>
          <w:sz w:val="24"/>
          <w:szCs w:val="24"/>
        </w:rPr>
        <w:t xml:space="preserve"> (see Anagnostou, 2005; Koinova, 2013)</w:t>
      </w:r>
      <w:r w:rsidRPr="002F44AE">
        <w:rPr>
          <w:rFonts w:ascii="Times New Roman" w:hAnsi="Times New Roman"/>
          <w:sz w:val="24"/>
          <w:szCs w:val="24"/>
        </w:rPr>
        <w:t xml:space="preserve">. </w:t>
      </w:r>
      <w:r>
        <w:rPr>
          <w:rFonts w:ascii="Times New Roman" w:hAnsi="Times New Roman"/>
          <w:sz w:val="24"/>
          <w:szCs w:val="24"/>
        </w:rPr>
        <w:t xml:space="preserve">Interestingly, </w:t>
      </w:r>
      <w:r w:rsidRPr="002F44AE">
        <w:rPr>
          <w:rFonts w:ascii="Times New Roman" w:hAnsi="Times New Roman"/>
          <w:sz w:val="24"/>
          <w:szCs w:val="24"/>
        </w:rPr>
        <w:t xml:space="preserve">Bulgaria has </w:t>
      </w:r>
      <w:r>
        <w:rPr>
          <w:rFonts w:ascii="Times New Roman" w:hAnsi="Times New Roman"/>
          <w:sz w:val="24"/>
          <w:szCs w:val="24"/>
        </w:rPr>
        <w:t>rarely been</w:t>
      </w:r>
      <w:r w:rsidR="004D05CA">
        <w:rPr>
          <w:rFonts w:ascii="Times New Roman" w:hAnsi="Times New Roman"/>
          <w:sz w:val="24"/>
          <w:szCs w:val="24"/>
        </w:rPr>
        <w:t xml:space="preserve"> </w:t>
      </w:r>
      <w:r>
        <w:rPr>
          <w:rFonts w:ascii="Times New Roman" w:hAnsi="Times New Roman"/>
          <w:sz w:val="24"/>
          <w:szCs w:val="24"/>
        </w:rPr>
        <w:t>compared to</w:t>
      </w:r>
      <w:r w:rsidRPr="002F44AE">
        <w:rPr>
          <w:rFonts w:ascii="Times New Roman" w:hAnsi="Times New Roman"/>
          <w:sz w:val="24"/>
          <w:szCs w:val="24"/>
        </w:rPr>
        <w:t xml:space="preserve"> Cyprus</w:t>
      </w:r>
      <w:r>
        <w:rPr>
          <w:rFonts w:ascii="Times New Roman" w:hAnsi="Times New Roman"/>
          <w:sz w:val="24"/>
          <w:szCs w:val="24"/>
        </w:rPr>
        <w:t>,</w:t>
      </w:r>
      <w:r w:rsidR="004D05CA">
        <w:rPr>
          <w:rFonts w:ascii="Times New Roman" w:hAnsi="Times New Roman"/>
          <w:sz w:val="24"/>
          <w:szCs w:val="24"/>
        </w:rPr>
        <w:t xml:space="preserve"> </w:t>
      </w:r>
      <w:r>
        <w:rPr>
          <w:rFonts w:ascii="Times New Roman" w:hAnsi="Times New Roman"/>
          <w:sz w:val="24"/>
          <w:szCs w:val="24"/>
        </w:rPr>
        <w:t>despite important parallels</w:t>
      </w:r>
      <w:r w:rsidRPr="002F44AE">
        <w:rPr>
          <w:rFonts w:ascii="Times New Roman" w:hAnsi="Times New Roman"/>
          <w:sz w:val="24"/>
          <w:szCs w:val="24"/>
        </w:rPr>
        <w:t>.</w:t>
      </w:r>
      <w:r>
        <w:rPr>
          <w:rStyle w:val="EndnoteReference"/>
          <w:rFonts w:ascii="Times New Roman" w:hAnsi="Times New Roman"/>
          <w:sz w:val="24"/>
          <w:szCs w:val="24"/>
        </w:rPr>
        <w:endnoteReference w:id="3"/>
      </w:r>
      <w:r w:rsidRPr="002F44AE">
        <w:rPr>
          <w:rFonts w:ascii="Times New Roman" w:hAnsi="Times New Roman"/>
          <w:sz w:val="24"/>
          <w:szCs w:val="24"/>
        </w:rPr>
        <w:t xml:space="preserve"> This section discuss</w:t>
      </w:r>
      <w:r>
        <w:rPr>
          <w:rFonts w:ascii="Times New Roman" w:hAnsi="Times New Roman"/>
          <w:sz w:val="24"/>
          <w:szCs w:val="24"/>
        </w:rPr>
        <w:t>es</w:t>
      </w:r>
      <w:r w:rsidRPr="002F44AE">
        <w:rPr>
          <w:rFonts w:ascii="Times New Roman" w:hAnsi="Times New Roman"/>
          <w:sz w:val="24"/>
          <w:szCs w:val="24"/>
        </w:rPr>
        <w:t xml:space="preserve"> Bulgaria’s profound transformation in terms of inter-ethnic relations and points out the factors that make the ‘Bulgarian ethnic model’ successful, despite Turkey’s </w:t>
      </w:r>
      <w:r>
        <w:rPr>
          <w:rFonts w:ascii="Times New Roman" w:hAnsi="Times New Roman"/>
          <w:sz w:val="24"/>
          <w:szCs w:val="24"/>
        </w:rPr>
        <w:t xml:space="preserve">regional </w:t>
      </w:r>
      <w:r w:rsidRPr="002F44AE">
        <w:rPr>
          <w:rFonts w:ascii="Times New Roman" w:hAnsi="Times New Roman"/>
          <w:sz w:val="24"/>
          <w:szCs w:val="24"/>
        </w:rPr>
        <w:t xml:space="preserve">presence and influence as a close neighbor (an often-cited fear of Greek-Cypriots opposing a federal settlement). </w:t>
      </w:r>
    </w:p>
    <w:p w:rsidR="000A598D" w:rsidRPr="002F44AE" w:rsidRDefault="000A598D" w:rsidP="00374024">
      <w:pPr>
        <w:spacing w:line="480" w:lineRule="auto"/>
        <w:ind w:firstLine="720"/>
        <w:jc w:val="both"/>
        <w:rPr>
          <w:rFonts w:ascii="Times New Roman" w:hAnsi="Times New Roman"/>
          <w:sz w:val="24"/>
          <w:szCs w:val="24"/>
          <w:lang w:val="en-GB"/>
        </w:rPr>
      </w:pPr>
      <w:r w:rsidRPr="002F44AE">
        <w:rPr>
          <w:rFonts w:ascii="Times New Roman" w:hAnsi="Times New Roman"/>
          <w:sz w:val="24"/>
          <w:szCs w:val="24"/>
        </w:rPr>
        <w:t xml:space="preserve">Bulgaria </w:t>
      </w:r>
      <w:r>
        <w:rPr>
          <w:rFonts w:ascii="Times New Roman" w:hAnsi="Times New Roman"/>
          <w:sz w:val="24"/>
          <w:szCs w:val="24"/>
        </w:rPr>
        <w:t xml:space="preserve">has </w:t>
      </w:r>
      <w:r w:rsidRPr="002F44AE">
        <w:rPr>
          <w:rFonts w:ascii="Times New Roman" w:hAnsi="Times New Roman"/>
          <w:sz w:val="24"/>
          <w:szCs w:val="24"/>
        </w:rPr>
        <w:t>a tormented history in terms of interethnic relations</w:t>
      </w:r>
      <w:r>
        <w:rPr>
          <w:rFonts w:ascii="Times New Roman" w:hAnsi="Times New Roman"/>
          <w:sz w:val="24"/>
          <w:szCs w:val="24"/>
        </w:rPr>
        <w:t xml:space="preserve"> (Crampton 2002), making t</w:t>
      </w:r>
      <w:r w:rsidRPr="002F44AE">
        <w:rPr>
          <w:rFonts w:ascii="Times New Roman" w:hAnsi="Times New Roman"/>
          <w:sz w:val="24"/>
          <w:szCs w:val="24"/>
        </w:rPr>
        <w:t xml:space="preserve">he peaceful transformation of minority-majority relations and the success of the Bulgarian ethnic model </w:t>
      </w:r>
      <w:r>
        <w:rPr>
          <w:rFonts w:ascii="Times New Roman" w:hAnsi="Times New Roman"/>
          <w:sz w:val="24"/>
          <w:szCs w:val="24"/>
        </w:rPr>
        <w:t>particularly</w:t>
      </w:r>
      <w:r w:rsidRPr="002F44AE">
        <w:rPr>
          <w:rFonts w:ascii="Times New Roman" w:hAnsi="Times New Roman"/>
          <w:sz w:val="24"/>
          <w:szCs w:val="24"/>
        </w:rPr>
        <w:t xml:space="preserve"> striking. Bulgarian Turks were subject to systematic exclusionary policies and forced displacement throughout the 1980s. Todor Zhivkov, </w:t>
      </w:r>
      <w:r>
        <w:rPr>
          <w:rFonts w:ascii="Times New Roman" w:hAnsi="Times New Roman"/>
          <w:sz w:val="24"/>
          <w:szCs w:val="24"/>
        </w:rPr>
        <w:t>h</w:t>
      </w:r>
      <w:r w:rsidRPr="002F44AE">
        <w:rPr>
          <w:rFonts w:ascii="Times New Roman" w:hAnsi="Times New Roman"/>
          <w:sz w:val="24"/>
          <w:szCs w:val="24"/>
        </w:rPr>
        <w:t xml:space="preserve">ead of </w:t>
      </w:r>
      <w:r>
        <w:rPr>
          <w:rFonts w:ascii="Times New Roman" w:hAnsi="Times New Roman"/>
          <w:sz w:val="24"/>
          <w:szCs w:val="24"/>
        </w:rPr>
        <w:t xml:space="preserve">the </w:t>
      </w:r>
      <w:r w:rsidRPr="002F44AE">
        <w:rPr>
          <w:rFonts w:ascii="Times New Roman" w:hAnsi="Times New Roman"/>
          <w:sz w:val="24"/>
          <w:szCs w:val="24"/>
        </w:rPr>
        <w:t>Bulgarian state</w:t>
      </w:r>
      <w:r>
        <w:rPr>
          <w:rFonts w:ascii="Times New Roman" w:hAnsi="Times New Roman"/>
          <w:sz w:val="24"/>
          <w:szCs w:val="24"/>
        </w:rPr>
        <w:t>,</w:t>
      </w:r>
      <w:r w:rsidRPr="002F44AE">
        <w:rPr>
          <w:rFonts w:ascii="Times New Roman" w:hAnsi="Times New Roman"/>
          <w:sz w:val="24"/>
          <w:szCs w:val="24"/>
        </w:rPr>
        <w:t xml:space="preserve"> who ruled the country for more than 35 years until the collapse of the communist regime, played</w:t>
      </w:r>
      <w:r>
        <w:rPr>
          <w:rFonts w:ascii="Times New Roman" w:hAnsi="Times New Roman"/>
          <w:sz w:val="24"/>
          <w:szCs w:val="24"/>
        </w:rPr>
        <w:t xml:space="preserve"> a</w:t>
      </w:r>
      <w:r w:rsidRPr="002F44AE">
        <w:rPr>
          <w:rFonts w:ascii="Times New Roman" w:hAnsi="Times New Roman"/>
          <w:sz w:val="24"/>
          <w:szCs w:val="24"/>
        </w:rPr>
        <w:t xml:space="preserve"> key role in formulating and implementing ethnic homogenization.</w:t>
      </w:r>
      <w:r>
        <w:rPr>
          <w:rStyle w:val="EndnoteReference"/>
          <w:rFonts w:ascii="Times New Roman" w:hAnsi="Times New Roman"/>
          <w:sz w:val="24"/>
          <w:szCs w:val="24"/>
        </w:rPr>
        <w:endnoteReference w:id="4"/>
      </w:r>
      <w:r w:rsidR="004D05CA">
        <w:rPr>
          <w:rFonts w:ascii="Times New Roman" w:hAnsi="Times New Roman"/>
          <w:sz w:val="24"/>
          <w:szCs w:val="24"/>
        </w:rPr>
        <w:t xml:space="preserve"> </w:t>
      </w:r>
      <w:r>
        <w:rPr>
          <w:rFonts w:ascii="Times New Roman" w:hAnsi="Times New Roman"/>
          <w:sz w:val="24"/>
          <w:szCs w:val="24"/>
        </w:rPr>
        <w:t>Under his leadership,</w:t>
      </w:r>
      <w:r w:rsidR="004D05CA">
        <w:rPr>
          <w:rFonts w:ascii="Times New Roman" w:hAnsi="Times New Roman"/>
          <w:sz w:val="24"/>
          <w:szCs w:val="24"/>
        </w:rPr>
        <w:t xml:space="preserve"> </w:t>
      </w:r>
      <w:r>
        <w:rPr>
          <w:rFonts w:ascii="Times New Roman" w:hAnsi="Times New Roman"/>
          <w:sz w:val="24"/>
          <w:szCs w:val="24"/>
        </w:rPr>
        <w:t xml:space="preserve">members of </w:t>
      </w:r>
      <w:r w:rsidRPr="002F44AE">
        <w:rPr>
          <w:rFonts w:ascii="Times New Roman" w:hAnsi="Times New Roman"/>
          <w:sz w:val="24"/>
          <w:szCs w:val="24"/>
        </w:rPr>
        <w:t xml:space="preserve">minority communities were forced to change their names </w:t>
      </w:r>
      <w:r>
        <w:rPr>
          <w:rFonts w:ascii="Times New Roman" w:hAnsi="Times New Roman"/>
          <w:sz w:val="24"/>
          <w:szCs w:val="24"/>
        </w:rPr>
        <w:t>and</w:t>
      </w:r>
      <w:r w:rsidRPr="002F44AE">
        <w:rPr>
          <w:rFonts w:ascii="Times New Roman" w:hAnsi="Times New Roman"/>
          <w:sz w:val="24"/>
          <w:szCs w:val="24"/>
        </w:rPr>
        <w:t xml:space="preserve"> replace</w:t>
      </w:r>
      <w:r>
        <w:rPr>
          <w:rFonts w:ascii="Times New Roman" w:hAnsi="Times New Roman"/>
          <w:sz w:val="24"/>
          <w:szCs w:val="24"/>
        </w:rPr>
        <w:t xml:space="preserve"> them</w:t>
      </w:r>
      <w:r w:rsidRPr="002F44AE">
        <w:rPr>
          <w:rFonts w:ascii="Times New Roman" w:hAnsi="Times New Roman"/>
          <w:sz w:val="24"/>
          <w:szCs w:val="24"/>
        </w:rPr>
        <w:t xml:space="preserve"> with Slavic ones. The right to access education in their native language was denied</w:t>
      </w:r>
      <w:r>
        <w:rPr>
          <w:rFonts w:ascii="Times New Roman" w:hAnsi="Times New Roman"/>
          <w:sz w:val="24"/>
          <w:szCs w:val="24"/>
        </w:rPr>
        <w:t>,</w:t>
      </w:r>
      <w:r w:rsidRPr="002F44AE">
        <w:rPr>
          <w:rFonts w:ascii="Times New Roman" w:hAnsi="Times New Roman"/>
          <w:sz w:val="24"/>
          <w:szCs w:val="24"/>
        </w:rPr>
        <w:t xml:space="preserve"> and religious rights and freedoms w</w:t>
      </w:r>
      <w:r>
        <w:rPr>
          <w:rFonts w:ascii="Times New Roman" w:hAnsi="Times New Roman"/>
          <w:sz w:val="24"/>
          <w:szCs w:val="24"/>
        </w:rPr>
        <w:t>ere</w:t>
      </w:r>
      <w:r w:rsidR="00147C1E">
        <w:rPr>
          <w:rFonts w:ascii="Times New Roman" w:hAnsi="Times New Roman"/>
          <w:sz w:val="24"/>
          <w:szCs w:val="24"/>
        </w:rPr>
        <w:t xml:space="preserve"> </w:t>
      </w:r>
      <w:r>
        <w:rPr>
          <w:rFonts w:ascii="Times New Roman" w:hAnsi="Times New Roman"/>
          <w:sz w:val="24"/>
          <w:szCs w:val="24"/>
        </w:rPr>
        <w:t xml:space="preserve">removed (Crampton 2002, </w:t>
      </w:r>
      <w:r w:rsidRPr="002F44AE">
        <w:rPr>
          <w:rFonts w:ascii="Times New Roman" w:hAnsi="Times New Roman"/>
          <w:sz w:val="24"/>
          <w:szCs w:val="24"/>
        </w:rPr>
        <w:t>177</w:t>
      </w:r>
      <w:r>
        <w:rPr>
          <w:rFonts w:ascii="Times New Roman" w:hAnsi="Times New Roman"/>
          <w:sz w:val="24"/>
          <w:szCs w:val="24"/>
        </w:rPr>
        <w:t>; Bakalova 2006; Baeva and Kalinova 2012; Ata</w:t>
      </w:r>
      <w:r>
        <w:rPr>
          <w:rFonts w:ascii="Times New Roman" w:hAnsi="Times New Roman"/>
          <w:sz w:val="24"/>
          <w:szCs w:val="24"/>
          <w:lang w:val="tr-TR"/>
        </w:rPr>
        <w:t>ö</w:t>
      </w:r>
      <w:r>
        <w:rPr>
          <w:rFonts w:ascii="Times New Roman" w:hAnsi="Times New Roman"/>
          <w:sz w:val="24"/>
          <w:szCs w:val="24"/>
        </w:rPr>
        <w:t>v 1990</w:t>
      </w:r>
      <w:r w:rsidRPr="002F44AE">
        <w:rPr>
          <w:rFonts w:ascii="Times New Roman" w:hAnsi="Times New Roman"/>
          <w:sz w:val="24"/>
          <w:szCs w:val="24"/>
        </w:rPr>
        <w:t>). Zhivkov’s homogeni</w:t>
      </w:r>
      <w:r>
        <w:rPr>
          <w:rFonts w:ascii="Times New Roman" w:hAnsi="Times New Roman"/>
          <w:sz w:val="24"/>
          <w:szCs w:val="24"/>
        </w:rPr>
        <w:t>z</w:t>
      </w:r>
      <w:r w:rsidRPr="002F44AE">
        <w:rPr>
          <w:rFonts w:ascii="Times New Roman" w:hAnsi="Times New Roman"/>
          <w:sz w:val="24"/>
          <w:szCs w:val="24"/>
        </w:rPr>
        <w:t>ation campaign targeted more than one million people</w:t>
      </w:r>
      <w:r>
        <w:rPr>
          <w:rFonts w:ascii="Times New Roman" w:hAnsi="Times New Roman"/>
          <w:sz w:val="24"/>
          <w:szCs w:val="24"/>
        </w:rPr>
        <w:t>; of these,</w:t>
      </w:r>
      <w:r w:rsidRPr="002F44AE">
        <w:rPr>
          <w:rFonts w:ascii="Times New Roman" w:hAnsi="Times New Roman"/>
          <w:sz w:val="24"/>
          <w:szCs w:val="24"/>
        </w:rPr>
        <w:t xml:space="preserve"> the overwhelming majority </w:t>
      </w:r>
      <w:r>
        <w:rPr>
          <w:rFonts w:ascii="Times New Roman" w:hAnsi="Times New Roman"/>
          <w:sz w:val="24"/>
          <w:szCs w:val="24"/>
        </w:rPr>
        <w:t xml:space="preserve">were </w:t>
      </w:r>
      <w:r w:rsidRPr="002F44AE">
        <w:rPr>
          <w:rFonts w:ascii="Times New Roman" w:hAnsi="Times New Roman"/>
          <w:sz w:val="24"/>
          <w:szCs w:val="24"/>
        </w:rPr>
        <w:t>ethnic Turks.</w:t>
      </w:r>
      <w:r w:rsidRPr="002F44AE">
        <w:rPr>
          <w:rStyle w:val="EndnoteReference"/>
          <w:rFonts w:ascii="Times New Roman" w:hAnsi="Times New Roman"/>
          <w:sz w:val="24"/>
          <w:szCs w:val="24"/>
        </w:rPr>
        <w:endnoteReference w:id="5"/>
      </w:r>
      <w:r w:rsidRPr="002F44AE">
        <w:rPr>
          <w:rFonts w:ascii="Times New Roman" w:hAnsi="Times New Roman"/>
          <w:sz w:val="24"/>
          <w:szCs w:val="24"/>
        </w:rPr>
        <w:t xml:space="preserve"> His policies triggered mass demonstrations and protests in the city centers</w:t>
      </w:r>
      <w:r>
        <w:rPr>
          <w:rFonts w:ascii="Times New Roman" w:hAnsi="Times New Roman"/>
          <w:sz w:val="24"/>
          <w:szCs w:val="24"/>
        </w:rPr>
        <w:t>;</w:t>
      </w:r>
      <w:r w:rsidRPr="002F44AE">
        <w:rPr>
          <w:rFonts w:ascii="Times New Roman" w:hAnsi="Times New Roman"/>
          <w:sz w:val="24"/>
          <w:szCs w:val="24"/>
        </w:rPr>
        <w:t xml:space="preserve"> the government pushed back violently, and several demonstrators were shot </w:t>
      </w:r>
      <w:r>
        <w:rPr>
          <w:rFonts w:ascii="Times New Roman" w:hAnsi="Times New Roman"/>
          <w:sz w:val="24"/>
          <w:szCs w:val="24"/>
        </w:rPr>
        <w:t xml:space="preserve">and killed </w:t>
      </w:r>
      <w:r w:rsidRPr="002F44AE">
        <w:rPr>
          <w:rFonts w:ascii="Times New Roman" w:hAnsi="Times New Roman"/>
          <w:sz w:val="24"/>
          <w:szCs w:val="24"/>
        </w:rPr>
        <w:t>by militia.</w:t>
      </w:r>
      <w:r w:rsidRPr="002F44AE">
        <w:rPr>
          <w:rStyle w:val="EndnoteReference"/>
          <w:rFonts w:ascii="Times New Roman" w:hAnsi="Times New Roman"/>
          <w:sz w:val="24"/>
          <w:szCs w:val="24"/>
        </w:rPr>
        <w:endnoteReference w:id="6"/>
      </w:r>
      <w:r w:rsidRPr="002F44AE">
        <w:rPr>
          <w:rFonts w:ascii="Times New Roman" w:hAnsi="Times New Roman"/>
          <w:sz w:val="24"/>
          <w:szCs w:val="24"/>
        </w:rPr>
        <w:t xml:space="preserve"> According to a Helsinki Watch Committee report</w:t>
      </w:r>
      <w:r>
        <w:rPr>
          <w:rFonts w:ascii="Times New Roman" w:hAnsi="Times New Roman"/>
          <w:sz w:val="24"/>
          <w:szCs w:val="24"/>
        </w:rPr>
        <w:t>,</w:t>
      </w:r>
      <w:r w:rsidRPr="002F44AE">
        <w:rPr>
          <w:rFonts w:ascii="Times New Roman" w:hAnsi="Times New Roman"/>
          <w:sz w:val="24"/>
          <w:szCs w:val="24"/>
        </w:rPr>
        <w:t xml:space="preserve"> more than 100 people died during</w:t>
      </w:r>
      <w:r w:rsidRPr="002F44AE">
        <w:rPr>
          <w:rFonts w:ascii="Times New Roman" w:hAnsi="Times New Roman"/>
          <w:sz w:val="24"/>
          <w:szCs w:val="24"/>
          <w:lang w:val="en-GB"/>
        </w:rPr>
        <w:t xml:space="preserve"> the</w:t>
      </w:r>
      <w:r w:rsidRPr="002F44AE">
        <w:rPr>
          <w:rFonts w:ascii="Times New Roman" w:hAnsi="Times New Roman"/>
          <w:sz w:val="24"/>
          <w:szCs w:val="24"/>
        </w:rPr>
        <w:t xml:space="preserve"> demonstrations in Kardzhali in the winter of 1984-85</w:t>
      </w:r>
      <w:r>
        <w:rPr>
          <w:rFonts w:ascii="Times New Roman" w:hAnsi="Times New Roman"/>
          <w:sz w:val="24"/>
          <w:szCs w:val="24"/>
        </w:rPr>
        <w:t>,</w:t>
      </w:r>
      <w:r w:rsidRPr="002F44AE">
        <w:rPr>
          <w:rFonts w:ascii="Times New Roman" w:hAnsi="Times New Roman"/>
          <w:sz w:val="24"/>
          <w:szCs w:val="24"/>
        </w:rPr>
        <w:t xml:space="preserve"> and 250 protestors were imprisoned</w:t>
      </w:r>
      <w:r>
        <w:rPr>
          <w:rFonts w:ascii="Times New Roman" w:hAnsi="Times New Roman"/>
          <w:sz w:val="24"/>
          <w:szCs w:val="24"/>
        </w:rPr>
        <w:t xml:space="preserve"> (Zang </w:t>
      </w:r>
      <w:r w:rsidRPr="002F44AE">
        <w:rPr>
          <w:rFonts w:ascii="Times New Roman" w:hAnsi="Times New Roman"/>
          <w:sz w:val="24"/>
          <w:szCs w:val="24"/>
        </w:rPr>
        <w:t>1989)</w:t>
      </w:r>
      <w:r>
        <w:rPr>
          <w:rFonts w:ascii="Times New Roman" w:hAnsi="Times New Roman"/>
          <w:sz w:val="24"/>
          <w:szCs w:val="24"/>
        </w:rPr>
        <w:t xml:space="preserve">. Between </w:t>
      </w:r>
      <w:r w:rsidRPr="0097314F">
        <w:rPr>
          <w:rFonts w:ascii="Times New Roman" w:hAnsi="Times New Roman"/>
          <w:sz w:val="24"/>
          <w:szCs w:val="24"/>
        </w:rPr>
        <w:t>300 and 1,500</w:t>
      </w:r>
      <w:r w:rsidRPr="002F44AE">
        <w:rPr>
          <w:rFonts w:ascii="Times New Roman" w:hAnsi="Times New Roman"/>
          <w:sz w:val="24"/>
          <w:szCs w:val="24"/>
        </w:rPr>
        <w:t xml:space="preserve"> people </w:t>
      </w:r>
      <w:r>
        <w:rPr>
          <w:rFonts w:ascii="Times New Roman" w:hAnsi="Times New Roman"/>
          <w:sz w:val="24"/>
          <w:szCs w:val="24"/>
        </w:rPr>
        <w:t>in</w:t>
      </w:r>
      <w:r w:rsidRPr="002F44AE">
        <w:rPr>
          <w:rFonts w:ascii="Times New Roman" w:hAnsi="Times New Roman"/>
          <w:sz w:val="24"/>
          <w:szCs w:val="24"/>
        </w:rPr>
        <w:t xml:space="preserve"> the Turkish minority </w:t>
      </w:r>
      <w:r w:rsidRPr="002F44AE">
        <w:rPr>
          <w:rFonts w:ascii="Times New Roman" w:hAnsi="Times New Roman"/>
          <w:sz w:val="24"/>
          <w:szCs w:val="24"/>
        </w:rPr>
        <w:lastRenderedPageBreak/>
        <w:t xml:space="preserve">community were killed </w:t>
      </w:r>
      <w:r>
        <w:rPr>
          <w:rFonts w:ascii="Times New Roman" w:hAnsi="Times New Roman"/>
          <w:sz w:val="24"/>
          <w:szCs w:val="24"/>
        </w:rPr>
        <w:t>during the years of the</w:t>
      </w:r>
      <w:r w:rsidR="00147C1E">
        <w:rPr>
          <w:rFonts w:ascii="Times New Roman" w:hAnsi="Times New Roman"/>
          <w:sz w:val="24"/>
          <w:szCs w:val="24"/>
        </w:rPr>
        <w:t xml:space="preserve"> </w:t>
      </w:r>
      <w:r>
        <w:rPr>
          <w:rFonts w:ascii="Times New Roman" w:hAnsi="Times New Roman"/>
          <w:sz w:val="24"/>
          <w:szCs w:val="24"/>
        </w:rPr>
        <w:t xml:space="preserve">‘national revival process’ a term that came to define discriminatory policies by the Bulgarian state (Laber 1987, </w:t>
      </w:r>
      <w:r w:rsidRPr="002F44AE">
        <w:rPr>
          <w:rFonts w:ascii="Times New Roman" w:hAnsi="Times New Roman"/>
          <w:sz w:val="24"/>
          <w:szCs w:val="24"/>
        </w:rPr>
        <w:t>4). Suspected leaders of the Turkish minority community were detained and sent to Belene camp</w:t>
      </w:r>
      <w:r w:rsidRPr="002F44AE">
        <w:rPr>
          <w:rStyle w:val="EndnoteReference"/>
          <w:rFonts w:ascii="Times New Roman" w:hAnsi="Times New Roman"/>
          <w:sz w:val="24"/>
          <w:szCs w:val="24"/>
        </w:rPr>
        <w:endnoteReference w:id="7"/>
      </w:r>
      <w:r>
        <w:rPr>
          <w:rFonts w:ascii="Times New Roman" w:hAnsi="Times New Roman"/>
          <w:sz w:val="24"/>
          <w:szCs w:val="24"/>
        </w:rPr>
        <w:t xml:space="preserve"> while</w:t>
      </w:r>
      <w:r w:rsidR="004D05CA">
        <w:rPr>
          <w:rFonts w:ascii="Times New Roman" w:hAnsi="Times New Roman"/>
          <w:sz w:val="24"/>
          <w:szCs w:val="24"/>
        </w:rPr>
        <w:t xml:space="preserve"> </w:t>
      </w:r>
      <w:r>
        <w:rPr>
          <w:rFonts w:ascii="Times New Roman" w:hAnsi="Times New Roman"/>
          <w:sz w:val="24"/>
          <w:szCs w:val="24"/>
        </w:rPr>
        <w:t>t</w:t>
      </w:r>
      <w:r w:rsidRPr="002F44AE">
        <w:rPr>
          <w:rFonts w:ascii="Times New Roman" w:hAnsi="Times New Roman"/>
          <w:sz w:val="24"/>
          <w:szCs w:val="24"/>
        </w:rPr>
        <w:t xml:space="preserve">he anti-minority policies took a turn for the worse in May 1989 when Zhivkov announced that the borders </w:t>
      </w:r>
      <w:r>
        <w:rPr>
          <w:rFonts w:ascii="Times New Roman" w:hAnsi="Times New Roman"/>
          <w:sz w:val="24"/>
          <w:szCs w:val="24"/>
        </w:rPr>
        <w:t>would be</w:t>
      </w:r>
      <w:r w:rsidRPr="002F44AE">
        <w:rPr>
          <w:rFonts w:ascii="Times New Roman" w:hAnsi="Times New Roman"/>
          <w:sz w:val="24"/>
          <w:szCs w:val="24"/>
        </w:rPr>
        <w:t xml:space="preserve"> opened to allow anyone </w:t>
      </w:r>
      <w:r>
        <w:rPr>
          <w:rFonts w:ascii="Times New Roman" w:hAnsi="Times New Roman"/>
          <w:sz w:val="24"/>
          <w:szCs w:val="24"/>
        </w:rPr>
        <w:t>who wanted to leave</w:t>
      </w:r>
      <w:r w:rsidRPr="002F44AE">
        <w:rPr>
          <w:rFonts w:ascii="Times New Roman" w:hAnsi="Times New Roman"/>
          <w:sz w:val="24"/>
          <w:szCs w:val="24"/>
        </w:rPr>
        <w:t xml:space="preserve"> Bulgaria</w:t>
      </w:r>
      <w:r>
        <w:rPr>
          <w:rFonts w:ascii="Times New Roman" w:hAnsi="Times New Roman"/>
          <w:sz w:val="24"/>
          <w:szCs w:val="24"/>
        </w:rPr>
        <w:t xml:space="preserve"> to do so</w:t>
      </w:r>
      <w:r w:rsidRPr="002F44AE">
        <w:rPr>
          <w:rFonts w:ascii="Times New Roman" w:hAnsi="Times New Roman"/>
          <w:sz w:val="24"/>
          <w:szCs w:val="24"/>
        </w:rPr>
        <w:t>. Between June and August 1989, more than 340,000 Turk</w:t>
      </w:r>
      <w:r>
        <w:rPr>
          <w:rFonts w:ascii="Times New Roman" w:hAnsi="Times New Roman"/>
          <w:sz w:val="24"/>
          <w:szCs w:val="24"/>
        </w:rPr>
        <w:t>ish Bulgarians</w:t>
      </w:r>
      <w:r w:rsidRPr="002F44AE">
        <w:rPr>
          <w:rFonts w:ascii="Times New Roman" w:hAnsi="Times New Roman"/>
          <w:sz w:val="24"/>
          <w:szCs w:val="24"/>
        </w:rPr>
        <w:t xml:space="preserve"> left for Turkey</w:t>
      </w:r>
      <w:r>
        <w:rPr>
          <w:rFonts w:ascii="Times New Roman" w:hAnsi="Times New Roman"/>
          <w:sz w:val="24"/>
          <w:szCs w:val="24"/>
        </w:rPr>
        <w:t xml:space="preserve"> (Konukman, 1990, 61-</w:t>
      </w:r>
      <w:r w:rsidRPr="002F44AE">
        <w:rPr>
          <w:rFonts w:ascii="Times New Roman" w:hAnsi="Times New Roman"/>
          <w:sz w:val="24"/>
          <w:szCs w:val="24"/>
        </w:rPr>
        <w:t>71).</w:t>
      </w:r>
    </w:p>
    <w:p w:rsidR="000A598D" w:rsidRPr="002F44AE" w:rsidRDefault="000A598D" w:rsidP="00374024">
      <w:pPr>
        <w:spacing w:line="480" w:lineRule="auto"/>
        <w:ind w:firstLine="720"/>
        <w:jc w:val="both"/>
        <w:rPr>
          <w:rFonts w:ascii="Times New Roman" w:hAnsi="Times New Roman"/>
          <w:sz w:val="24"/>
          <w:szCs w:val="24"/>
        </w:rPr>
      </w:pPr>
      <w:r w:rsidRPr="002F44AE">
        <w:rPr>
          <w:rFonts w:ascii="Times New Roman" w:hAnsi="Times New Roman"/>
          <w:sz w:val="24"/>
          <w:szCs w:val="24"/>
        </w:rPr>
        <w:t>What makes Bulgaria a counterintuitive case is that the country</w:t>
      </w:r>
      <w:r>
        <w:rPr>
          <w:rFonts w:ascii="Times New Roman" w:hAnsi="Times New Roman"/>
          <w:sz w:val="24"/>
          <w:szCs w:val="24"/>
        </w:rPr>
        <w:t xml:space="preserve"> made a surprising U-turn, seeing</w:t>
      </w:r>
      <w:r w:rsidRPr="002F44AE">
        <w:rPr>
          <w:rFonts w:ascii="Times New Roman" w:hAnsi="Times New Roman"/>
          <w:sz w:val="24"/>
          <w:szCs w:val="24"/>
        </w:rPr>
        <w:t xml:space="preserve"> a peaceful transformation of inter-ethnic relations and </w:t>
      </w:r>
      <w:r>
        <w:rPr>
          <w:rFonts w:ascii="Times New Roman" w:hAnsi="Times New Roman"/>
          <w:sz w:val="24"/>
          <w:szCs w:val="24"/>
        </w:rPr>
        <w:t xml:space="preserve">the voluntary return of approximately </w:t>
      </w:r>
      <w:r w:rsidRPr="002F44AE">
        <w:rPr>
          <w:rFonts w:ascii="Times New Roman" w:hAnsi="Times New Roman"/>
          <w:sz w:val="24"/>
          <w:szCs w:val="24"/>
        </w:rPr>
        <w:t xml:space="preserve">40 per cent of forcibly </w:t>
      </w:r>
      <w:r>
        <w:rPr>
          <w:rFonts w:ascii="Times New Roman" w:hAnsi="Times New Roman"/>
          <w:sz w:val="24"/>
          <w:szCs w:val="24"/>
        </w:rPr>
        <w:t>expelled</w:t>
      </w:r>
      <w:r w:rsidRPr="002F44AE">
        <w:rPr>
          <w:rFonts w:ascii="Times New Roman" w:hAnsi="Times New Roman"/>
          <w:sz w:val="24"/>
          <w:szCs w:val="24"/>
        </w:rPr>
        <w:t xml:space="preserve"> Turks </w:t>
      </w:r>
      <w:r>
        <w:rPr>
          <w:rFonts w:ascii="Times New Roman" w:hAnsi="Times New Roman"/>
          <w:sz w:val="24"/>
          <w:szCs w:val="24"/>
        </w:rPr>
        <w:t>(Kutlay</w:t>
      </w:r>
      <w:r w:rsidR="004D05CA">
        <w:rPr>
          <w:rFonts w:ascii="Times New Roman" w:hAnsi="Times New Roman"/>
          <w:sz w:val="24"/>
          <w:szCs w:val="24"/>
        </w:rPr>
        <w:t xml:space="preserve"> </w:t>
      </w:r>
      <w:r w:rsidRPr="002F44AE">
        <w:rPr>
          <w:rFonts w:ascii="Times New Roman" w:hAnsi="Times New Roman"/>
          <w:sz w:val="24"/>
          <w:szCs w:val="24"/>
        </w:rPr>
        <w:t xml:space="preserve">2017). </w:t>
      </w:r>
      <w:r>
        <w:rPr>
          <w:rFonts w:ascii="Times New Roman" w:hAnsi="Times New Roman"/>
          <w:sz w:val="24"/>
          <w:szCs w:val="24"/>
        </w:rPr>
        <w:t>The</w:t>
      </w:r>
      <w:r w:rsidRPr="002F44AE">
        <w:rPr>
          <w:rFonts w:ascii="Times New Roman" w:hAnsi="Times New Roman"/>
          <w:sz w:val="24"/>
          <w:szCs w:val="24"/>
        </w:rPr>
        <w:t xml:space="preserve"> Bulgarian transition c</w:t>
      </w:r>
      <w:r>
        <w:rPr>
          <w:rFonts w:ascii="Times New Roman" w:hAnsi="Times New Roman"/>
          <w:sz w:val="24"/>
          <w:szCs w:val="24"/>
        </w:rPr>
        <w:t>an</w:t>
      </w:r>
      <w:r w:rsidRPr="002F44AE">
        <w:rPr>
          <w:rFonts w:ascii="Times New Roman" w:hAnsi="Times New Roman"/>
          <w:sz w:val="24"/>
          <w:szCs w:val="24"/>
        </w:rPr>
        <w:t xml:space="preserve"> be attributed to three main factors feed</w:t>
      </w:r>
      <w:r>
        <w:rPr>
          <w:rFonts w:ascii="Times New Roman" w:hAnsi="Times New Roman"/>
          <w:sz w:val="24"/>
          <w:szCs w:val="24"/>
        </w:rPr>
        <w:t>ing</w:t>
      </w:r>
      <w:r w:rsidRPr="002F44AE">
        <w:rPr>
          <w:rFonts w:ascii="Times New Roman" w:hAnsi="Times New Roman"/>
          <w:sz w:val="24"/>
          <w:szCs w:val="24"/>
        </w:rPr>
        <w:t xml:space="preserve"> into each other: political leadership, institutional power-sharing, and the enabling role of the EU.</w:t>
      </w:r>
    </w:p>
    <w:p w:rsidR="000A598D" w:rsidRDefault="000A598D" w:rsidP="00374024">
      <w:pPr>
        <w:spacing w:line="480" w:lineRule="auto"/>
        <w:jc w:val="both"/>
        <w:rPr>
          <w:rFonts w:ascii="Times New Roman" w:hAnsi="Times New Roman"/>
          <w:b/>
          <w:i/>
          <w:sz w:val="24"/>
          <w:szCs w:val="24"/>
        </w:rPr>
      </w:pPr>
    </w:p>
    <w:p w:rsidR="000A598D" w:rsidRPr="006516EB" w:rsidRDefault="000A598D" w:rsidP="00374024">
      <w:pPr>
        <w:spacing w:line="480" w:lineRule="auto"/>
        <w:jc w:val="both"/>
        <w:rPr>
          <w:rFonts w:ascii="Times New Roman" w:hAnsi="Times New Roman"/>
          <w:i/>
          <w:sz w:val="24"/>
          <w:szCs w:val="24"/>
        </w:rPr>
      </w:pPr>
      <w:r w:rsidRPr="006516EB">
        <w:rPr>
          <w:rFonts w:ascii="Times New Roman" w:hAnsi="Times New Roman"/>
          <w:i/>
          <w:sz w:val="24"/>
          <w:szCs w:val="24"/>
        </w:rPr>
        <w:t xml:space="preserve">Political leadership and the </w:t>
      </w:r>
      <w:r>
        <w:rPr>
          <w:rFonts w:ascii="Times New Roman" w:hAnsi="Times New Roman"/>
          <w:i/>
          <w:sz w:val="24"/>
          <w:szCs w:val="24"/>
        </w:rPr>
        <w:t>r</w:t>
      </w:r>
      <w:r w:rsidRPr="006516EB">
        <w:rPr>
          <w:rFonts w:ascii="Times New Roman" w:hAnsi="Times New Roman"/>
          <w:i/>
          <w:sz w:val="24"/>
          <w:szCs w:val="24"/>
        </w:rPr>
        <w:t xml:space="preserve">ole of </w:t>
      </w:r>
      <w:r>
        <w:rPr>
          <w:rFonts w:ascii="Times New Roman" w:hAnsi="Times New Roman"/>
          <w:i/>
          <w:sz w:val="24"/>
          <w:szCs w:val="24"/>
        </w:rPr>
        <w:t>a</w:t>
      </w:r>
      <w:r w:rsidRPr="006516EB">
        <w:rPr>
          <w:rFonts w:ascii="Times New Roman" w:hAnsi="Times New Roman"/>
          <w:i/>
          <w:sz w:val="24"/>
          <w:szCs w:val="24"/>
        </w:rPr>
        <w:t xml:space="preserve">pologies </w:t>
      </w:r>
    </w:p>
    <w:p w:rsidR="000A598D" w:rsidRPr="002F44AE" w:rsidRDefault="000A598D" w:rsidP="00374024">
      <w:pPr>
        <w:spacing w:line="480" w:lineRule="auto"/>
        <w:jc w:val="both"/>
        <w:rPr>
          <w:rFonts w:ascii="Times New Roman" w:hAnsi="Times New Roman"/>
          <w:sz w:val="24"/>
          <w:szCs w:val="24"/>
        </w:rPr>
      </w:pPr>
      <w:r w:rsidRPr="002F44AE">
        <w:rPr>
          <w:rFonts w:ascii="Times New Roman" w:hAnsi="Times New Roman"/>
          <w:sz w:val="24"/>
          <w:szCs w:val="24"/>
        </w:rPr>
        <w:t>On 10 November 1989, Todor Zhivkov was ousted from office.</w:t>
      </w:r>
      <w:r>
        <w:rPr>
          <w:rStyle w:val="EndnoteReference"/>
          <w:rFonts w:ascii="Times New Roman" w:hAnsi="Times New Roman"/>
          <w:sz w:val="24"/>
          <w:szCs w:val="24"/>
        </w:rPr>
        <w:endnoteReference w:id="8"/>
      </w:r>
      <w:r w:rsidRPr="002F44AE">
        <w:rPr>
          <w:rFonts w:ascii="Times New Roman" w:hAnsi="Times New Roman"/>
          <w:sz w:val="24"/>
          <w:szCs w:val="24"/>
        </w:rPr>
        <w:t xml:space="preserve"> His removal triggered a series of unexpected events that led to </w:t>
      </w:r>
      <w:r>
        <w:rPr>
          <w:rFonts w:ascii="Times New Roman" w:hAnsi="Times New Roman"/>
          <w:sz w:val="24"/>
          <w:szCs w:val="24"/>
        </w:rPr>
        <w:t xml:space="preserve">a </w:t>
      </w:r>
      <w:r w:rsidRPr="002F44AE">
        <w:rPr>
          <w:rFonts w:ascii="Times New Roman" w:hAnsi="Times New Roman"/>
          <w:sz w:val="24"/>
          <w:szCs w:val="24"/>
        </w:rPr>
        <w:t>regime change. The new Bulgarian elite played a critical role in shaping the conditions of transition and inform</w:t>
      </w:r>
      <w:r>
        <w:rPr>
          <w:rFonts w:ascii="Times New Roman" w:hAnsi="Times New Roman"/>
          <w:sz w:val="24"/>
          <w:szCs w:val="24"/>
        </w:rPr>
        <w:t>ing</w:t>
      </w:r>
      <w:r w:rsidRPr="002F44AE">
        <w:rPr>
          <w:rFonts w:ascii="Times New Roman" w:hAnsi="Times New Roman"/>
          <w:sz w:val="24"/>
          <w:szCs w:val="24"/>
        </w:rPr>
        <w:t xml:space="preserve"> the post-transition political equilibrium. </w:t>
      </w:r>
      <w:r>
        <w:rPr>
          <w:rFonts w:ascii="Times New Roman" w:hAnsi="Times New Roman"/>
          <w:sz w:val="24"/>
          <w:szCs w:val="24"/>
        </w:rPr>
        <w:t>T</w:t>
      </w:r>
      <w:r w:rsidRPr="002F44AE">
        <w:rPr>
          <w:rFonts w:ascii="Times New Roman" w:hAnsi="Times New Roman"/>
          <w:sz w:val="24"/>
          <w:szCs w:val="24"/>
        </w:rPr>
        <w:t>wo lead</w:t>
      </w:r>
      <w:r>
        <w:rPr>
          <w:rFonts w:ascii="Times New Roman" w:hAnsi="Times New Roman"/>
          <w:sz w:val="24"/>
          <w:szCs w:val="24"/>
        </w:rPr>
        <w:t>ers, Zhelyu</w:t>
      </w:r>
      <w:r w:rsidR="004D05CA">
        <w:rPr>
          <w:rFonts w:ascii="Times New Roman" w:hAnsi="Times New Roman"/>
          <w:sz w:val="24"/>
          <w:szCs w:val="24"/>
        </w:rPr>
        <w:t xml:space="preserve"> </w:t>
      </w:r>
      <w:r>
        <w:rPr>
          <w:rFonts w:ascii="Times New Roman" w:hAnsi="Times New Roman"/>
          <w:sz w:val="24"/>
          <w:szCs w:val="24"/>
        </w:rPr>
        <w:t>Zhelev and Ahmet Dog</w:t>
      </w:r>
      <w:r w:rsidRPr="002F44AE">
        <w:rPr>
          <w:rFonts w:ascii="Times New Roman" w:hAnsi="Times New Roman"/>
          <w:sz w:val="24"/>
          <w:szCs w:val="24"/>
        </w:rPr>
        <w:t xml:space="preserve">an, </w:t>
      </w:r>
      <w:r>
        <w:rPr>
          <w:rFonts w:ascii="Times New Roman" w:hAnsi="Times New Roman"/>
          <w:sz w:val="24"/>
          <w:szCs w:val="24"/>
        </w:rPr>
        <w:t>spearheaded a consensus form of politics that bridged the</w:t>
      </w:r>
      <w:r w:rsidRPr="002F44AE">
        <w:rPr>
          <w:rFonts w:ascii="Times New Roman" w:hAnsi="Times New Roman"/>
          <w:sz w:val="24"/>
          <w:szCs w:val="24"/>
        </w:rPr>
        <w:t xml:space="preserve"> conflicting parties</w:t>
      </w:r>
      <w:r>
        <w:rPr>
          <w:rFonts w:ascii="Times New Roman" w:hAnsi="Times New Roman"/>
          <w:sz w:val="24"/>
          <w:szCs w:val="24"/>
        </w:rPr>
        <w:t xml:space="preserve"> and allowed for the Turkish-Bulgarian minority to participate more active in public life; governing coalitions which included the Turkish minority became the norm in the country partly as a result of the country adopting a PR (proportional representation) system with a low national threshold (4 per cent).</w:t>
      </w:r>
      <w:r>
        <w:rPr>
          <w:rStyle w:val="EndnoteReference"/>
          <w:rFonts w:ascii="Times New Roman" w:hAnsi="Times New Roman"/>
          <w:sz w:val="24"/>
          <w:szCs w:val="24"/>
        </w:rPr>
        <w:endnoteReference w:id="9"/>
      </w:r>
    </w:p>
    <w:p w:rsidR="000A598D" w:rsidRPr="002F44AE" w:rsidRDefault="000A598D" w:rsidP="00374024">
      <w:pPr>
        <w:spacing w:line="480" w:lineRule="auto"/>
        <w:ind w:firstLine="720"/>
        <w:jc w:val="both"/>
        <w:rPr>
          <w:rFonts w:ascii="Times New Roman" w:hAnsi="Times New Roman"/>
          <w:sz w:val="24"/>
          <w:szCs w:val="24"/>
        </w:rPr>
      </w:pPr>
      <w:r w:rsidRPr="002F44AE">
        <w:rPr>
          <w:rFonts w:ascii="Times New Roman" w:hAnsi="Times New Roman"/>
          <w:sz w:val="24"/>
          <w:szCs w:val="24"/>
        </w:rPr>
        <w:t xml:space="preserve">In the </w:t>
      </w:r>
      <w:r>
        <w:rPr>
          <w:rFonts w:ascii="Times New Roman" w:hAnsi="Times New Roman"/>
          <w:sz w:val="24"/>
          <w:szCs w:val="24"/>
        </w:rPr>
        <w:t>course of the</w:t>
      </w:r>
      <w:r w:rsidRPr="002F44AE">
        <w:rPr>
          <w:rFonts w:ascii="Times New Roman" w:hAnsi="Times New Roman"/>
          <w:sz w:val="24"/>
          <w:szCs w:val="24"/>
        </w:rPr>
        <w:t xml:space="preserve"> democratic transition, pro-democracy forces formed a new political platform called </w:t>
      </w:r>
      <w:r>
        <w:rPr>
          <w:rFonts w:ascii="Times New Roman" w:hAnsi="Times New Roman"/>
          <w:sz w:val="24"/>
          <w:szCs w:val="24"/>
        </w:rPr>
        <w:t xml:space="preserve">the </w:t>
      </w:r>
      <w:r w:rsidRPr="002F44AE">
        <w:rPr>
          <w:rFonts w:ascii="Times New Roman" w:hAnsi="Times New Roman"/>
          <w:sz w:val="24"/>
          <w:szCs w:val="24"/>
        </w:rPr>
        <w:t>Union of Democratic Forces (UDF). Zhelyu</w:t>
      </w:r>
      <w:r w:rsidR="004D05CA">
        <w:rPr>
          <w:rFonts w:ascii="Times New Roman" w:hAnsi="Times New Roman"/>
          <w:sz w:val="24"/>
          <w:szCs w:val="24"/>
        </w:rPr>
        <w:t xml:space="preserve"> </w:t>
      </w:r>
      <w:r w:rsidRPr="002F44AE">
        <w:rPr>
          <w:rFonts w:ascii="Times New Roman" w:hAnsi="Times New Roman"/>
          <w:sz w:val="24"/>
          <w:szCs w:val="24"/>
        </w:rPr>
        <w:t>Zhelev</w:t>
      </w:r>
      <w:r w:rsidR="004D05CA">
        <w:rPr>
          <w:rFonts w:ascii="Times New Roman" w:hAnsi="Times New Roman"/>
          <w:sz w:val="24"/>
          <w:szCs w:val="24"/>
        </w:rPr>
        <w:t xml:space="preserve"> </w:t>
      </w:r>
      <w:r>
        <w:rPr>
          <w:rFonts w:ascii="Times New Roman" w:hAnsi="Times New Roman"/>
          <w:sz w:val="24"/>
          <w:szCs w:val="24"/>
        </w:rPr>
        <w:t xml:space="preserve">was </w:t>
      </w:r>
      <w:r w:rsidRPr="002F44AE">
        <w:rPr>
          <w:rFonts w:ascii="Times New Roman" w:hAnsi="Times New Roman"/>
          <w:sz w:val="24"/>
          <w:szCs w:val="24"/>
        </w:rPr>
        <w:lastRenderedPageBreak/>
        <w:t xml:space="preserve">elected the first leader of the group </w:t>
      </w:r>
      <w:r>
        <w:rPr>
          <w:rFonts w:ascii="Times New Roman" w:hAnsi="Times New Roman"/>
          <w:sz w:val="24"/>
          <w:szCs w:val="24"/>
        </w:rPr>
        <w:t>and</w:t>
      </w:r>
      <w:r w:rsidRPr="002F44AE">
        <w:rPr>
          <w:rFonts w:ascii="Times New Roman" w:hAnsi="Times New Roman"/>
          <w:sz w:val="24"/>
          <w:szCs w:val="24"/>
        </w:rPr>
        <w:t xml:space="preserve"> became Bulgaria’s first democratically elected President on 22 January 1992. Zhelev criticized the </w:t>
      </w:r>
      <w:r>
        <w:rPr>
          <w:rFonts w:ascii="Times New Roman" w:hAnsi="Times New Roman"/>
          <w:sz w:val="24"/>
          <w:szCs w:val="24"/>
        </w:rPr>
        <w:t>treatment of the Turkish community by</w:t>
      </w:r>
      <w:r w:rsidRPr="002F44AE">
        <w:rPr>
          <w:rFonts w:ascii="Times New Roman" w:hAnsi="Times New Roman"/>
          <w:sz w:val="24"/>
          <w:szCs w:val="24"/>
        </w:rPr>
        <w:t xml:space="preserve"> former Bulgarian elites. </w:t>
      </w:r>
      <w:r>
        <w:rPr>
          <w:rFonts w:ascii="Times New Roman" w:hAnsi="Times New Roman"/>
          <w:sz w:val="24"/>
          <w:szCs w:val="24"/>
        </w:rPr>
        <w:t>He</w:t>
      </w:r>
      <w:r w:rsidRPr="002F44AE">
        <w:rPr>
          <w:rFonts w:ascii="Times New Roman" w:hAnsi="Times New Roman"/>
          <w:sz w:val="24"/>
          <w:szCs w:val="24"/>
        </w:rPr>
        <w:t xml:space="preserve"> recognized that denial of the mass sufferings experienced in</w:t>
      </w:r>
      <w:r>
        <w:rPr>
          <w:rFonts w:ascii="Times New Roman" w:hAnsi="Times New Roman"/>
          <w:sz w:val="24"/>
          <w:szCs w:val="24"/>
        </w:rPr>
        <w:t xml:space="preserve"> the</w:t>
      </w:r>
      <w:r w:rsidRPr="002F44AE">
        <w:rPr>
          <w:rFonts w:ascii="Times New Roman" w:hAnsi="Times New Roman"/>
          <w:sz w:val="24"/>
          <w:szCs w:val="24"/>
        </w:rPr>
        <w:t xml:space="preserve"> late 1980s were likely to lead to </w:t>
      </w:r>
      <w:r>
        <w:rPr>
          <w:rFonts w:ascii="Times New Roman" w:hAnsi="Times New Roman"/>
          <w:sz w:val="24"/>
          <w:szCs w:val="24"/>
        </w:rPr>
        <w:t xml:space="preserve">more </w:t>
      </w:r>
      <w:r w:rsidRPr="002F44AE">
        <w:rPr>
          <w:rFonts w:ascii="Times New Roman" w:hAnsi="Times New Roman"/>
          <w:sz w:val="24"/>
          <w:szCs w:val="24"/>
        </w:rPr>
        <w:t>inter-ethnic problems</w:t>
      </w:r>
      <w:r>
        <w:rPr>
          <w:rFonts w:ascii="Times New Roman" w:hAnsi="Times New Roman"/>
          <w:sz w:val="24"/>
          <w:szCs w:val="24"/>
        </w:rPr>
        <w:t>, so he took a</w:t>
      </w:r>
      <w:r w:rsidRPr="002F44AE">
        <w:rPr>
          <w:rFonts w:ascii="Times New Roman" w:hAnsi="Times New Roman"/>
          <w:sz w:val="24"/>
          <w:szCs w:val="24"/>
        </w:rPr>
        <w:t xml:space="preserve"> conciliatory </w:t>
      </w:r>
      <w:r>
        <w:rPr>
          <w:rFonts w:ascii="Times New Roman" w:hAnsi="Times New Roman"/>
          <w:sz w:val="24"/>
          <w:szCs w:val="24"/>
        </w:rPr>
        <w:t>tone, stating, for example that the ‘</w:t>
      </w:r>
      <w:r w:rsidRPr="002F44AE">
        <w:rPr>
          <w:rFonts w:ascii="Times New Roman" w:hAnsi="Times New Roman"/>
          <w:sz w:val="24"/>
          <w:szCs w:val="24"/>
        </w:rPr>
        <w:t>Turkish people were the largest minority in Bulgaria [</w:t>
      </w:r>
      <w:r>
        <w:rPr>
          <w:rFonts w:ascii="Times New Roman" w:hAnsi="Times New Roman"/>
          <w:sz w:val="24"/>
          <w:szCs w:val="24"/>
        </w:rPr>
        <w:t xml:space="preserve">and </w:t>
      </w:r>
      <w:r w:rsidRPr="002F44AE">
        <w:rPr>
          <w:rFonts w:ascii="Times New Roman" w:hAnsi="Times New Roman"/>
          <w:sz w:val="24"/>
          <w:szCs w:val="24"/>
        </w:rPr>
        <w:t>suffered] the consequences of</w:t>
      </w:r>
      <w:r>
        <w:rPr>
          <w:rFonts w:ascii="Times New Roman" w:hAnsi="Times New Roman"/>
          <w:sz w:val="24"/>
          <w:szCs w:val="24"/>
        </w:rPr>
        <w:t xml:space="preserve"> the so-called</w:t>
      </w:r>
      <w:r w:rsidR="004D05CA">
        <w:rPr>
          <w:rFonts w:ascii="Times New Roman" w:hAnsi="Times New Roman"/>
          <w:sz w:val="24"/>
          <w:szCs w:val="24"/>
        </w:rPr>
        <w:t xml:space="preserve"> </w:t>
      </w:r>
      <w:r>
        <w:rPr>
          <w:rFonts w:ascii="Times New Roman" w:hAnsi="Times New Roman"/>
          <w:sz w:val="24"/>
          <w:szCs w:val="24"/>
        </w:rPr>
        <w:t>“</w:t>
      </w:r>
      <w:r w:rsidRPr="002F44AE">
        <w:rPr>
          <w:rFonts w:ascii="Times New Roman" w:hAnsi="Times New Roman"/>
          <w:sz w:val="24"/>
          <w:szCs w:val="24"/>
        </w:rPr>
        <w:t>national revival process</w:t>
      </w:r>
      <w:r>
        <w:rPr>
          <w:rFonts w:ascii="Times New Roman" w:hAnsi="Times New Roman"/>
          <w:sz w:val="24"/>
          <w:szCs w:val="24"/>
        </w:rPr>
        <w:t>.”’</w:t>
      </w:r>
      <w:r w:rsidRPr="002F44AE">
        <w:rPr>
          <w:rStyle w:val="EndnoteReference"/>
          <w:rFonts w:ascii="Times New Roman" w:hAnsi="Times New Roman"/>
          <w:sz w:val="24"/>
          <w:szCs w:val="24"/>
        </w:rPr>
        <w:endnoteReference w:id="10"/>
      </w:r>
      <w:r w:rsidR="004D05CA">
        <w:rPr>
          <w:rFonts w:ascii="Times New Roman" w:hAnsi="Times New Roman"/>
          <w:sz w:val="24"/>
          <w:szCs w:val="24"/>
        </w:rPr>
        <w:t xml:space="preserve"> </w:t>
      </w:r>
      <w:r w:rsidRPr="002F44AE">
        <w:rPr>
          <w:rFonts w:ascii="Times New Roman" w:hAnsi="Times New Roman"/>
          <w:sz w:val="24"/>
          <w:szCs w:val="24"/>
        </w:rPr>
        <w:t>Zhelev</w:t>
      </w:r>
      <w:r w:rsidR="004D05CA">
        <w:rPr>
          <w:rFonts w:ascii="Times New Roman" w:hAnsi="Times New Roman"/>
          <w:sz w:val="24"/>
          <w:szCs w:val="24"/>
        </w:rPr>
        <w:t xml:space="preserve"> </w:t>
      </w:r>
      <w:r>
        <w:rPr>
          <w:rFonts w:ascii="Times New Roman" w:hAnsi="Times New Roman"/>
          <w:sz w:val="24"/>
          <w:szCs w:val="24"/>
        </w:rPr>
        <w:t>saw addressing</w:t>
      </w:r>
      <w:r w:rsidRPr="002F44AE">
        <w:rPr>
          <w:rFonts w:ascii="Times New Roman" w:hAnsi="Times New Roman"/>
          <w:sz w:val="24"/>
          <w:szCs w:val="24"/>
        </w:rPr>
        <w:t xml:space="preserve"> the tormented past as an opportunity to unify pro-democratic forces </w:t>
      </w:r>
      <w:r>
        <w:rPr>
          <w:rFonts w:ascii="Times New Roman" w:hAnsi="Times New Roman"/>
          <w:sz w:val="24"/>
          <w:szCs w:val="24"/>
        </w:rPr>
        <w:t>at</w:t>
      </w:r>
      <w:r w:rsidRPr="002F44AE">
        <w:rPr>
          <w:rFonts w:ascii="Times New Roman" w:hAnsi="Times New Roman"/>
          <w:sz w:val="24"/>
          <w:szCs w:val="24"/>
        </w:rPr>
        <w:t xml:space="preserve"> a critical juncture in Bulgarian politics</w:t>
      </w:r>
      <w:r>
        <w:rPr>
          <w:rFonts w:ascii="Times New Roman" w:hAnsi="Times New Roman"/>
          <w:sz w:val="24"/>
          <w:szCs w:val="24"/>
        </w:rPr>
        <w:t xml:space="preserve">, but he and his </w:t>
      </w:r>
      <w:r w:rsidRPr="002F44AE">
        <w:rPr>
          <w:rFonts w:ascii="Times New Roman" w:hAnsi="Times New Roman"/>
          <w:sz w:val="24"/>
          <w:szCs w:val="24"/>
        </w:rPr>
        <w:t xml:space="preserve">advisor on minority issues, Mihail Ivanov, </w:t>
      </w:r>
      <w:r>
        <w:rPr>
          <w:rFonts w:ascii="Times New Roman" w:hAnsi="Times New Roman"/>
          <w:sz w:val="24"/>
          <w:szCs w:val="24"/>
        </w:rPr>
        <w:t>considered</w:t>
      </w:r>
      <w:r w:rsidRPr="002F44AE">
        <w:rPr>
          <w:rFonts w:ascii="Times New Roman" w:hAnsi="Times New Roman"/>
          <w:sz w:val="24"/>
          <w:szCs w:val="24"/>
        </w:rPr>
        <w:t xml:space="preserve"> moderation </w:t>
      </w:r>
      <w:r>
        <w:rPr>
          <w:rFonts w:ascii="Times New Roman" w:hAnsi="Times New Roman"/>
          <w:sz w:val="24"/>
          <w:szCs w:val="24"/>
        </w:rPr>
        <w:t>was essential for</w:t>
      </w:r>
      <w:r w:rsidRPr="002F44AE">
        <w:rPr>
          <w:rFonts w:ascii="Times New Roman" w:hAnsi="Times New Roman"/>
          <w:sz w:val="24"/>
          <w:szCs w:val="24"/>
        </w:rPr>
        <w:t xml:space="preserve"> inter-ethnic conciliation.</w:t>
      </w:r>
      <w:r w:rsidRPr="002F44AE">
        <w:rPr>
          <w:rStyle w:val="EndnoteReference"/>
          <w:rFonts w:ascii="Times New Roman" w:hAnsi="Times New Roman"/>
          <w:sz w:val="24"/>
          <w:szCs w:val="24"/>
        </w:rPr>
        <w:endnoteReference w:id="11"/>
      </w:r>
      <w:r w:rsidR="004D05CA">
        <w:rPr>
          <w:rFonts w:ascii="Times New Roman" w:hAnsi="Times New Roman"/>
          <w:sz w:val="24"/>
          <w:szCs w:val="24"/>
        </w:rPr>
        <w:t xml:space="preserve"> </w:t>
      </w:r>
      <w:r>
        <w:rPr>
          <w:rFonts w:ascii="Times New Roman" w:hAnsi="Times New Roman"/>
          <w:sz w:val="24"/>
          <w:szCs w:val="24"/>
        </w:rPr>
        <w:t xml:space="preserve">To this end, </w:t>
      </w:r>
      <w:r w:rsidRPr="002F44AE">
        <w:rPr>
          <w:rFonts w:ascii="Times New Roman" w:hAnsi="Times New Roman"/>
          <w:sz w:val="24"/>
          <w:szCs w:val="24"/>
        </w:rPr>
        <w:t>Zhelev emphasized the importance of European norms and values as the guiding principles towards which Bulgarian political culture should be oriented. The peaceful co-existence of inter-ethnic communities and the restoration of the rights of Turkish community were justified along these lines.</w:t>
      </w:r>
    </w:p>
    <w:p w:rsidR="000A598D" w:rsidRPr="002F44AE" w:rsidRDefault="000A598D" w:rsidP="00374024">
      <w:pPr>
        <w:spacing w:line="480" w:lineRule="auto"/>
        <w:ind w:firstLine="720"/>
        <w:jc w:val="both"/>
        <w:rPr>
          <w:rFonts w:ascii="Times New Roman" w:hAnsi="Times New Roman"/>
          <w:sz w:val="24"/>
          <w:szCs w:val="24"/>
        </w:rPr>
      </w:pPr>
      <w:r>
        <w:rPr>
          <w:rFonts w:ascii="Times New Roman" w:hAnsi="Times New Roman"/>
          <w:sz w:val="24"/>
          <w:szCs w:val="24"/>
        </w:rPr>
        <w:t>P</w:t>
      </w:r>
      <w:r w:rsidRPr="002F44AE">
        <w:rPr>
          <w:rFonts w:ascii="Times New Roman" w:hAnsi="Times New Roman"/>
          <w:sz w:val="24"/>
          <w:szCs w:val="24"/>
        </w:rPr>
        <w:t xml:space="preserve">olitical leadership </w:t>
      </w:r>
      <w:r>
        <w:rPr>
          <w:rFonts w:ascii="Times New Roman" w:hAnsi="Times New Roman"/>
          <w:sz w:val="24"/>
          <w:szCs w:val="24"/>
        </w:rPr>
        <w:t>was equally important on</w:t>
      </w:r>
      <w:r w:rsidRPr="002F44AE">
        <w:rPr>
          <w:rFonts w:ascii="Times New Roman" w:hAnsi="Times New Roman"/>
          <w:sz w:val="24"/>
          <w:szCs w:val="24"/>
        </w:rPr>
        <w:t xml:space="preserve"> the</w:t>
      </w:r>
      <w:r>
        <w:rPr>
          <w:rFonts w:ascii="Times New Roman" w:hAnsi="Times New Roman"/>
          <w:sz w:val="24"/>
          <w:szCs w:val="24"/>
        </w:rPr>
        <w:t xml:space="preserve"> Turkish side. Ahmet Dog</w:t>
      </w:r>
      <w:r w:rsidRPr="002F44AE">
        <w:rPr>
          <w:rFonts w:ascii="Times New Roman" w:hAnsi="Times New Roman"/>
          <w:sz w:val="24"/>
          <w:szCs w:val="24"/>
        </w:rPr>
        <w:t xml:space="preserve">an, the political leader of the Turkish community who was imprisoned during the 1980s, </w:t>
      </w:r>
      <w:r>
        <w:rPr>
          <w:rFonts w:ascii="Times New Roman" w:hAnsi="Times New Roman"/>
          <w:sz w:val="24"/>
          <w:szCs w:val="24"/>
        </w:rPr>
        <w:t xml:space="preserve">also </w:t>
      </w:r>
      <w:r w:rsidRPr="002F44AE">
        <w:rPr>
          <w:rFonts w:ascii="Times New Roman" w:hAnsi="Times New Roman"/>
          <w:sz w:val="24"/>
          <w:szCs w:val="24"/>
        </w:rPr>
        <w:t>played a critical moderating role</w:t>
      </w:r>
      <w:r>
        <w:rPr>
          <w:rFonts w:ascii="Times New Roman" w:hAnsi="Times New Roman"/>
          <w:sz w:val="24"/>
          <w:szCs w:val="24"/>
        </w:rPr>
        <w:t>. Ahmet Dog</w:t>
      </w:r>
      <w:r w:rsidRPr="002F44AE">
        <w:rPr>
          <w:rFonts w:ascii="Times New Roman" w:hAnsi="Times New Roman"/>
          <w:sz w:val="24"/>
          <w:szCs w:val="24"/>
        </w:rPr>
        <w:t xml:space="preserve">an adopted a very cautious rhetoric and dismissed all forms of excessive demands </w:t>
      </w:r>
      <w:r>
        <w:rPr>
          <w:rFonts w:ascii="Times New Roman" w:hAnsi="Times New Roman"/>
          <w:sz w:val="24"/>
          <w:szCs w:val="24"/>
        </w:rPr>
        <w:t xml:space="preserve">by the Turkish minority. He </w:t>
      </w:r>
      <w:r w:rsidRPr="002F44AE">
        <w:rPr>
          <w:rFonts w:ascii="Times New Roman" w:hAnsi="Times New Roman"/>
          <w:sz w:val="24"/>
          <w:szCs w:val="24"/>
        </w:rPr>
        <w:t>prioritized the restoration of Turkish minority’s fundamental rights and freedoms</w:t>
      </w:r>
      <w:r>
        <w:rPr>
          <w:rFonts w:ascii="Times New Roman" w:hAnsi="Times New Roman"/>
          <w:sz w:val="24"/>
          <w:szCs w:val="24"/>
        </w:rPr>
        <w:t>, but</w:t>
      </w:r>
      <w:r w:rsidRPr="002F44AE">
        <w:rPr>
          <w:rFonts w:ascii="Times New Roman" w:hAnsi="Times New Roman"/>
          <w:sz w:val="24"/>
          <w:szCs w:val="24"/>
        </w:rPr>
        <w:t xml:space="preserve"> he unequivocally rejected all separatist demands. </w:t>
      </w:r>
      <w:r>
        <w:rPr>
          <w:rFonts w:ascii="Times New Roman" w:hAnsi="Times New Roman"/>
          <w:sz w:val="24"/>
          <w:szCs w:val="24"/>
        </w:rPr>
        <w:t>At first</w:t>
      </w:r>
      <w:r w:rsidRPr="002F44AE">
        <w:rPr>
          <w:rFonts w:ascii="Times New Roman" w:hAnsi="Times New Roman"/>
          <w:sz w:val="24"/>
          <w:szCs w:val="24"/>
        </w:rPr>
        <w:t xml:space="preserve">, it was </w:t>
      </w:r>
      <w:r>
        <w:rPr>
          <w:rFonts w:ascii="Times New Roman" w:hAnsi="Times New Roman"/>
          <w:sz w:val="24"/>
          <w:szCs w:val="24"/>
        </w:rPr>
        <w:t>difficult</w:t>
      </w:r>
      <w:r w:rsidRPr="002F44AE">
        <w:rPr>
          <w:rFonts w:ascii="Times New Roman" w:hAnsi="Times New Roman"/>
          <w:sz w:val="24"/>
          <w:szCs w:val="24"/>
        </w:rPr>
        <w:t xml:space="preserve"> to curtail the power of </w:t>
      </w:r>
      <w:r>
        <w:rPr>
          <w:rFonts w:ascii="Times New Roman" w:hAnsi="Times New Roman"/>
          <w:sz w:val="24"/>
          <w:szCs w:val="24"/>
        </w:rPr>
        <w:t>the ‘</w:t>
      </w:r>
      <w:r w:rsidRPr="002F44AE">
        <w:rPr>
          <w:rFonts w:ascii="Times New Roman" w:hAnsi="Times New Roman"/>
          <w:sz w:val="24"/>
          <w:szCs w:val="24"/>
        </w:rPr>
        <w:t>hawks</w:t>
      </w:r>
      <w:r>
        <w:rPr>
          <w:rFonts w:ascii="Times New Roman" w:hAnsi="Times New Roman"/>
          <w:sz w:val="24"/>
          <w:szCs w:val="24"/>
        </w:rPr>
        <w:t>’</w:t>
      </w:r>
      <w:r w:rsidRPr="002F44AE">
        <w:rPr>
          <w:rFonts w:ascii="Times New Roman" w:hAnsi="Times New Roman"/>
          <w:sz w:val="24"/>
          <w:szCs w:val="24"/>
        </w:rPr>
        <w:t xml:space="preserve"> within the ranks of the Movement for Rights and Freedoms (MRF), the political party formed by the Turkish community following Bulgaria’s transition to democracy.</w:t>
      </w:r>
      <w:r w:rsidRPr="002F44AE">
        <w:rPr>
          <w:rStyle w:val="EndnoteReference"/>
          <w:rFonts w:ascii="Times New Roman" w:hAnsi="Times New Roman"/>
          <w:sz w:val="24"/>
          <w:szCs w:val="24"/>
        </w:rPr>
        <w:endnoteReference w:id="12"/>
      </w:r>
      <w:r>
        <w:rPr>
          <w:rFonts w:ascii="Times New Roman" w:hAnsi="Times New Roman"/>
          <w:sz w:val="24"/>
          <w:szCs w:val="24"/>
        </w:rPr>
        <w:t xml:space="preserve"> But Ahmet Dog</w:t>
      </w:r>
      <w:r w:rsidRPr="002F44AE">
        <w:rPr>
          <w:rFonts w:ascii="Times New Roman" w:hAnsi="Times New Roman"/>
          <w:sz w:val="24"/>
          <w:szCs w:val="24"/>
        </w:rPr>
        <w:t xml:space="preserve">an and his close aides </w:t>
      </w:r>
      <w:r>
        <w:rPr>
          <w:rFonts w:ascii="Times New Roman" w:hAnsi="Times New Roman"/>
          <w:sz w:val="24"/>
          <w:szCs w:val="24"/>
        </w:rPr>
        <w:t>managed</w:t>
      </w:r>
      <w:r w:rsidRPr="002F44AE">
        <w:rPr>
          <w:rFonts w:ascii="Times New Roman" w:hAnsi="Times New Roman"/>
          <w:sz w:val="24"/>
          <w:szCs w:val="24"/>
        </w:rPr>
        <w:t xml:space="preserve"> to neutralize the </w:t>
      </w:r>
      <w:r>
        <w:rPr>
          <w:rFonts w:ascii="Times New Roman" w:hAnsi="Times New Roman"/>
          <w:sz w:val="24"/>
          <w:szCs w:val="24"/>
        </w:rPr>
        <w:t>hawkish</w:t>
      </w:r>
      <w:r w:rsidRPr="002F44AE">
        <w:rPr>
          <w:rFonts w:ascii="Times New Roman" w:hAnsi="Times New Roman"/>
          <w:sz w:val="24"/>
          <w:szCs w:val="24"/>
        </w:rPr>
        <w:t xml:space="preserve"> elements and </w:t>
      </w:r>
      <w:r>
        <w:rPr>
          <w:rFonts w:ascii="Times New Roman" w:hAnsi="Times New Roman"/>
          <w:sz w:val="24"/>
          <w:szCs w:val="24"/>
        </w:rPr>
        <w:t xml:space="preserve">build </w:t>
      </w:r>
      <w:r w:rsidRPr="002F44AE">
        <w:rPr>
          <w:rFonts w:ascii="Times New Roman" w:hAnsi="Times New Roman"/>
          <w:sz w:val="24"/>
          <w:szCs w:val="24"/>
        </w:rPr>
        <w:t xml:space="preserve">bridges with </w:t>
      </w:r>
      <w:r>
        <w:rPr>
          <w:rFonts w:ascii="Times New Roman" w:hAnsi="Times New Roman"/>
          <w:sz w:val="24"/>
          <w:szCs w:val="24"/>
        </w:rPr>
        <w:t xml:space="preserve">the </w:t>
      </w:r>
      <w:r w:rsidRPr="002F44AE">
        <w:rPr>
          <w:rFonts w:ascii="Times New Roman" w:hAnsi="Times New Roman"/>
          <w:sz w:val="24"/>
          <w:szCs w:val="24"/>
        </w:rPr>
        <w:t xml:space="preserve">Bulgarian mainstream, especially with </w:t>
      </w:r>
      <w:r>
        <w:rPr>
          <w:rFonts w:ascii="Times New Roman" w:hAnsi="Times New Roman"/>
          <w:sz w:val="24"/>
          <w:szCs w:val="24"/>
        </w:rPr>
        <w:t>pro-democratic forces</w:t>
      </w:r>
      <w:r w:rsidRPr="002F44AE">
        <w:rPr>
          <w:rFonts w:ascii="Times New Roman" w:hAnsi="Times New Roman"/>
          <w:sz w:val="24"/>
          <w:szCs w:val="24"/>
        </w:rPr>
        <w:t xml:space="preserve">. </w:t>
      </w:r>
    </w:p>
    <w:p w:rsidR="000A598D" w:rsidRPr="002F44AE" w:rsidRDefault="000A598D" w:rsidP="00374024">
      <w:pPr>
        <w:spacing w:line="480" w:lineRule="auto"/>
        <w:ind w:firstLine="720"/>
        <w:jc w:val="both"/>
        <w:rPr>
          <w:rFonts w:ascii="Times New Roman" w:hAnsi="Times New Roman"/>
          <w:color w:val="000000"/>
          <w:sz w:val="24"/>
          <w:szCs w:val="24"/>
        </w:rPr>
      </w:pPr>
      <w:r w:rsidRPr="002F44AE">
        <w:rPr>
          <w:rFonts w:ascii="Times New Roman" w:hAnsi="Times New Roman"/>
          <w:color w:val="000000"/>
          <w:sz w:val="24"/>
          <w:szCs w:val="24"/>
        </w:rPr>
        <w:lastRenderedPageBreak/>
        <w:t xml:space="preserve">Bulgarian political elites continued </w:t>
      </w:r>
      <w:r>
        <w:rPr>
          <w:rFonts w:ascii="Times New Roman" w:hAnsi="Times New Roman"/>
          <w:color w:val="000000"/>
          <w:sz w:val="24"/>
          <w:szCs w:val="24"/>
        </w:rPr>
        <w:t xml:space="preserve">their </w:t>
      </w:r>
      <w:r w:rsidRPr="002F44AE">
        <w:rPr>
          <w:rFonts w:ascii="Times New Roman" w:hAnsi="Times New Roman"/>
          <w:color w:val="000000"/>
          <w:sz w:val="24"/>
          <w:szCs w:val="24"/>
        </w:rPr>
        <w:t xml:space="preserve">moderation policies </w:t>
      </w:r>
      <w:r>
        <w:rPr>
          <w:rFonts w:ascii="Times New Roman" w:hAnsi="Times New Roman"/>
          <w:color w:val="000000"/>
          <w:sz w:val="24"/>
          <w:szCs w:val="24"/>
        </w:rPr>
        <w:t>throughout</w:t>
      </w:r>
      <w:r w:rsidR="00147C1E">
        <w:rPr>
          <w:rFonts w:ascii="Times New Roman" w:hAnsi="Times New Roman"/>
          <w:color w:val="000000"/>
          <w:sz w:val="24"/>
          <w:szCs w:val="24"/>
        </w:rPr>
        <w:t xml:space="preserve"> </w:t>
      </w:r>
      <w:r>
        <w:rPr>
          <w:rFonts w:ascii="Times New Roman" w:hAnsi="Times New Roman"/>
          <w:color w:val="000000"/>
          <w:sz w:val="24"/>
          <w:szCs w:val="24"/>
        </w:rPr>
        <w:t xml:space="preserve">the </w:t>
      </w:r>
      <w:r w:rsidRPr="002F44AE">
        <w:rPr>
          <w:rFonts w:ascii="Times New Roman" w:hAnsi="Times New Roman"/>
          <w:color w:val="000000"/>
          <w:sz w:val="24"/>
          <w:szCs w:val="24"/>
        </w:rPr>
        <w:t>1990s</w:t>
      </w:r>
      <w:r>
        <w:rPr>
          <w:rFonts w:ascii="Times New Roman" w:hAnsi="Times New Roman"/>
          <w:color w:val="000000"/>
          <w:sz w:val="24"/>
          <w:szCs w:val="24"/>
        </w:rPr>
        <w:t>, working</w:t>
      </w:r>
      <w:r w:rsidRPr="002F44AE">
        <w:rPr>
          <w:rFonts w:ascii="Times New Roman" w:hAnsi="Times New Roman"/>
          <w:color w:val="000000"/>
          <w:sz w:val="24"/>
          <w:szCs w:val="24"/>
        </w:rPr>
        <w:t xml:space="preserve"> to consolidate inter-communal rapprochement. State apologies, in this context, </w:t>
      </w:r>
      <w:r>
        <w:rPr>
          <w:rFonts w:ascii="Times New Roman" w:hAnsi="Times New Roman"/>
          <w:color w:val="000000"/>
          <w:sz w:val="24"/>
          <w:szCs w:val="24"/>
        </w:rPr>
        <w:t>became</w:t>
      </w:r>
      <w:r w:rsidRPr="002F44AE">
        <w:rPr>
          <w:rFonts w:ascii="Times New Roman" w:hAnsi="Times New Roman"/>
          <w:color w:val="000000"/>
          <w:sz w:val="24"/>
          <w:szCs w:val="24"/>
        </w:rPr>
        <w:t xml:space="preserve"> an important symbolic gesture contribut</w:t>
      </w:r>
      <w:r>
        <w:rPr>
          <w:rFonts w:ascii="Times New Roman" w:hAnsi="Times New Roman"/>
          <w:color w:val="000000"/>
          <w:sz w:val="24"/>
          <w:szCs w:val="24"/>
        </w:rPr>
        <w:t>ing</w:t>
      </w:r>
      <w:r w:rsidRPr="002F44AE">
        <w:rPr>
          <w:rFonts w:ascii="Times New Roman" w:hAnsi="Times New Roman"/>
          <w:color w:val="000000"/>
          <w:sz w:val="24"/>
          <w:szCs w:val="24"/>
        </w:rPr>
        <w:t xml:space="preserve"> to the sense of belonging </w:t>
      </w:r>
      <w:r>
        <w:rPr>
          <w:rFonts w:ascii="Times New Roman" w:hAnsi="Times New Roman"/>
          <w:color w:val="000000"/>
          <w:sz w:val="24"/>
          <w:szCs w:val="24"/>
        </w:rPr>
        <w:t xml:space="preserve">of the </w:t>
      </w:r>
      <w:r w:rsidRPr="002F44AE">
        <w:rPr>
          <w:rFonts w:ascii="Times New Roman" w:hAnsi="Times New Roman"/>
          <w:color w:val="000000"/>
          <w:sz w:val="24"/>
          <w:szCs w:val="24"/>
        </w:rPr>
        <w:t xml:space="preserve">Turkish minority. The Bulgarian political elite selected politically sensitive </w:t>
      </w:r>
      <w:r>
        <w:rPr>
          <w:rFonts w:ascii="Times New Roman" w:hAnsi="Times New Roman"/>
          <w:color w:val="000000"/>
          <w:sz w:val="24"/>
          <w:szCs w:val="24"/>
        </w:rPr>
        <w:t>times</w:t>
      </w:r>
      <w:r w:rsidRPr="002F44AE">
        <w:rPr>
          <w:rFonts w:ascii="Times New Roman" w:hAnsi="Times New Roman"/>
          <w:color w:val="000000"/>
          <w:sz w:val="24"/>
          <w:szCs w:val="24"/>
        </w:rPr>
        <w:t xml:space="preserve"> to apologiz</w:t>
      </w:r>
      <w:r>
        <w:rPr>
          <w:rFonts w:ascii="Times New Roman" w:hAnsi="Times New Roman"/>
          <w:color w:val="000000"/>
          <w:sz w:val="24"/>
          <w:szCs w:val="24"/>
        </w:rPr>
        <w:t>e for the wrongdoings of the pas</w:t>
      </w:r>
      <w:r w:rsidRPr="002F44AE">
        <w:rPr>
          <w:rFonts w:ascii="Times New Roman" w:hAnsi="Times New Roman"/>
          <w:color w:val="000000"/>
          <w:sz w:val="24"/>
          <w:szCs w:val="24"/>
        </w:rPr>
        <w:t xml:space="preserve">t. In 1997, for instance, President Peter Stoyanov apologized </w:t>
      </w:r>
      <w:r>
        <w:rPr>
          <w:rFonts w:ascii="Times New Roman" w:hAnsi="Times New Roman"/>
          <w:color w:val="000000"/>
          <w:sz w:val="24"/>
          <w:szCs w:val="24"/>
        </w:rPr>
        <w:t>to</w:t>
      </w:r>
      <w:r w:rsidRPr="002F44AE">
        <w:rPr>
          <w:rFonts w:ascii="Times New Roman" w:hAnsi="Times New Roman"/>
          <w:color w:val="000000"/>
          <w:sz w:val="24"/>
          <w:szCs w:val="24"/>
        </w:rPr>
        <w:t xml:space="preserve"> Turks in </w:t>
      </w:r>
      <w:r>
        <w:rPr>
          <w:rFonts w:ascii="Times New Roman" w:hAnsi="Times New Roman"/>
          <w:color w:val="000000"/>
          <w:sz w:val="24"/>
          <w:szCs w:val="24"/>
        </w:rPr>
        <w:t>a</w:t>
      </w:r>
      <w:r w:rsidRPr="002F44AE">
        <w:rPr>
          <w:rFonts w:ascii="Times New Roman" w:hAnsi="Times New Roman"/>
          <w:color w:val="000000"/>
          <w:sz w:val="24"/>
          <w:szCs w:val="24"/>
        </w:rPr>
        <w:t xml:space="preserve"> speech at </w:t>
      </w:r>
      <w:r>
        <w:rPr>
          <w:rFonts w:ascii="Times New Roman" w:hAnsi="Times New Roman"/>
          <w:color w:val="000000"/>
          <w:sz w:val="24"/>
          <w:szCs w:val="24"/>
        </w:rPr>
        <w:t xml:space="preserve">the </w:t>
      </w:r>
      <w:r w:rsidRPr="002F44AE">
        <w:rPr>
          <w:rFonts w:ascii="Times New Roman" w:hAnsi="Times New Roman"/>
          <w:color w:val="000000"/>
          <w:sz w:val="24"/>
          <w:szCs w:val="24"/>
        </w:rPr>
        <w:t>Turkish Parliament in Ankara</w:t>
      </w:r>
      <w:r>
        <w:rPr>
          <w:rFonts w:ascii="Times New Roman" w:hAnsi="Times New Roman"/>
          <w:color w:val="000000"/>
          <w:sz w:val="24"/>
          <w:szCs w:val="24"/>
        </w:rPr>
        <w:t xml:space="preserve"> (Stoyanov 1997, </w:t>
      </w:r>
      <w:r w:rsidRPr="002F44AE">
        <w:rPr>
          <w:rFonts w:ascii="Times New Roman" w:hAnsi="Times New Roman"/>
          <w:color w:val="000000"/>
          <w:sz w:val="24"/>
          <w:szCs w:val="24"/>
        </w:rPr>
        <w:t>73). In 1998, Prime Minister Ivan Kostov apologized in Bursa, a Turkish city where migrants were resettled after the forced migration. In 2006, the leader of the Bulgaria</w:t>
      </w:r>
      <w:r>
        <w:rPr>
          <w:rFonts w:ascii="Times New Roman" w:hAnsi="Times New Roman"/>
          <w:color w:val="000000"/>
          <w:sz w:val="24"/>
          <w:szCs w:val="24"/>
        </w:rPr>
        <w:t>n Socialist Party, Sergei Stanish</w:t>
      </w:r>
      <w:r w:rsidRPr="002F44AE">
        <w:rPr>
          <w:rFonts w:ascii="Times New Roman" w:hAnsi="Times New Roman"/>
          <w:color w:val="000000"/>
          <w:sz w:val="24"/>
          <w:szCs w:val="24"/>
        </w:rPr>
        <w:t xml:space="preserve">ev, apologized </w:t>
      </w:r>
      <w:r>
        <w:rPr>
          <w:rFonts w:ascii="Times New Roman" w:hAnsi="Times New Roman"/>
          <w:color w:val="000000"/>
          <w:sz w:val="24"/>
          <w:szCs w:val="24"/>
        </w:rPr>
        <w:t>at</w:t>
      </w:r>
      <w:r w:rsidRPr="002F44AE">
        <w:rPr>
          <w:rFonts w:ascii="Times New Roman" w:hAnsi="Times New Roman"/>
          <w:color w:val="000000"/>
          <w:sz w:val="24"/>
          <w:szCs w:val="24"/>
        </w:rPr>
        <w:t xml:space="preserve"> the annual conference of MRF</w:t>
      </w:r>
      <w:r>
        <w:rPr>
          <w:rFonts w:ascii="Times New Roman" w:hAnsi="Times New Roman"/>
          <w:color w:val="000000"/>
          <w:sz w:val="24"/>
          <w:szCs w:val="24"/>
        </w:rPr>
        <w:t>. F</w:t>
      </w:r>
      <w:r w:rsidRPr="002F44AE">
        <w:rPr>
          <w:rFonts w:ascii="Times New Roman" w:hAnsi="Times New Roman"/>
          <w:color w:val="000000"/>
          <w:sz w:val="24"/>
          <w:szCs w:val="24"/>
        </w:rPr>
        <w:t xml:space="preserve">inally, in 2012, the Bulgarian Parliament signed a declaration </w:t>
      </w:r>
      <w:r>
        <w:rPr>
          <w:rFonts w:ascii="Times New Roman" w:hAnsi="Times New Roman"/>
          <w:color w:val="000000"/>
          <w:sz w:val="24"/>
          <w:szCs w:val="24"/>
        </w:rPr>
        <w:t>defining</w:t>
      </w:r>
      <w:r w:rsidR="004725DD">
        <w:rPr>
          <w:rFonts w:ascii="Times New Roman" w:hAnsi="Times New Roman"/>
          <w:color w:val="000000"/>
          <w:sz w:val="24"/>
          <w:szCs w:val="24"/>
        </w:rPr>
        <w:t xml:space="preserve"> </w:t>
      </w:r>
      <w:r>
        <w:rPr>
          <w:rFonts w:ascii="Times New Roman" w:hAnsi="Times New Roman"/>
          <w:color w:val="000000"/>
          <w:sz w:val="24"/>
          <w:szCs w:val="24"/>
        </w:rPr>
        <w:t xml:space="preserve">the former </w:t>
      </w:r>
      <w:r w:rsidRPr="002F44AE">
        <w:rPr>
          <w:rFonts w:ascii="Times New Roman" w:hAnsi="Times New Roman"/>
          <w:color w:val="000000"/>
          <w:sz w:val="24"/>
          <w:szCs w:val="24"/>
        </w:rPr>
        <w:t xml:space="preserve">assimilation policies as </w:t>
      </w:r>
      <w:r>
        <w:rPr>
          <w:rFonts w:ascii="Times New Roman" w:hAnsi="Times New Roman"/>
          <w:color w:val="000000"/>
          <w:sz w:val="24"/>
          <w:szCs w:val="24"/>
        </w:rPr>
        <w:t>‘</w:t>
      </w:r>
      <w:r w:rsidRPr="002F44AE">
        <w:rPr>
          <w:rFonts w:ascii="Times New Roman" w:hAnsi="Times New Roman"/>
          <w:color w:val="000000"/>
          <w:sz w:val="24"/>
          <w:szCs w:val="24"/>
        </w:rPr>
        <w:t>ethnic cleansing</w:t>
      </w:r>
      <w:r>
        <w:rPr>
          <w:rFonts w:ascii="Times New Roman" w:hAnsi="Times New Roman"/>
          <w:color w:val="000000"/>
          <w:sz w:val="24"/>
          <w:szCs w:val="24"/>
        </w:rPr>
        <w:t>’</w:t>
      </w:r>
      <w:r w:rsidRPr="002F44AE">
        <w:rPr>
          <w:rFonts w:ascii="Times New Roman" w:hAnsi="Times New Roman"/>
          <w:color w:val="000000"/>
          <w:sz w:val="24"/>
          <w:szCs w:val="24"/>
        </w:rPr>
        <w:t xml:space="preserve"> and condemne</w:t>
      </w:r>
      <w:r>
        <w:rPr>
          <w:rFonts w:ascii="Times New Roman" w:hAnsi="Times New Roman"/>
          <w:color w:val="000000"/>
          <w:sz w:val="24"/>
          <w:szCs w:val="24"/>
        </w:rPr>
        <w:t>d the forced migration of 1989 (Kutlay 2012).</w:t>
      </w:r>
    </w:p>
    <w:p w:rsidR="004725DD" w:rsidRDefault="004725DD" w:rsidP="00374024">
      <w:pPr>
        <w:spacing w:line="480" w:lineRule="auto"/>
        <w:jc w:val="both"/>
        <w:rPr>
          <w:rFonts w:ascii="Times New Roman" w:hAnsi="Times New Roman"/>
          <w:i/>
          <w:sz w:val="24"/>
          <w:szCs w:val="24"/>
        </w:rPr>
      </w:pPr>
    </w:p>
    <w:p w:rsidR="000A598D" w:rsidRPr="006516EB" w:rsidRDefault="000A598D" w:rsidP="00374024">
      <w:pPr>
        <w:spacing w:line="480" w:lineRule="auto"/>
        <w:jc w:val="both"/>
        <w:rPr>
          <w:rFonts w:ascii="Times New Roman" w:hAnsi="Times New Roman"/>
          <w:i/>
          <w:sz w:val="24"/>
          <w:szCs w:val="24"/>
        </w:rPr>
      </w:pPr>
      <w:r w:rsidRPr="006516EB">
        <w:rPr>
          <w:rFonts w:ascii="Times New Roman" w:hAnsi="Times New Roman"/>
          <w:i/>
          <w:sz w:val="24"/>
          <w:szCs w:val="24"/>
        </w:rPr>
        <w:t>Institutional power sharing</w:t>
      </w:r>
    </w:p>
    <w:p w:rsidR="000A598D" w:rsidRPr="002F44AE" w:rsidRDefault="000A598D" w:rsidP="00374024">
      <w:pPr>
        <w:spacing w:line="480" w:lineRule="auto"/>
        <w:jc w:val="both"/>
        <w:rPr>
          <w:rFonts w:ascii="Times New Roman" w:hAnsi="Times New Roman"/>
          <w:sz w:val="24"/>
          <w:szCs w:val="24"/>
        </w:rPr>
      </w:pPr>
      <w:r w:rsidRPr="002F44AE">
        <w:rPr>
          <w:rFonts w:ascii="Times New Roman" w:hAnsi="Times New Roman"/>
          <w:sz w:val="24"/>
          <w:szCs w:val="24"/>
        </w:rPr>
        <w:t xml:space="preserve">The retrospective analysis </w:t>
      </w:r>
      <w:r>
        <w:rPr>
          <w:rFonts w:ascii="Times New Roman" w:hAnsi="Times New Roman"/>
          <w:sz w:val="24"/>
          <w:szCs w:val="24"/>
        </w:rPr>
        <w:t xml:space="preserve">of Bulgaria </w:t>
      </w:r>
      <w:r w:rsidRPr="002F44AE">
        <w:rPr>
          <w:rFonts w:ascii="Times New Roman" w:hAnsi="Times New Roman"/>
          <w:sz w:val="24"/>
          <w:szCs w:val="24"/>
        </w:rPr>
        <w:t>suggests that moderation</w:t>
      </w:r>
      <w:r>
        <w:rPr>
          <w:rFonts w:ascii="Times New Roman" w:hAnsi="Times New Roman"/>
          <w:sz w:val="24"/>
          <w:szCs w:val="24"/>
        </w:rPr>
        <w:t xml:space="preserve"> and consensus politics</w:t>
      </w:r>
      <w:r w:rsidRPr="002F44AE">
        <w:rPr>
          <w:rFonts w:ascii="Times New Roman" w:hAnsi="Times New Roman"/>
          <w:sz w:val="24"/>
          <w:szCs w:val="24"/>
        </w:rPr>
        <w:t xml:space="preserve"> at the elite level carv</w:t>
      </w:r>
      <w:r>
        <w:rPr>
          <w:rFonts w:ascii="Times New Roman" w:hAnsi="Times New Roman"/>
          <w:sz w:val="24"/>
          <w:szCs w:val="24"/>
        </w:rPr>
        <w:t>ed</w:t>
      </w:r>
      <w:r w:rsidRPr="002F44AE">
        <w:rPr>
          <w:rFonts w:ascii="Times New Roman" w:hAnsi="Times New Roman"/>
          <w:sz w:val="24"/>
          <w:szCs w:val="24"/>
        </w:rPr>
        <w:t xml:space="preserve"> out a space for inter-ethnic dialogue</w:t>
      </w:r>
      <w:r>
        <w:rPr>
          <w:rFonts w:ascii="Times New Roman" w:hAnsi="Times New Roman"/>
          <w:sz w:val="24"/>
          <w:szCs w:val="24"/>
        </w:rPr>
        <w:t>,</w:t>
      </w:r>
      <w:r w:rsidRPr="002F44AE">
        <w:rPr>
          <w:rFonts w:ascii="Times New Roman" w:hAnsi="Times New Roman"/>
          <w:sz w:val="24"/>
          <w:szCs w:val="24"/>
        </w:rPr>
        <w:t xml:space="preserve"> even </w:t>
      </w:r>
      <w:r>
        <w:rPr>
          <w:rFonts w:ascii="Times New Roman" w:hAnsi="Times New Roman"/>
          <w:sz w:val="24"/>
          <w:szCs w:val="24"/>
        </w:rPr>
        <w:t>in</w:t>
      </w:r>
      <w:r w:rsidRPr="002F44AE">
        <w:rPr>
          <w:rFonts w:ascii="Times New Roman" w:hAnsi="Times New Roman"/>
          <w:sz w:val="24"/>
          <w:szCs w:val="24"/>
        </w:rPr>
        <w:t xml:space="preserve"> difficult conditions. The efforts of the </w:t>
      </w:r>
      <w:r>
        <w:rPr>
          <w:rFonts w:ascii="Times New Roman" w:hAnsi="Times New Roman"/>
          <w:sz w:val="24"/>
          <w:szCs w:val="24"/>
        </w:rPr>
        <w:t>politicians</w:t>
      </w:r>
      <w:r w:rsidRPr="002F44AE">
        <w:rPr>
          <w:rFonts w:ascii="Times New Roman" w:hAnsi="Times New Roman"/>
          <w:sz w:val="24"/>
          <w:szCs w:val="24"/>
        </w:rPr>
        <w:t xml:space="preserve"> paved the way for the creation of inclusive power-sharing mechanisms that institutionalized </w:t>
      </w:r>
      <w:r>
        <w:rPr>
          <w:rFonts w:ascii="Times New Roman" w:hAnsi="Times New Roman"/>
          <w:sz w:val="24"/>
          <w:szCs w:val="24"/>
        </w:rPr>
        <w:t>inter-ethnic co-existence</w:t>
      </w:r>
      <w:r w:rsidRPr="002F44AE">
        <w:rPr>
          <w:rFonts w:ascii="Times New Roman" w:hAnsi="Times New Roman"/>
          <w:sz w:val="24"/>
          <w:szCs w:val="24"/>
        </w:rPr>
        <w:t xml:space="preserve">. </w:t>
      </w:r>
    </w:p>
    <w:p w:rsidR="000A598D" w:rsidRPr="002F44AE" w:rsidRDefault="000A598D" w:rsidP="00374024">
      <w:pPr>
        <w:spacing w:line="480" w:lineRule="auto"/>
        <w:ind w:firstLine="720"/>
        <w:jc w:val="both"/>
        <w:rPr>
          <w:rFonts w:ascii="Times New Roman" w:hAnsi="Times New Roman"/>
          <w:sz w:val="24"/>
          <w:szCs w:val="24"/>
        </w:rPr>
      </w:pPr>
      <w:r w:rsidRPr="002F44AE">
        <w:rPr>
          <w:rFonts w:ascii="Times New Roman" w:hAnsi="Times New Roman"/>
          <w:sz w:val="24"/>
          <w:szCs w:val="24"/>
        </w:rPr>
        <w:t>The Turkish community established a political party, MRF, in January 1990</w:t>
      </w:r>
      <w:r>
        <w:rPr>
          <w:rFonts w:ascii="Times New Roman" w:hAnsi="Times New Roman"/>
          <w:sz w:val="24"/>
          <w:szCs w:val="24"/>
        </w:rPr>
        <w:t>. The party</w:t>
      </w:r>
      <w:r w:rsidRPr="002F44AE">
        <w:rPr>
          <w:rFonts w:ascii="Times New Roman" w:hAnsi="Times New Roman"/>
          <w:sz w:val="24"/>
          <w:szCs w:val="24"/>
        </w:rPr>
        <w:t xml:space="preserve"> secure</w:t>
      </w:r>
      <w:r>
        <w:rPr>
          <w:rFonts w:ascii="Times New Roman" w:hAnsi="Times New Roman"/>
          <w:sz w:val="24"/>
          <w:szCs w:val="24"/>
        </w:rPr>
        <w:t>d</w:t>
      </w:r>
      <w:r w:rsidRPr="002F44AE">
        <w:rPr>
          <w:rFonts w:ascii="Times New Roman" w:hAnsi="Times New Roman"/>
          <w:sz w:val="24"/>
          <w:szCs w:val="24"/>
        </w:rPr>
        <w:t xml:space="preserve"> 23 seats in the first democratic elections</w:t>
      </w:r>
      <w:r>
        <w:rPr>
          <w:rFonts w:ascii="Times New Roman" w:hAnsi="Times New Roman"/>
          <w:sz w:val="24"/>
          <w:szCs w:val="24"/>
        </w:rPr>
        <w:t xml:space="preserve">, and this proved instrumental </w:t>
      </w:r>
      <w:r w:rsidRPr="002F44AE">
        <w:rPr>
          <w:rFonts w:ascii="Times New Roman" w:hAnsi="Times New Roman"/>
          <w:sz w:val="24"/>
          <w:szCs w:val="24"/>
        </w:rPr>
        <w:t xml:space="preserve">in advancing the rights of Turkish community. MRF’s participation in Bulgarian politics, however, was </w:t>
      </w:r>
      <w:r>
        <w:rPr>
          <w:rFonts w:ascii="Times New Roman" w:hAnsi="Times New Roman"/>
          <w:sz w:val="24"/>
          <w:szCs w:val="24"/>
        </w:rPr>
        <w:t>not</w:t>
      </w:r>
      <w:r w:rsidR="00147C1E">
        <w:rPr>
          <w:rFonts w:ascii="Times New Roman" w:hAnsi="Times New Roman"/>
          <w:sz w:val="24"/>
          <w:szCs w:val="24"/>
        </w:rPr>
        <w:t xml:space="preserve"> </w:t>
      </w:r>
      <w:r>
        <w:rPr>
          <w:rFonts w:ascii="Times New Roman" w:hAnsi="Times New Roman"/>
          <w:sz w:val="24"/>
          <w:szCs w:val="24"/>
        </w:rPr>
        <w:t>straightforward</w:t>
      </w:r>
      <w:r w:rsidRPr="002F44AE">
        <w:rPr>
          <w:rFonts w:ascii="Times New Roman" w:hAnsi="Times New Roman"/>
          <w:sz w:val="24"/>
          <w:szCs w:val="24"/>
        </w:rPr>
        <w:t xml:space="preserve">. The Bulgarian Constitution </w:t>
      </w:r>
      <w:r>
        <w:rPr>
          <w:rFonts w:ascii="Times New Roman" w:hAnsi="Times New Roman"/>
          <w:sz w:val="24"/>
          <w:szCs w:val="24"/>
        </w:rPr>
        <w:t>is explicit:</w:t>
      </w:r>
      <w:r w:rsidR="00147C1E">
        <w:rPr>
          <w:rFonts w:ascii="Times New Roman" w:hAnsi="Times New Roman"/>
          <w:sz w:val="24"/>
          <w:szCs w:val="24"/>
        </w:rPr>
        <w:t xml:space="preserve"> </w:t>
      </w:r>
      <w:r>
        <w:rPr>
          <w:rFonts w:ascii="Times New Roman" w:hAnsi="Times New Roman"/>
          <w:sz w:val="24"/>
          <w:szCs w:val="24"/>
        </w:rPr>
        <w:t>‘T</w:t>
      </w:r>
      <w:r w:rsidRPr="002F44AE">
        <w:rPr>
          <w:rFonts w:ascii="Times New Roman" w:hAnsi="Times New Roman"/>
          <w:sz w:val="24"/>
          <w:szCs w:val="24"/>
        </w:rPr>
        <w:t>here shall be no political parties on ethnic and religious lines</w:t>
      </w:r>
      <w:r>
        <w:rPr>
          <w:rFonts w:ascii="Times New Roman" w:hAnsi="Times New Roman"/>
          <w:sz w:val="24"/>
          <w:szCs w:val="24"/>
        </w:rPr>
        <w:t>’ (1991, article 11/</w:t>
      </w:r>
      <w:r w:rsidRPr="002F44AE">
        <w:rPr>
          <w:rFonts w:ascii="Times New Roman" w:hAnsi="Times New Roman"/>
          <w:sz w:val="24"/>
          <w:szCs w:val="24"/>
        </w:rPr>
        <w:t xml:space="preserve">1). Accordingly, the MRF elites never </w:t>
      </w:r>
      <w:r>
        <w:rPr>
          <w:rFonts w:ascii="Times New Roman" w:hAnsi="Times New Roman"/>
          <w:sz w:val="24"/>
          <w:szCs w:val="24"/>
        </w:rPr>
        <w:t>worked along</w:t>
      </w:r>
      <w:r w:rsidRPr="002F44AE">
        <w:rPr>
          <w:rFonts w:ascii="Times New Roman" w:hAnsi="Times New Roman"/>
          <w:sz w:val="24"/>
          <w:szCs w:val="24"/>
        </w:rPr>
        <w:t xml:space="preserve"> ethnic lines</w:t>
      </w:r>
      <w:r>
        <w:rPr>
          <w:rFonts w:ascii="Times New Roman" w:hAnsi="Times New Roman"/>
          <w:sz w:val="24"/>
          <w:szCs w:val="24"/>
        </w:rPr>
        <w:t>. T</w:t>
      </w:r>
      <w:r w:rsidRPr="002F44AE">
        <w:rPr>
          <w:rFonts w:ascii="Times New Roman" w:hAnsi="Times New Roman"/>
          <w:sz w:val="24"/>
          <w:szCs w:val="24"/>
        </w:rPr>
        <w:t xml:space="preserve">his did not stop the nationalist segments of the mainstream political elites </w:t>
      </w:r>
      <w:r>
        <w:rPr>
          <w:rFonts w:ascii="Times New Roman" w:hAnsi="Times New Roman"/>
          <w:sz w:val="24"/>
          <w:szCs w:val="24"/>
        </w:rPr>
        <w:t xml:space="preserve">from charging the party with </w:t>
      </w:r>
      <w:r>
        <w:rPr>
          <w:rFonts w:ascii="Times New Roman" w:hAnsi="Times New Roman"/>
          <w:sz w:val="24"/>
          <w:szCs w:val="24"/>
        </w:rPr>
        <w:lastRenderedPageBreak/>
        <w:t>violating the Constitution and taking their case (twice) to</w:t>
      </w:r>
      <w:r w:rsidRPr="002F44AE">
        <w:rPr>
          <w:rFonts w:ascii="Times New Roman" w:hAnsi="Times New Roman"/>
          <w:sz w:val="24"/>
          <w:szCs w:val="24"/>
        </w:rPr>
        <w:t xml:space="preserve"> the Constitutional Court (Ni</w:t>
      </w:r>
      <w:r>
        <w:rPr>
          <w:rFonts w:ascii="Times New Roman" w:hAnsi="Times New Roman"/>
          <w:sz w:val="24"/>
          <w:szCs w:val="24"/>
        </w:rPr>
        <w:t>tzova</w:t>
      </w:r>
      <w:r w:rsidRPr="002F44AE">
        <w:rPr>
          <w:rFonts w:ascii="Times New Roman" w:hAnsi="Times New Roman"/>
          <w:sz w:val="24"/>
          <w:szCs w:val="24"/>
        </w:rPr>
        <w:t xml:space="preserve"> 1997). </w:t>
      </w:r>
      <w:r>
        <w:rPr>
          <w:rFonts w:ascii="Times New Roman" w:hAnsi="Times New Roman"/>
          <w:sz w:val="24"/>
          <w:szCs w:val="24"/>
        </w:rPr>
        <w:t xml:space="preserve">They lost both times. </w:t>
      </w:r>
      <w:r w:rsidRPr="002F44AE">
        <w:rPr>
          <w:rFonts w:ascii="Times New Roman" w:hAnsi="Times New Roman"/>
          <w:sz w:val="24"/>
          <w:szCs w:val="24"/>
        </w:rPr>
        <w:t>As Mihail Ivanov, adviser to President Zhelyu</w:t>
      </w:r>
      <w:r w:rsidR="004725DD">
        <w:rPr>
          <w:rFonts w:ascii="Times New Roman" w:hAnsi="Times New Roman"/>
          <w:sz w:val="24"/>
          <w:szCs w:val="24"/>
        </w:rPr>
        <w:t xml:space="preserve"> </w:t>
      </w:r>
      <w:r w:rsidRPr="002F44AE">
        <w:rPr>
          <w:rFonts w:ascii="Times New Roman" w:hAnsi="Times New Roman"/>
          <w:sz w:val="24"/>
          <w:szCs w:val="24"/>
        </w:rPr>
        <w:t xml:space="preserve">Zhelev on minority </w:t>
      </w:r>
      <w:r>
        <w:rPr>
          <w:rFonts w:ascii="Times New Roman" w:hAnsi="Times New Roman"/>
          <w:sz w:val="24"/>
          <w:szCs w:val="24"/>
        </w:rPr>
        <w:t xml:space="preserve">issues noted in an interview, the Court and the </w:t>
      </w:r>
      <w:r w:rsidRPr="002F44AE">
        <w:rPr>
          <w:rFonts w:ascii="Times New Roman" w:hAnsi="Times New Roman"/>
          <w:sz w:val="24"/>
          <w:szCs w:val="24"/>
        </w:rPr>
        <w:t xml:space="preserve">Central Election Commission </w:t>
      </w:r>
      <w:r>
        <w:rPr>
          <w:rFonts w:ascii="Times New Roman" w:hAnsi="Times New Roman"/>
          <w:sz w:val="24"/>
          <w:szCs w:val="24"/>
        </w:rPr>
        <w:t>were aware of</w:t>
      </w:r>
      <w:r w:rsidRPr="002F44AE">
        <w:rPr>
          <w:rFonts w:ascii="Times New Roman" w:hAnsi="Times New Roman"/>
          <w:sz w:val="24"/>
          <w:szCs w:val="24"/>
        </w:rPr>
        <w:t xml:space="preserve"> the sensitive political situation and considered the potential</w:t>
      </w:r>
      <w:r>
        <w:rPr>
          <w:rFonts w:ascii="Times New Roman" w:hAnsi="Times New Roman"/>
          <w:sz w:val="24"/>
          <w:szCs w:val="24"/>
        </w:rPr>
        <w:t>ly</w:t>
      </w:r>
      <w:r w:rsidRPr="002F44AE">
        <w:rPr>
          <w:rFonts w:ascii="Times New Roman" w:hAnsi="Times New Roman"/>
          <w:sz w:val="24"/>
          <w:szCs w:val="24"/>
        </w:rPr>
        <w:t xml:space="preserve"> devastating impact of the exclusion of </w:t>
      </w:r>
      <w:r>
        <w:rPr>
          <w:rFonts w:ascii="Times New Roman" w:hAnsi="Times New Roman"/>
          <w:sz w:val="24"/>
          <w:szCs w:val="24"/>
        </w:rPr>
        <w:t xml:space="preserve">the </w:t>
      </w:r>
      <w:r w:rsidRPr="002F44AE">
        <w:rPr>
          <w:rFonts w:ascii="Times New Roman" w:hAnsi="Times New Roman"/>
          <w:sz w:val="24"/>
          <w:szCs w:val="24"/>
        </w:rPr>
        <w:t>Turkish minority in Bulgaria</w:t>
      </w:r>
      <w:r>
        <w:rPr>
          <w:rFonts w:ascii="Times New Roman" w:hAnsi="Times New Roman"/>
          <w:sz w:val="24"/>
          <w:szCs w:val="24"/>
        </w:rPr>
        <w:t xml:space="preserve"> in their decision</w:t>
      </w:r>
      <w:r w:rsidRPr="002F44AE">
        <w:rPr>
          <w:rFonts w:ascii="Times New Roman" w:hAnsi="Times New Roman"/>
          <w:sz w:val="24"/>
          <w:szCs w:val="24"/>
        </w:rPr>
        <w:t>.</w:t>
      </w:r>
      <w:r w:rsidRPr="002F44AE">
        <w:rPr>
          <w:rStyle w:val="EndnoteReference"/>
          <w:rFonts w:ascii="Times New Roman" w:hAnsi="Times New Roman"/>
          <w:sz w:val="24"/>
          <w:szCs w:val="24"/>
        </w:rPr>
        <w:endnoteReference w:id="13"/>
      </w:r>
    </w:p>
    <w:p w:rsidR="000A598D" w:rsidRPr="001B7474" w:rsidRDefault="000A598D" w:rsidP="001B7474">
      <w:pPr>
        <w:spacing w:line="480" w:lineRule="auto"/>
        <w:ind w:firstLine="720"/>
        <w:jc w:val="both"/>
        <w:rPr>
          <w:rFonts w:ascii="Times New Roman" w:hAnsi="Times New Roman"/>
          <w:sz w:val="24"/>
          <w:szCs w:val="24"/>
        </w:rPr>
      </w:pPr>
      <w:r w:rsidRPr="002F44AE">
        <w:rPr>
          <w:rFonts w:ascii="Times New Roman" w:hAnsi="Times New Roman"/>
          <w:sz w:val="24"/>
          <w:szCs w:val="24"/>
        </w:rPr>
        <w:t xml:space="preserve">The Bulgarian Constitutional Court’s decision put </w:t>
      </w:r>
      <w:r>
        <w:rPr>
          <w:rFonts w:ascii="Times New Roman" w:hAnsi="Times New Roman"/>
          <w:sz w:val="24"/>
          <w:szCs w:val="24"/>
        </w:rPr>
        <w:t>an</w:t>
      </w:r>
      <w:r w:rsidRPr="002F44AE">
        <w:rPr>
          <w:rFonts w:ascii="Times New Roman" w:hAnsi="Times New Roman"/>
          <w:sz w:val="24"/>
          <w:szCs w:val="24"/>
        </w:rPr>
        <w:t xml:space="preserve"> end to the controversy over the legality of the Turkish party. As Bogoev underline</w:t>
      </w:r>
      <w:r>
        <w:rPr>
          <w:rFonts w:ascii="Times New Roman" w:hAnsi="Times New Roman"/>
          <w:sz w:val="24"/>
          <w:szCs w:val="24"/>
        </w:rPr>
        <w:t>s,</w:t>
      </w:r>
      <w:r w:rsidR="004725DD">
        <w:rPr>
          <w:rFonts w:ascii="Times New Roman" w:hAnsi="Times New Roman"/>
          <w:sz w:val="24"/>
          <w:szCs w:val="24"/>
        </w:rPr>
        <w:t xml:space="preserve"> </w:t>
      </w:r>
      <w:r>
        <w:rPr>
          <w:rFonts w:ascii="Times New Roman" w:hAnsi="Times New Roman"/>
          <w:sz w:val="24"/>
          <w:szCs w:val="24"/>
        </w:rPr>
        <w:t>‘T</w:t>
      </w:r>
      <w:r w:rsidRPr="002F44AE">
        <w:rPr>
          <w:rFonts w:ascii="Times New Roman" w:hAnsi="Times New Roman"/>
          <w:sz w:val="24"/>
          <w:szCs w:val="24"/>
        </w:rPr>
        <w:t>he judgement was a definitive contribution both to the democratic process and to the supremacy of law</w:t>
      </w:r>
      <w:r>
        <w:rPr>
          <w:rFonts w:ascii="Times New Roman" w:hAnsi="Times New Roman"/>
          <w:sz w:val="24"/>
          <w:szCs w:val="24"/>
        </w:rPr>
        <w:t xml:space="preserve">’ (Bagoev 2000, </w:t>
      </w:r>
      <w:r w:rsidRPr="002F44AE">
        <w:rPr>
          <w:rFonts w:ascii="Times New Roman" w:hAnsi="Times New Roman"/>
          <w:sz w:val="24"/>
          <w:szCs w:val="24"/>
        </w:rPr>
        <w:t xml:space="preserve">190). The MRF’s inclusion in Bulgarian politics via peaceful ways and the precious opportunity carved out enabled Turks to express their demands at the Bulgarian Parliament. </w:t>
      </w:r>
      <w:r>
        <w:rPr>
          <w:rFonts w:ascii="Times New Roman" w:hAnsi="Times New Roman"/>
          <w:sz w:val="24"/>
          <w:szCs w:val="24"/>
        </w:rPr>
        <w:t>T</w:t>
      </w:r>
      <w:r w:rsidRPr="002F44AE">
        <w:rPr>
          <w:rFonts w:ascii="Times New Roman" w:hAnsi="Times New Roman"/>
          <w:sz w:val="24"/>
          <w:szCs w:val="24"/>
        </w:rPr>
        <w:t xml:space="preserve">he MRF </w:t>
      </w:r>
      <w:r>
        <w:rPr>
          <w:rFonts w:ascii="Times New Roman" w:hAnsi="Times New Roman"/>
          <w:sz w:val="24"/>
          <w:szCs w:val="24"/>
        </w:rPr>
        <w:t>became</w:t>
      </w:r>
      <w:r w:rsidRPr="002F44AE">
        <w:rPr>
          <w:rFonts w:ascii="Times New Roman" w:hAnsi="Times New Roman"/>
          <w:sz w:val="24"/>
          <w:szCs w:val="24"/>
        </w:rPr>
        <w:t xml:space="preserve"> a king</w:t>
      </w:r>
      <w:r>
        <w:rPr>
          <w:rFonts w:ascii="Times New Roman" w:hAnsi="Times New Roman"/>
          <w:sz w:val="24"/>
          <w:szCs w:val="24"/>
        </w:rPr>
        <w:t>-</w:t>
      </w:r>
      <w:r w:rsidRPr="002F44AE">
        <w:rPr>
          <w:rFonts w:ascii="Times New Roman" w:hAnsi="Times New Roman"/>
          <w:sz w:val="24"/>
          <w:szCs w:val="24"/>
        </w:rPr>
        <w:t>maker in elections and played an active role in all critical legislative processes in Parliament.</w:t>
      </w:r>
    </w:p>
    <w:p w:rsidR="000A598D" w:rsidRDefault="000A598D" w:rsidP="00374024">
      <w:pPr>
        <w:spacing w:line="480" w:lineRule="auto"/>
        <w:jc w:val="both"/>
        <w:rPr>
          <w:rFonts w:ascii="Times New Roman" w:hAnsi="Times New Roman"/>
          <w:b/>
          <w:i/>
          <w:sz w:val="24"/>
          <w:szCs w:val="24"/>
        </w:rPr>
      </w:pPr>
    </w:p>
    <w:p w:rsidR="000A598D" w:rsidRPr="006516EB" w:rsidRDefault="000A598D" w:rsidP="00374024">
      <w:pPr>
        <w:spacing w:line="480" w:lineRule="auto"/>
        <w:jc w:val="both"/>
        <w:rPr>
          <w:rFonts w:ascii="Times New Roman" w:hAnsi="Times New Roman"/>
          <w:i/>
          <w:sz w:val="24"/>
          <w:szCs w:val="24"/>
        </w:rPr>
      </w:pPr>
      <w:r w:rsidRPr="006516EB">
        <w:rPr>
          <w:rFonts w:ascii="Times New Roman" w:hAnsi="Times New Roman"/>
          <w:i/>
          <w:sz w:val="24"/>
          <w:szCs w:val="24"/>
        </w:rPr>
        <w:t xml:space="preserve">The enabling role of the European Union      </w:t>
      </w:r>
    </w:p>
    <w:p w:rsidR="000A598D" w:rsidRPr="002F44AE" w:rsidRDefault="000A598D" w:rsidP="00374024">
      <w:pPr>
        <w:spacing w:line="480" w:lineRule="auto"/>
        <w:jc w:val="both"/>
        <w:rPr>
          <w:rFonts w:ascii="Times New Roman" w:hAnsi="Times New Roman"/>
          <w:sz w:val="24"/>
          <w:szCs w:val="24"/>
        </w:rPr>
      </w:pPr>
      <w:r w:rsidRPr="002F44AE">
        <w:rPr>
          <w:rFonts w:ascii="Times New Roman" w:hAnsi="Times New Roman"/>
          <w:sz w:val="24"/>
          <w:szCs w:val="24"/>
        </w:rPr>
        <w:t xml:space="preserve">Following the collapse of Communism, the integration with Euro-Atlantic structures emerged as </w:t>
      </w:r>
      <w:r>
        <w:rPr>
          <w:rFonts w:ascii="Times New Roman" w:hAnsi="Times New Roman"/>
          <w:sz w:val="24"/>
          <w:szCs w:val="24"/>
        </w:rPr>
        <w:t xml:space="preserve">a </w:t>
      </w:r>
      <w:r w:rsidRPr="002F44AE">
        <w:rPr>
          <w:rFonts w:ascii="Times New Roman" w:hAnsi="Times New Roman"/>
          <w:sz w:val="24"/>
          <w:szCs w:val="24"/>
        </w:rPr>
        <w:t xml:space="preserve">key priority for Bulgarian political elites. Even though </w:t>
      </w:r>
      <w:r>
        <w:rPr>
          <w:rFonts w:ascii="Times New Roman" w:hAnsi="Times New Roman"/>
          <w:sz w:val="24"/>
          <w:szCs w:val="24"/>
        </w:rPr>
        <w:t xml:space="preserve">the </w:t>
      </w:r>
      <w:r w:rsidRPr="002F44AE">
        <w:rPr>
          <w:rFonts w:ascii="Times New Roman" w:hAnsi="Times New Roman"/>
          <w:sz w:val="24"/>
          <w:szCs w:val="24"/>
        </w:rPr>
        <w:t xml:space="preserve">EU membership was not on the horizon during </w:t>
      </w:r>
      <w:r>
        <w:rPr>
          <w:rFonts w:ascii="Times New Roman" w:hAnsi="Times New Roman"/>
          <w:sz w:val="24"/>
          <w:szCs w:val="24"/>
        </w:rPr>
        <w:t xml:space="preserve">the </w:t>
      </w:r>
      <w:r w:rsidRPr="002F44AE">
        <w:rPr>
          <w:rFonts w:ascii="Times New Roman" w:hAnsi="Times New Roman"/>
          <w:sz w:val="24"/>
          <w:szCs w:val="24"/>
        </w:rPr>
        <w:t xml:space="preserve">1990s, the pro-reform leaders of </w:t>
      </w:r>
      <w:r>
        <w:rPr>
          <w:rFonts w:ascii="Times New Roman" w:hAnsi="Times New Roman"/>
          <w:sz w:val="24"/>
          <w:szCs w:val="24"/>
        </w:rPr>
        <w:t xml:space="preserve">both </w:t>
      </w:r>
      <w:r w:rsidRPr="002F44AE">
        <w:rPr>
          <w:rFonts w:ascii="Times New Roman" w:hAnsi="Times New Roman"/>
          <w:sz w:val="24"/>
          <w:szCs w:val="24"/>
        </w:rPr>
        <w:t>the minority and majority sides framed the EU as a common denomi</w:t>
      </w:r>
      <w:r>
        <w:rPr>
          <w:rFonts w:ascii="Times New Roman" w:hAnsi="Times New Roman"/>
          <w:sz w:val="24"/>
          <w:szCs w:val="24"/>
        </w:rPr>
        <w:t xml:space="preserve">nator. The legitimacy of </w:t>
      </w:r>
      <w:r w:rsidRPr="002F44AE">
        <w:rPr>
          <w:rFonts w:ascii="Times New Roman" w:hAnsi="Times New Roman"/>
          <w:sz w:val="24"/>
          <w:szCs w:val="24"/>
        </w:rPr>
        <w:t xml:space="preserve">inclusive policies </w:t>
      </w:r>
      <w:r>
        <w:rPr>
          <w:rFonts w:ascii="Times New Roman" w:hAnsi="Times New Roman"/>
          <w:sz w:val="24"/>
          <w:szCs w:val="24"/>
        </w:rPr>
        <w:t>was</w:t>
      </w:r>
      <w:r w:rsidRPr="002F44AE">
        <w:rPr>
          <w:rFonts w:ascii="Times New Roman" w:hAnsi="Times New Roman"/>
          <w:sz w:val="24"/>
          <w:szCs w:val="24"/>
        </w:rPr>
        <w:t xml:space="preserve"> ensured </w:t>
      </w:r>
      <w:r>
        <w:rPr>
          <w:rFonts w:ascii="Times New Roman" w:hAnsi="Times New Roman"/>
          <w:sz w:val="24"/>
          <w:szCs w:val="24"/>
        </w:rPr>
        <w:t>by referring to</w:t>
      </w:r>
      <w:r w:rsidRPr="002F44AE">
        <w:rPr>
          <w:rFonts w:ascii="Times New Roman" w:hAnsi="Times New Roman"/>
          <w:sz w:val="24"/>
          <w:szCs w:val="24"/>
        </w:rPr>
        <w:t xml:space="preserve"> EU norms and values. The EU constituted one of the rare unifying targets </w:t>
      </w:r>
      <w:r>
        <w:rPr>
          <w:rFonts w:ascii="Times New Roman" w:hAnsi="Times New Roman"/>
          <w:sz w:val="24"/>
          <w:szCs w:val="24"/>
        </w:rPr>
        <w:t>upon which</w:t>
      </w:r>
      <w:r w:rsidRPr="002F44AE">
        <w:rPr>
          <w:rFonts w:ascii="Times New Roman" w:hAnsi="Times New Roman"/>
          <w:sz w:val="24"/>
          <w:szCs w:val="24"/>
        </w:rPr>
        <w:t xml:space="preserve"> ex-communists, </w:t>
      </w:r>
      <w:r>
        <w:rPr>
          <w:rFonts w:ascii="Times New Roman" w:hAnsi="Times New Roman"/>
          <w:sz w:val="24"/>
          <w:szCs w:val="24"/>
        </w:rPr>
        <w:t xml:space="preserve">the </w:t>
      </w:r>
      <w:r w:rsidRPr="002F44AE">
        <w:rPr>
          <w:rFonts w:ascii="Times New Roman" w:hAnsi="Times New Roman"/>
          <w:sz w:val="24"/>
          <w:szCs w:val="24"/>
        </w:rPr>
        <w:t>Bulgarian mainstream</w:t>
      </w:r>
      <w:r>
        <w:rPr>
          <w:rFonts w:ascii="Times New Roman" w:hAnsi="Times New Roman"/>
          <w:sz w:val="24"/>
          <w:szCs w:val="24"/>
        </w:rPr>
        <w:t>,</w:t>
      </w:r>
      <w:r w:rsidRPr="002F44AE">
        <w:rPr>
          <w:rFonts w:ascii="Times New Roman" w:hAnsi="Times New Roman"/>
          <w:sz w:val="24"/>
          <w:szCs w:val="24"/>
        </w:rPr>
        <w:t xml:space="preserve"> and </w:t>
      </w:r>
      <w:r>
        <w:rPr>
          <w:rFonts w:ascii="Times New Roman" w:hAnsi="Times New Roman"/>
          <w:sz w:val="24"/>
          <w:szCs w:val="24"/>
        </w:rPr>
        <w:t xml:space="preserve">the </w:t>
      </w:r>
      <w:r w:rsidRPr="002F44AE">
        <w:rPr>
          <w:rFonts w:ascii="Times New Roman" w:hAnsi="Times New Roman"/>
          <w:sz w:val="24"/>
          <w:szCs w:val="24"/>
        </w:rPr>
        <w:t xml:space="preserve">Turkish minority agreed.  </w:t>
      </w:r>
    </w:p>
    <w:p w:rsidR="000A598D" w:rsidRPr="002F44AE" w:rsidRDefault="000A598D" w:rsidP="00374024">
      <w:pPr>
        <w:spacing w:line="480" w:lineRule="auto"/>
        <w:ind w:firstLine="720"/>
        <w:jc w:val="both"/>
        <w:rPr>
          <w:rFonts w:ascii="Times New Roman" w:hAnsi="Times New Roman"/>
          <w:sz w:val="24"/>
          <w:szCs w:val="24"/>
        </w:rPr>
      </w:pPr>
      <w:r w:rsidRPr="002F44AE">
        <w:rPr>
          <w:rFonts w:ascii="Times New Roman" w:hAnsi="Times New Roman"/>
          <w:sz w:val="24"/>
          <w:szCs w:val="24"/>
        </w:rPr>
        <w:t>Bulgaria’s new political elites prioritized the establishment of</w:t>
      </w:r>
      <w:r>
        <w:rPr>
          <w:rFonts w:ascii="Times New Roman" w:hAnsi="Times New Roman"/>
          <w:sz w:val="24"/>
          <w:szCs w:val="24"/>
        </w:rPr>
        <w:t xml:space="preserve"> a</w:t>
      </w:r>
      <w:r w:rsidRPr="002F44AE">
        <w:rPr>
          <w:rFonts w:ascii="Times New Roman" w:hAnsi="Times New Roman"/>
          <w:sz w:val="24"/>
          <w:szCs w:val="24"/>
        </w:rPr>
        <w:t xml:space="preserve"> liberal democracy and </w:t>
      </w:r>
      <w:r>
        <w:rPr>
          <w:rFonts w:ascii="Times New Roman" w:hAnsi="Times New Roman"/>
          <w:sz w:val="24"/>
          <w:szCs w:val="24"/>
        </w:rPr>
        <w:t>a</w:t>
      </w:r>
      <w:r w:rsidRPr="002F44AE">
        <w:rPr>
          <w:rFonts w:ascii="Times New Roman" w:hAnsi="Times New Roman"/>
          <w:sz w:val="24"/>
          <w:szCs w:val="24"/>
        </w:rPr>
        <w:t xml:space="preserve"> market economy as the most viable alternatives to the ineffective state-led econom</w:t>
      </w:r>
      <w:r>
        <w:rPr>
          <w:rFonts w:ascii="Times New Roman" w:hAnsi="Times New Roman"/>
          <w:sz w:val="24"/>
          <w:szCs w:val="24"/>
        </w:rPr>
        <w:t>y developed during</w:t>
      </w:r>
      <w:r w:rsidRPr="002F44AE">
        <w:rPr>
          <w:rFonts w:ascii="Times New Roman" w:hAnsi="Times New Roman"/>
          <w:sz w:val="24"/>
          <w:szCs w:val="24"/>
        </w:rPr>
        <w:t xml:space="preserve"> the single party regimes. Zhelyu</w:t>
      </w:r>
      <w:r w:rsidR="004725DD">
        <w:rPr>
          <w:rFonts w:ascii="Times New Roman" w:hAnsi="Times New Roman"/>
          <w:sz w:val="24"/>
          <w:szCs w:val="24"/>
        </w:rPr>
        <w:t xml:space="preserve"> </w:t>
      </w:r>
      <w:r w:rsidRPr="002F44AE">
        <w:rPr>
          <w:rFonts w:ascii="Times New Roman" w:hAnsi="Times New Roman"/>
          <w:sz w:val="24"/>
          <w:szCs w:val="24"/>
        </w:rPr>
        <w:t xml:space="preserve">Zhelev was a </w:t>
      </w:r>
      <w:r w:rsidRPr="002F44AE">
        <w:rPr>
          <w:rFonts w:ascii="Times New Roman" w:hAnsi="Times New Roman"/>
          <w:sz w:val="24"/>
          <w:szCs w:val="24"/>
        </w:rPr>
        <w:lastRenderedPageBreak/>
        <w:t xml:space="preserve">dedicated liberal and true believer </w:t>
      </w:r>
      <w:r>
        <w:rPr>
          <w:rFonts w:ascii="Times New Roman" w:hAnsi="Times New Roman"/>
          <w:sz w:val="24"/>
          <w:szCs w:val="24"/>
        </w:rPr>
        <w:t xml:space="preserve">in </w:t>
      </w:r>
      <w:r w:rsidRPr="002F44AE">
        <w:rPr>
          <w:rFonts w:ascii="Times New Roman" w:hAnsi="Times New Roman"/>
          <w:sz w:val="24"/>
          <w:szCs w:val="24"/>
        </w:rPr>
        <w:t xml:space="preserve">the European project. Ahmet Doğan also claimed </w:t>
      </w:r>
      <w:r>
        <w:rPr>
          <w:rFonts w:ascii="Times New Roman" w:hAnsi="Times New Roman"/>
          <w:sz w:val="24"/>
          <w:szCs w:val="24"/>
        </w:rPr>
        <w:t>the</w:t>
      </w:r>
      <w:r w:rsidR="004725DD">
        <w:rPr>
          <w:rFonts w:ascii="Times New Roman" w:hAnsi="Times New Roman"/>
          <w:sz w:val="24"/>
          <w:szCs w:val="24"/>
        </w:rPr>
        <w:t xml:space="preserve"> </w:t>
      </w:r>
      <w:r>
        <w:rPr>
          <w:rFonts w:ascii="Times New Roman" w:hAnsi="Times New Roman"/>
          <w:sz w:val="24"/>
          <w:szCs w:val="24"/>
        </w:rPr>
        <w:t>‘</w:t>
      </w:r>
      <w:r w:rsidRPr="002F44AE">
        <w:rPr>
          <w:rFonts w:ascii="Times New Roman" w:hAnsi="Times New Roman"/>
          <w:sz w:val="24"/>
          <w:szCs w:val="24"/>
        </w:rPr>
        <w:t>Europeanisation of Bulgaria’s political and parliamentary life</w:t>
      </w:r>
      <w:r>
        <w:rPr>
          <w:rFonts w:ascii="Times New Roman" w:hAnsi="Times New Roman"/>
          <w:sz w:val="24"/>
          <w:szCs w:val="24"/>
        </w:rPr>
        <w:t>’ was</w:t>
      </w:r>
      <w:r w:rsidRPr="002F44AE">
        <w:rPr>
          <w:rFonts w:ascii="Times New Roman" w:hAnsi="Times New Roman"/>
          <w:sz w:val="24"/>
          <w:szCs w:val="24"/>
        </w:rPr>
        <w:t xml:space="preserve"> the </w:t>
      </w:r>
      <w:r>
        <w:rPr>
          <w:rFonts w:ascii="Times New Roman" w:hAnsi="Times New Roman"/>
          <w:sz w:val="24"/>
          <w:szCs w:val="24"/>
        </w:rPr>
        <w:t>best</w:t>
      </w:r>
      <w:r w:rsidRPr="002F44AE">
        <w:rPr>
          <w:rFonts w:ascii="Times New Roman" w:hAnsi="Times New Roman"/>
          <w:sz w:val="24"/>
          <w:szCs w:val="24"/>
        </w:rPr>
        <w:t xml:space="preserve"> way </w:t>
      </w:r>
      <w:r>
        <w:rPr>
          <w:rFonts w:ascii="Times New Roman" w:hAnsi="Times New Roman"/>
          <w:sz w:val="24"/>
          <w:szCs w:val="24"/>
        </w:rPr>
        <w:t>‘</w:t>
      </w:r>
      <w:r w:rsidRPr="002F44AE">
        <w:rPr>
          <w:rFonts w:ascii="Times New Roman" w:hAnsi="Times New Roman"/>
          <w:sz w:val="24"/>
          <w:szCs w:val="24"/>
        </w:rPr>
        <w:t>for guaranteeing social peace in Bulgaria</w:t>
      </w:r>
      <w:r>
        <w:rPr>
          <w:rFonts w:ascii="Times New Roman" w:hAnsi="Times New Roman"/>
          <w:sz w:val="24"/>
          <w:szCs w:val="24"/>
        </w:rPr>
        <w:t xml:space="preserve">’ (Dogan n.p.d., </w:t>
      </w:r>
      <w:r w:rsidRPr="002F44AE">
        <w:rPr>
          <w:rFonts w:ascii="Times New Roman" w:hAnsi="Times New Roman"/>
          <w:sz w:val="24"/>
          <w:szCs w:val="24"/>
        </w:rPr>
        <w:t xml:space="preserve">10) </w:t>
      </w:r>
    </w:p>
    <w:p w:rsidR="000A598D" w:rsidRPr="002F44AE" w:rsidRDefault="000A598D" w:rsidP="00374024">
      <w:pPr>
        <w:spacing w:line="480" w:lineRule="auto"/>
        <w:ind w:firstLine="720"/>
        <w:jc w:val="both"/>
        <w:rPr>
          <w:rFonts w:ascii="Times New Roman" w:hAnsi="Times New Roman"/>
          <w:sz w:val="24"/>
          <w:szCs w:val="24"/>
        </w:rPr>
      </w:pPr>
      <w:r w:rsidRPr="002F44AE">
        <w:rPr>
          <w:rFonts w:ascii="Times New Roman" w:hAnsi="Times New Roman"/>
          <w:sz w:val="24"/>
          <w:szCs w:val="24"/>
        </w:rPr>
        <w:t>The EU’s leverage over Bulgaria increased gradually over the years. The EU funded Bulgaria’s transition via PHARE programs</w:t>
      </w:r>
      <w:r>
        <w:rPr>
          <w:rFonts w:ascii="Times New Roman" w:hAnsi="Times New Roman"/>
          <w:sz w:val="24"/>
          <w:szCs w:val="24"/>
        </w:rPr>
        <w:t>,</w:t>
      </w:r>
      <w:r w:rsidRPr="002F44AE">
        <w:rPr>
          <w:rFonts w:ascii="Times New Roman" w:hAnsi="Times New Roman"/>
          <w:sz w:val="24"/>
          <w:szCs w:val="24"/>
        </w:rPr>
        <w:t xml:space="preserve"> and </w:t>
      </w:r>
      <w:r>
        <w:rPr>
          <w:rFonts w:ascii="Times New Roman" w:hAnsi="Times New Roman"/>
          <w:sz w:val="24"/>
          <w:szCs w:val="24"/>
        </w:rPr>
        <w:t>successive</w:t>
      </w:r>
      <w:r w:rsidRPr="002F44AE">
        <w:rPr>
          <w:rFonts w:ascii="Times New Roman" w:hAnsi="Times New Roman"/>
          <w:sz w:val="24"/>
          <w:szCs w:val="24"/>
        </w:rPr>
        <w:t xml:space="preserve"> Bulgarian governments received 2.36 billion euros </w:t>
      </w:r>
      <w:r>
        <w:rPr>
          <w:rFonts w:ascii="Times New Roman" w:hAnsi="Times New Roman"/>
          <w:sz w:val="24"/>
          <w:szCs w:val="24"/>
        </w:rPr>
        <w:t xml:space="preserve">during </w:t>
      </w:r>
      <w:r w:rsidRPr="002F44AE">
        <w:rPr>
          <w:rFonts w:ascii="Times New Roman" w:hAnsi="Times New Roman"/>
          <w:sz w:val="24"/>
          <w:szCs w:val="24"/>
        </w:rPr>
        <w:t>the pre-accession process from 199</w:t>
      </w:r>
      <w:r>
        <w:rPr>
          <w:rFonts w:ascii="Times New Roman" w:hAnsi="Times New Roman"/>
          <w:sz w:val="24"/>
          <w:szCs w:val="24"/>
        </w:rPr>
        <w:t>0 to 2006 (European Commission 2015,</w:t>
      </w:r>
      <w:r w:rsidRPr="002F44AE">
        <w:rPr>
          <w:rFonts w:ascii="Times New Roman" w:hAnsi="Times New Roman"/>
          <w:sz w:val="24"/>
          <w:szCs w:val="24"/>
        </w:rPr>
        <w:t xml:space="preserve"> 110). The financial support of the EU proved crucial in keeping the Bulgarian economy afloat</w:t>
      </w:r>
      <w:r>
        <w:rPr>
          <w:rFonts w:ascii="Times New Roman" w:hAnsi="Times New Roman"/>
          <w:sz w:val="24"/>
          <w:szCs w:val="24"/>
        </w:rPr>
        <w:t xml:space="preserve"> (Bechev 2012,</w:t>
      </w:r>
      <w:r w:rsidRPr="002F44AE">
        <w:rPr>
          <w:rFonts w:ascii="Times New Roman" w:hAnsi="Times New Roman"/>
          <w:sz w:val="24"/>
          <w:szCs w:val="24"/>
        </w:rPr>
        <w:t xml:space="preserve"> 115). The Copenhagen criteria and the minority friendly legislations </w:t>
      </w:r>
      <w:r>
        <w:rPr>
          <w:rFonts w:ascii="Times New Roman" w:hAnsi="Times New Roman"/>
          <w:sz w:val="24"/>
          <w:szCs w:val="24"/>
        </w:rPr>
        <w:t>prescribed by the</w:t>
      </w:r>
      <w:r w:rsidRPr="002F44AE">
        <w:rPr>
          <w:rFonts w:ascii="Times New Roman" w:hAnsi="Times New Roman"/>
          <w:sz w:val="24"/>
          <w:szCs w:val="24"/>
        </w:rPr>
        <w:t xml:space="preserve"> EU as part of </w:t>
      </w:r>
      <w:r>
        <w:rPr>
          <w:rFonts w:ascii="Times New Roman" w:hAnsi="Times New Roman"/>
          <w:sz w:val="24"/>
          <w:szCs w:val="24"/>
        </w:rPr>
        <w:t xml:space="preserve">the </w:t>
      </w:r>
      <w:r w:rsidRPr="002F44AE">
        <w:rPr>
          <w:rFonts w:ascii="Times New Roman" w:hAnsi="Times New Roman"/>
          <w:sz w:val="24"/>
          <w:szCs w:val="24"/>
        </w:rPr>
        <w:t>political convergence</w:t>
      </w:r>
      <w:r>
        <w:rPr>
          <w:rFonts w:ascii="Times New Roman" w:hAnsi="Times New Roman"/>
          <w:sz w:val="24"/>
          <w:szCs w:val="24"/>
        </w:rPr>
        <w:t>,</w:t>
      </w:r>
      <w:r w:rsidRPr="002F44AE">
        <w:rPr>
          <w:rFonts w:ascii="Times New Roman" w:hAnsi="Times New Roman"/>
          <w:sz w:val="24"/>
          <w:szCs w:val="24"/>
        </w:rPr>
        <w:t xml:space="preserve"> such as</w:t>
      </w:r>
      <w:r>
        <w:rPr>
          <w:rFonts w:ascii="Times New Roman" w:hAnsi="Times New Roman"/>
          <w:sz w:val="24"/>
          <w:szCs w:val="24"/>
        </w:rPr>
        <w:t xml:space="preserve"> the</w:t>
      </w:r>
      <w:r w:rsidRPr="002F44AE">
        <w:rPr>
          <w:rFonts w:ascii="Times New Roman" w:hAnsi="Times New Roman"/>
          <w:sz w:val="24"/>
          <w:szCs w:val="24"/>
        </w:rPr>
        <w:t xml:space="preserve"> Framework Convention on the Protection of National Minorities</w:t>
      </w:r>
      <w:r>
        <w:rPr>
          <w:rFonts w:ascii="Times New Roman" w:hAnsi="Times New Roman"/>
          <w:sz w:val="24"/>
          <w:szCs w:val="24"/>
        </w:rPr>
        <w:t>,</w:t>
      </w:r>
      <w:r w:rsidRPr="002F44AE">
        <w:rPr>
          <w:rFonts w:ascii="Times New Roman" w:hAnsi="Times New Roman"/>
          <w:sz w:val="24"/>
          <w:szCs w:val="24"/>
        </w:rPr>
        <w:t xml:space="preserve"> created </w:t>
      </w:r>
      <w:r>
        <w:rPr>
          <w:rFonts w:ascii="Times New Roman" w:hAnsi="Times New Roman"/>
          <w:sz w:val="24"/>
          <w:szCs w:val="24"/>
        </w:rPr>
        <w:t xml:space="preserve">a </w:t>
      </w:r>
      <w:r w:rsidRPr="002F44AE">
        <w:rPr>
          <w:rFonts w:ascii="Times New Roman" w:hAnsi="Times New Roman"/>
          <w:sz w:val="24"/>
          <w:szCs w:val="24"/>
        </w:rPr>
        <w:t>lock</w:t>
      </w:r>
      <w:r>
        <w:rPr>
          <w:rFonts w:ascii="Times New Roman" w:hAnsi="Times New Roman"/>
          <w:sz w:val="24"/>
          <w:szCs w:val="24"/>
        </w:rPr>
        <w:t>ed-</w:t>
      </w:r>
      <w:r w:rsidRPr="002F44AE">
        <w:rPr>
          <w:rFonts w:ascii="Times New Roman" w:hAnsi="Times New Roman"/>
          <w:sz w:val="24"/>
          <w:szCs w:val="24"/>
        </w:rPr>
        <w:t xml:space="preserve">in effect in </w:t>
      </w:r>
      <w:r>
        <w:rPr>
          <w:rFonts w:ascii="Times New Roman" w:hAnsi="Times New Roman"/>
          <w:sz w:val="24"/>
          <w:szCs w:val="24"/>
        </w:rPr>
        <w:t xml:space="preserve">the </w:t>
      </w:r>
      <w:r w:rsidRPr="002F44AE">
        <w:rPr>
          <w:rFonts w:ascii="Times New Roman" w:hAnsi="Times New Roman"/>
          <w:sz w:val="24"/>
          <w:szCs w:val="24"/>
        </w:rPr>
        <w:t>Bulgarian political system</w:t>
      </w:r>
      <w:r>
        <w:rPr>
          <w:rFonts w:ascii="Times New Roman" w:hAnsi="Times New Roman"/>
          <w:sz w:val="24"/>
          <w:szCs w:val="24"/>
        </w:rPr>
        <w:t>, consolidating</w:t>
      </w:r>
      <w:r w:rsidRPr="002F44AE">
        <w:rPr>
          <w:rFonts w:ascii="Times New Roman" w:hAnsi="Times New Roman"/>
          <w:sz w:val="24"/>
          <w:szCs w:val="24"/>
        </w:rPr>
        <w:t xml:space="preserve"> inter-ethnic moderation and reconciliation.</w:t>
      </w:r>
    </w:p>
    <w:p w:rsidR="000A598D" w:rsidRDefault="000A598D" w:rsidP="00374024">
      <w:pPr>
        <w:spacing w:line="480" w:lineRule="auto"/>
        <w:jc w:val="both"/>
        <w:rPr>
          <w:rFonts w:ascii="Times New Roman" w:hAnsi="Times New Roman"/>
          <w:b/>
          <w:i/>
          <w:sz w:val="24"/>
          <w:szCs w:val="24"/>
        </w:rPr>
      </w:pPr>
    </w:p>
    <w:p w:rsidR="000A598D" w:rsidRPr="006516EB" w:rsidRDefault="000A598D" w:rsidP="00374024">
      <w:pPr>
        <w:spacing w:line="480" w:lineRule="auto"/>
        <w:jc w:val="both"/>
        <w:rPr>
          <w:rFonts w:ascii="Times New Roman" w:hAnsi="Times New Roman"/>
          <w:b/>
          <w:sz w:val="24"/>
          <w:szCs w:val="24"/>
        </w:rPr>
      </w:pPr>
      <w:r w:rsidRPr="006516EB">
        <w:rPr>
          <w:rFonts w:ascii="Times New Roman" w:hAnsi="Times New Roman"/>
          <w:b/>
          <w:sz w:val="24"/>
          <w:szCs w:val="24"/>
        </w:rPr>
        <w:t>Lessons for Cyprus and the way forward</w:t>
      </w:r>
    </w:p>
    <w:p w:rsidR="000A598D" w:rsidRPr="002F44AE" w:rsidRDefault="000A598D" w:rsidP="00374024">
      <w:pPr>
        <w:spacing w:line="480" w:lineRule="auto"/>
        <w:jc w:val="both"/>
        <w:rPr>
          <w:rFonts w:ascii="Times New Roman" w:hAnsi="Times New Roman"/>
          <w:sz w:val="24"/>
          <w:szCs w:val="24"/>
          <w:lang w:val="en-GB"/>
        </w:rPr>
      </w:pPr>
      <w:r w:rsidRPr="002F44AE">
        <w:rPr>
          <w:rFonts w:ascii="Times New Roman" w:eastAsia="MS Mincho" w:hAnsi="Times New Roman"/>
          <w:sz w:val="24"/>
          <w:szCs w:val="24"/>
          <w:lang w:val="en-GB"/>
        </w:rPr>
        <w:t xml:space="preserve">As noted above, there are key differences between the cases of Bulgaria and Cyprus. </w:t>
      </w:r>
      <w:r>
        <w:rPr>
          <w:rFonts w:ascii="Times New Roman" w:eastAsia="MS Mincho" w:hAnsi="Times New Roman"/>
          <w:sz w:val="24"/>
          <w:szCs w:val="24"/>
          <w:lang w:val="en-GB"/>
        </w:rPr>
        <w:t>First, the presence of the EU led to very different results in the two countries. In the 1990s, t</w:t>
      </w:r>
      <w:r w:rsidRPr="002F44AE">
        <w:rPr>
          <w:rFonts w:ascii="Times New Roman" w:eastAsia="MS Mincho" w:hAnsi="Times New Roman"/>
          <w:sz w:val="24"/>
          <w:szCs w:val="24"/>
          <w:lang w:val="en-GB"/>
        </w:rPr>
        <w:t xml:space="preserve">he </w:t>
      </w:r>
      <w:r>
        <w:rPr>
          <w:rFonts w:ascii="Times New Roman" w:eastAsia="MS Mincho" w:hAnsi="Times New Roman"/>
          <w:sz w:val="24"/>
          <w:szCs w:val="24"/>
          <w:lang w:val="en-GB"/>
        </w:rPr>
        <w:t>EU</w:t>
      </w:r>
      <w:r w:rsidRPr="002F44AE">
        <w:rPr>
          <w:rFonts w:ascii="Times New Roman" w:eastAsia="MS Mincho" w:hAnsi="Times New Roman"/>
          <w:sz w:val="24"/>
          <w:szCs w:val="24"/>
          <w:lang w:val="en-GB"/>
        </w:rPr>
        <w:t xml:space="preserve"> emerged as </w:t>
      </w:r>
      <w:r>
        <w:rPr>
          <w:rFonts w:ascii="Times New Roman" w:eastAsia="MS Mincho" w:hAnsi="Times New Roman"/>
          <w:sz w:val="24"/>
          <w:szCs w:val="24"/>
          <w:lang w:val="en-GB"/>
        </w:rPr>
        <w:t>a</w:t>
      </w:r>
      <w:r w:rsidRPr="002F44AE">
        <w:rPr>
          <w:rFonts w:ascii="Times New Roman" w:eastAsia="MS Mincho" w:hAnsi="Times New Roman"/>
          <w:sz w:val="24"/>
          <w:szCs w:val="24"/>
          <w:lang w:val="en-GB"/>
        </w:rPr>
        <w:t xml:space="preserve"> new and promising actor that could use its power to </w:t>
      </w:r>
      <w:r>
        <w:rPr>
          <w:rFonts w:ascii="Times New Roman" w:eastAsia="MS Mincho" w:hAnsi="Times New Roman"/>
          <w:sz w:val="24"/>
          <w:szCs w:val="24"/>
          <w:lang w:val="en-GB"/>
        </w:rPr>
        <w:t>‘</w:t>
      </w:r>
      <w:r w:rsidRPr="002F44AE">
        <w:rPr>
          <w:rFonts w:ascii="Times New Roman" w:eastAsia="MS Mincho" w:hAnsi="Times New Roman"/>
          <w:sz w:val="24"/>
          <w:szCs w:val="24"/>
          <w:lang w:val="en-GB"/>
        </w:rPr>
        <w:t>catalyse</w:t>
      </w:r>
      <w:r>
        <w:rPr>
          <w:rFonts w:ascii="Times New Roman" w:eastAsia="MS Mincho" w:hAnsi="Times New Roman"/>
          <w:sz w:val="24"/>
          <w:szCs w:val="24"/>
          <w:lang w:val="en-GB"/>
        </w:rPr>
        <w:t>’</w:t>
      </w:r>
      <w:r w:rsidRPr="002F44AE">
        <w:rPr>
          <w:rFonts w:ascii="Times New Roman" w:eastAsia="MS Mincho" w:hAnsi="Times New Roman"/>
          <w:sz w:val="24"/>
          <w:szCs w:val="24"/>
          <w:lang w:val="en-GB"/>
        </w:rPr>
        <w:t xml:space="preserve"> a peace settlement</w:t>
      </w:r>
      <w:r>
        <w:rPr>
          <w:rFonts w:ascii="Times New Roman" w:eastAsia="MS Mincho" w:hAnsi="Times New Roman"/>
          <w:sz w:val="24"/>
          <w:szCs w:val="24"/>
          <w:lang w:val="en-GB"/>
        </w:rPr>
        <w:t xml:space="preserve"> in Cyprus</w:t>
      </w:r>
      <w:r w:rsidRPr="002F44AE">
        <w:rPr>
          <w:rFonts w:ascii="Times New Roman" w:eastAsia="MS Mincho" w:hAnsi="Times New Roman"/>
          <w:sz w:val="24"/>
          <w:szCs w:val="24"/>
          <w:lang w:val="en-GB"/>
        </w:rPr>
        <w:t xml:space="preserve"> (</w:t>
      </w:r>
      <w:r w:rsidRPr="002F44AE">
        <w:rPr>
          <w:rFonts w:ascii="Times New Roman" w:hAnsi="Times New Roman"/>
          <w:sz w:val="24"/>
          <w:szCs w:val="24"/>
          <w:lang w:val="en-GB"/>
        </w:rPr>
        <w:t>Richmond 2005; Rumelili 2007; Tocci 2007)</w:t>
      </w:r>
      <w:r w:rsidRPr="002F44AE">
        <w:rPr>
          <w:rFonts w:ascii="Times New Roman" w:eastAsia="MS Mincho" w:hAnsi="Times New Roman"/>
          <w:sz w:val="24"/>
          <w:szCs w:val="24"/>
          <w:lang w:val="en-GB"/>
        </w:rPr>
        <w:t xml:space="preserve">. As in Bulgaria, the </w:t>
      </w:r>
      <w:r w:rsidRPr="002F44AE">
        <w:rPr>
          <w:rFonts w:ascii="Times New Roman" w:hAnsi="Times New Roman"/>
          <w:snapToGrid w:val="0"/>
          <w:sz w:val="24"/>
          <w:szCs w:val="24"/>
          <w:lang w:val="en-GB" w:eastAsia="el-GR"/>
        </w:rPr>
        <w:t xml:space="preserve">EU could have provided the ideal forum to change public attitudes, by creating a </w:t>
      </w:r>
      <w:r>
        <w:rPr>
          <w:rFonts w:ascii="Times New Roman" w:hAnsi="Times New Roman"/>
          <w:snapToGrid w:val="0"/>
          <w:sz w:val="24"/>
          <w:szCs w:val="24"/>
          <w:lang w:val="en-GB" w:eastAsia="el-GR"/>
        </w:rPr>
        <w:t>‘</w:t>
      </w:r>
      <w:r w:rsidRPr="002F44AE">
        <w:rPr>
          <w:rFonts w:ascii="Times New Roman" w:hAnsi="Times New Roman"/>
          <w:snapToGrid w:val="0"/>
          <w:sz w:val="24"/>
          <w:szCs w:val="24"/>
          <w:lang w:val="en-GB" w:eastAsia="el-GR"/>
        </w:rPr>
        <w:t>win-win</w:t>
      </w:r>
      <w:r>
        <w:rPr>
          <w:rFonts w:ascii="Times New Roman" w:hAnsi="Times New Roman"/>
          <w:snapToGrid w:val="0"/>
          <w:sz w:val="24"/>
          <w:szCs w:val="24"/>
          <w:lang w:val="en-GB" w:eastAsia="el-GR"/>
        </w:rPr>
        <w:t>’</w:t>
      </w:r>
      <w:r w:rsidRPr="002F44AE">
        <w:rPr>
          <w:rFonts w:ascii="Times New Roman" w:hAnsi="Times New Roman"/>
          <w:snapToGrid w:val="0"/>
          <w:sz w:val="24"/>
          <w:szCs w:val="24"/>
          <w:lang w:val="en-GB" w:eastAsia="el-GR"/>
        </w:rPr>
        <w:t xml:space="preserve"> framework</w:t>
      </w:r>
      <w:r>
        <w:rPr>
          <w:rFonts w:ascii="Times New Roman" w:hAnsi="Times New Roman"/>
          <w:snapToGrid w:val="0"/>
          <w:sz w:val="24"/>
          <w:szCs w:val="24"/>
          <w:lang w:val="en-GB" w:eastAsia="el-GR"/>
        </w:rPr>
        <w:t xml:space="preserve"> and setting </w:t>
      </w:r>
      <w:r w:rsidRPr="002F44AE">
        <w:rPr>
          <w:rFonts w:ascii="Times New Roman" w:hAnsi="Times New Roman"/>
          <w:snapToGrid w:val="0"/>
          <w:sz w:val="24"/>
          <w:szCs w:val="24"/>
          <w:lang w:val="en-GB" w:eastAsia="el-GR"/>
        </w:rPr>
        <w:t>the stage for a settlement</w:t>
      </w:r>
      <w:r w:rsidRPr="002F44AE">
        <w:rPr>
          <w:rFonts w:ascii="Times New Roman" w:hAnsi="Times New Roman"/>
          <w:sz w:val="24"/>
          <w:szCs w:val="24"/>
          <w:lang w:val="en-GB"/>
        </w:rPr>
        <w:t xml:space="preserve"> (Yesilada</w:t>
      </w:r>
      <w:r w:rsidR="00147C1E">
        <w:rPr>
          <w:rFonts w:ascii="Times New Roman" w:hAnsi="Times New Roman"/>
          <w:sz w:val="24"/>
          <w:szCs w:val="24"/>
          <w:lang w:val="en-GB"/>
        </w:rPr>
        <w:t xml:space="preserve"> </w:t>
      </w:r>
      <w:r w:rsidRPr="002F44AE">
        <w:rPr>
          <w:rFonts w:ascii="Times New Roman" w:hAnsi="Times New Roman"/>
          <w:sz w:val="24"/>
          <w:szCs w:val="24"/>
          <w:lang w:val="en-GB"/>
        </w:rPr>
        <w:t>&amp;</w:t>
      </w:r>
      <w:r w:rsidR="00147C1E">
        <w:rPr>
          <w:rFonts w:ascii="Times New Roman" w:hAnsi="Times New Roman"/>
          <w:sz w:val="24"/>
          <w:szCs w:val="24"/>
          <w:lang w:val="en-GB"/>
        </w:rPr>
        <w:t xml:space="preserve"> </w:t>
      </w:r>
      <w:r w:rsidRPr="002F44AE">
        <w:rPr>
          <w:rFonts w:ascii="Times New Roman" w:hAnsi="Times New Roman"/>
          <w:sz w:val="24"/>
          <w:szCs w:val="24"/>
          <w:lang w:val="en-GB"/>
        </w:rPr>
        <w:t>Sozen 2002; Hadjipavlou 2007; Anastasiou 2008; Kaymak 2012).</w:t>
      </w:r>
      <w:r>
        <w:rPr>
          <w:rFonts w:ascii="Times New Roman" w:hAnsi="Times New Roman"/>
          <w:sz w:val="24"/>
          <w:szCs w:val="24"/>
          <w:lang w:val="en-GB"/>
        </w:rPr>
        <w:t xml:space="preserve"> But unlike Bulgaria, accession to the EU has not catalysed a settlement. Second, </w:t>
      </w:r>
      <w:r>
        <w:rPr>
          <w:rFonts w:ascii="Times New Roman" w:eastAsia="MS Mincho" w:hAnsi="Times New Roman"/>
          <w:sz w:val="24"/>
          <w:szCs w:val="24"/>
          <w:lang w:val="en-GB"/>
        </w:rPr>
        <w:t>u</w:t>
      </w:r>
      <w:r w:rsidRPr="002F44AE">
        <w:rPr>
          <w:rFonts w:ascii="Times New Roman" w:eastAsia="MS Mincho" w:hAnsi="Times New Roman"/>
          <w:sz w:val="24"/>
          <w:szCs w:val="24"/>
          <w:lang w:val="en-GB"/>
        </w:rPr>
        <w:t xml:space="preserve">nlike </w:t>
      </w:r>
      <w:r>
        <w:rPr>
          <w:rFonts w:ascii="Times New Roman" w:eastAsia="MS Mincho" w:hAnsi="Times New Roman"/>
          <w:sz w:val="24"/>
          <w:szCs w:val="24"/>
          <w:lang w:val="en-GB"/>
        </w:rPr>
        <w:t xml:space="preserve">the </w:t>
      </w:r>
      <w:r w:rsidRPr="002F44AE">
        <w:rPr>
          <w:rFonts w:ascii="Times New Roman" w:eastAsia="MS Mincho" w:hAnsi="Times New Roman"/>
          <w:sz w:val="24"/>
          <w:szCs w:val="24"/>
          <w:lang w:val="en-GB"/>
        </w:rPr>
        <w:t>Bulgaria</w:t>
      </w:r>
      <w:r>
        <w:rPr>
          <w:rFonts w:ascii="Times New Roman" w:eastAsia="MS Mincho" w:hAnsi="Times New Roman"/>
          <w:sz w:val="24"/>
          <w:szCs w:val="24"/>
          <w:lang w:val="en-GB"/>
        </w:rPr>
        <w:t>n conflict in the 1980s</w:t>
      </w:r>
      <w:r w:rsidRPr="002F44AE">
        <w:rPr>
          <w:rFonts w:ascii="Times New Roman" w:eastAsia="MS Mincho" w:hAnsi="Times New Roman"/>
          <w:sz w:val="24"/>
          <w:szCs w:val="24"/>
          <w:lang w:val="en-GB"/>
        </w:rPr>
        <w:t xml:space="preserve">, the </w:t>
      </w:r>
      <w:r>
        <w:rPr>
          <w:rFonts w:ascii="Times New Roman" w:eastAsia="MS Mincho" w:hAnsi="Times New Roman"/>
          <w:sz w:val="24"/>
          <w:szCs w:val="24"/>
          <w:lang w:val="en-GB"/>
        </w:rPr>
        <w:t>Cypriot one</w:t>
      </w:r>
      <w:r w:rsidRPr="002F44AE">
        <w:rPr>
          <w:rFonts w:ascii="Times New Roman" w:eastAsia="MS Mincho" w:hAnsi="Times New Roman"/>
          <w:sz w:val="24"/>
          <w:szCs w:val="24"/>
          <w:lang w:val="en-GB"/>
        </w:rPr>
        <w:t xml:space="preserve"> ha</w:t>
      </w:r>
      <w:r>
        <w:rPr>
          <w:rFonts w:ascii="Times New Roman" w:eastAsia="MS Mincho" w:hAnsi="Times New Roman"/>
          <w:sz w:val="24"/>
          <w:szCs w:val="24"/>
          <w:lang w:val="en-GB"/>
        </w:rPr>
        <w:t>s</w:t>
      </w:r>
      <w:r w:rsidRPr="002F44AE">
        <w:rPr>
          <w:rFonts w:ascii="Times New Roman" w:eastAsia="MS Mincho" w:hAnsi="Times New Roman"/>
          <w:sz w:val="24"/>
          <w:szCs w:val="24"/>
          <w:lang w:val="en-GB"/>
        </w:rPr>
        <w:t xml:space="preserve"> been relatively peaceful with almost zero casualties sin</w:t>
      </w:r>
      <w:r>
        <w:rPr>
          <w:rFonts w:ascii="Times New Roman" w:eastAsia="MS Mincho" w:hAnsi="Times New Roman"/>
          <w:sz w:val="24"/>
          <w:szCs w:val="24"/>
          <w:lang w:val="en-GB"/>
        </w:rPr>
        <w:t xml:space="preserve">ce 1974 (Doyle </w:t>
      </w:r>
      <w:r w:rsidR="004725DD">
        <w:rPr>
          <w:rFonts w:ascii="Times New Roman" w:eastAsia="MS Mincho" w:hAnsi="Times New Roman"/>
          <w:sz w:val="24"/>
          <w:szCs w:val="24"/>
          <w:lang w:val="en-GB"/>
        </w:rPr>
        <w:t xml:space="preserve">and </w:t>
      </w:r>
      <w:r>
        <w:rPr>
          <w:rFonts w:ascii="Times New Roman" w:eastAsia="MS Mincho" w:hAnsi="Times New Roman"/>
          <w:sz w:val="24"/>
          <w:szCs w:val="24"/>
          <w:lang w:val="en-GB"/>
        </w:rPr>
        <w:t xml:space="preserve">Sambanis 2006, </w:t>
      </w:r>
      <w:r w:rsidRPr="002F44AE">
        <w:rPr>
          <w:rFonts w:ascii="Times New Roman" w:eastAsia="MS Mincho" w:hAnsi="Times New Roman"/>
          <w:sz w:val="24"/>
          <w:szCs w:val="24"/>
          <w:lang w:val="en-GB"/>
        </w:rPr>
        <w:t>257-281; Heraclides</w:t>
      </w:r>
      <w:r w:rsidRPr="002F44AE">
        <w:rPr>
          <w:rFonts w:ascii="Times New Roman" w:hAnsi="Times New Roman"/>
          <w:sz w:val="24"/>
          <w:szCs w:val="24"/>
          <w:lang w:val="en-GB"/>
        </w:rPr>
        <w:t xml:space="preserve"> 20</w:t>
      </w:r>
      <w:r>
        <w:rPr>
          <w:rFonts w:ascii="Times New Roman" w:hAnsi="Times New Roman"/>
          <w:sz w:val="24"/>
          <w:szCs w:val="24"/>
          <w:lang w:val="en-GB"/>
        </w:rPr>
        <w:t>11</w:t>
      </w:r>
      <w:r w:rsidRPr="002F44AE">
        <w:rPr>
          <w:rFonts w:ascii="Times New Roman" w:eastAsia="MS Mincho" w:hAnsi="Times New Roman"/>
          <w:sz w:val="24"/>
          <w:szCs w:val="24"/>
          <w:lang w:val="en-GB"/>
        </w:rPr>
        <w:t xml:space="preserve">). This fact </w:t>
      </w:r>
      <w:r>
        <w:rPr>
          <w:rFonts w:ascii="Times New Roman" w:eastAsia="MS Mincho" w:hAnsi="Times New Roman"/>
          <w:sz w:val="24"/>
          <w:szCs w:val="24"/>
          <w:lang w:val="en-GB"/>
        </w:rPr>
        <w:t>alone could have been</w:t>
      </w:r>
      <w:r w:rsidRPr="002F44AE">
        <w:rPr>
          <w:rFonts w:ascii="Times New Roman" w:eastAsia="MS Mincho" w:hAnsi="Times New Roman"/>
          <w:sz w:val="24"/>
          <w:szCs w:val="24"/>
          <w:lang w:val="en-GB"/>
        </w:rPr>
        <w:t xml:space="preserve"> conducive for a</w:t>
      </w:r>
      <w:r>
        <w:rPr>
          <w:rFonts w:ascii="Times New Roman" w:eastAsia="MS Mincho" w:hAnsi="Times New Roman"/>
          <w:sz w:val="24"/>
          <w:szCs w:val="24"/>
          <w:lang w:val="en-GB"/>
        </w:rPr>
        <w:t xml:space="preserve"> peace settlement</w:t>
      </w:r>
      <w:r w:rsidRPr="002F44AE">
        <w:rPr>
          <w:rFonts w:ascii="Times New Roman" w:eastAsia="MS Mincho" w:hAnsi="Times New Roman"/>
          <w:sz w:val="24"/>
          <w:szCs w:val="24"/>
          <w:lang w:val="en-GB"/>
        </w:rPr>
        <w:t xml:space="preserve"> since unlike post-Zhivkov </w:t>
      </w:r>
      <w:r w:rsidRPr="002F44AE">
        <w:rPr>
          <w:rFonts w:ascii="Times New Roman" w:eastAsia="MS Mincho" w:hAnsi="Times New Roman"/>
          <w:sz w:val="24"/>
          <w:szCs w:val="24"/>
          <w:lang w:val="en-GB"/>
        </w:rPr>
        <w:lastRenderedPageBreak/>
        <w:t>Bulgaria</w:t>
      </w:r>
      <w:r>
        <w:rPr>
          <w:rFonts w:ascii="Times New Roman" w:eastAsia="MS Mincho" w:hAnsi="Times New Roman"/>
          <w:sz w:val="24"/>
          <w:szCs w:val="24"/>
          <w:lang w:val="en-GB"/>
        </w:rPr>
        <w:t>,</w:t>
      </w:r>
      <w:r w:rsidRPr="002F44AE">
        <w:rPr>
          <w:rFonts w:ascii="Times New Roman" w:eastAsia="MS Mincho" w:hAnsi="Times New Roman"/>
          <w:sz w:val="24"/>
          <w:szCs w:val="24"/>
          <w:lang w:val="en-GB"/>
        </w:rPr>
        <w:t xml:space="preserve"> a generation of Cypriots has grown </w:t>
      </w:r>
      <w:r>
        <w:rPr>
          <w:rFonts w:ascii="Times New Roman" w:eastAsia="MS Mincho" w:hAnsi="Times New Roman"/>
          <w:sz w:val="24"/>
          <w:szCs w:val="24"/>
          <w:lang w:val="en-GB"/>
        </w:rPr>
        <w:t xml:space="preserve">up </w:t>
      </w:r>
      <w:r w:rsidRPr="002F44AE">
        <w:rPr>
          <w:rFonts w:ascii="Times New Roman" w:eastAsia="MS Mincho" w:hAnsi="Times New Roman"/>
          <w:sz w:val="24"/>
          <w:szCs w:val="24"/>
          <w:lang w:val="en-GB"/>
        </w:rPr>
        <w:t xml:space="preserve">with almost no direct exposure to violence. </w:t>
      </w:r>
      <w:r>
        <w:rPr>
          <w:rFonts w:ascii="Times New Roman" w:eastAsia="MS Mincho" w:hAnsi="Times New Roman"/>
          <w:sz w:val="24"/>
          <w:szCs w:val="24"/>
          <w:lang w:val="en-GB"/>
        </w:rPr>
        <w:t>Yet</w:t>
      </w:r>
      <w:r w:rsidRPr="002F44AE">
        <w:rPr>
          <w:rFonts w:ascii="Times New Roman" w:eastAsia="MS Mincho" w:hAnsi="Times New Roman"/>
          <w:sz w:val="24"/>
          <w:szCs w:val="24"/>
          <w:lang w:val="en-GB"/>
        </w:rPr>
        <w:t xml:space="preserve"> Cyprus has remained divided</w:t>
      </w:r>
      <w:r>
        <w:rPr>
          <w:rFonts w:ascii="Times New Roman" w:eastAsia="MS Mincho" w:hAnsi="Times New Roman"/>
          <w:sz w:val="24"/>
          <w:szCs w:val="24"/>
          <w:lang w:val="en-GB"/>
        </w:rPr>
        <w:t>, with</w:t>
      </w:r>
      <w:r w:rsidRPr="002F44AE">
        <w:rPr>
          <w:rFonts w:ascii="Times New Roman" w:eastAsia="MS Mincho" w:hAnsi="Times New Roman"/>
          <w:sz w:val="24"/>
          <w:szCs w:val="24"/>
          <w:lang w:val="en-GB"/>
        </w:rPr>
        <w:t xml:space="preserve"> repeated failures in UN mediations. </w:t>
      </w:r>
    </w:p>
    <w:p w:rsidR="000A598D" w:rsidRDefault="000A598D" w:rsidP="00374024">
      <w:pPr>
        <w:pStyle w:val="NormalWeb"/>
        <w:shd w:val="clear" w:color="auto" w:fill="FFFFFF"/>
        <w:spacing w:before="0" w:beforeAutospacing="0" w:after="0" w:afterAutospacing="0" w:line="480" w:lineRule="auto"/>
        <w:ind w:firstLine="720"/>
        <w:jc w:val="both"/>
        <w:rPr>
          <w:color w:val="000000"/>
        </w:rPr>
      </w:pPr>
      <w:r w:rsidRPr="002F44AE">
        <w:rPr>
          <w:color w:val="000000"/>
        </w:rPr>
        <w:t xml:space="preserve">Although no final settlement has been reached in Cyprus, </w:t>
      </w:r>
      <w:r>
        <w:rPr>
          <w:color w:val="000000"/>
        </w:rPr>
        <w:t>some</w:t>
      </w:r>
      <w:r w:rsidRPr="002F44AE">
        <w:rPr>
          <w:color w:val="000000"/>
        </w:rPr>
        <w:t xml:space="preserve"> significant progress in the relations of the two communities </w:t>
      </w:r>
      <w:r>
        <w:rPr>
          <w:color w:val="000000"/>
        </w:rPr>
        <w:t>is reminiscent of</w:t>
      </w:r>
      <w:r w:rsidRPr="002F44AE">
        <w:rPr>
          <w:color w:val="000000"/>
        </w:rPr>
        <w:t xml:space="preserve"> the Bulgarian-Turkish case. </w:t>
      </w:r>
      <w:r>
        <w:rPr>
          <w:color w:val="000000"/>
        </w:rPr>
        <w:t>For example</w:t>
      </w:r>
      <w:r w:rsidRPr="002F44AE">
        <w:rPr>
          <w:color w:val="000000"/>
        </w:rPr>
        <w:t xml:space="preserve">, the two communities have made important early steps in </w:t>
      </w:r>
      <w:r>
        <w:rPr>
          <w:color w:val="000000"/>
        </w:rPr>
        <w:t xml:space="preserve">reconciliation areas particularly with regards to addressing the question of the missing, </w:t>
      </w:r>
      <w:r w:rsidRPr="002F44AE">
        <w:rPr>
          <w:color w:val="000000"/>
        </w:rPr>
        <w:t>developing</w:t>
      </w:r>
      <w:r>
        <w:rPr>
          <w:color w:val="000000"/>
        </w:rPr>
        <w:t xml:space="preserve"> successful </w:t>
      </w:r>
      <w:r w:rsidRPr="002F44AE">
        <w:rPr>
          <w:color w:val="000000"/>
        </w:rPr>
        <w:t xml:space="preserve">bi-communal projects and cooperation across a wide range of humanitarian, cultural, environmental, crisis management and other issues. </w:t>
      </w:r>
    </w:p>
    <w:p w:rsidR="000A598D" w:rsidRPr="00330A18" w:rsidRDefault="000A598D" w:rsidP="00374024">
      <w:pPr>
        <w:pStyle w:val="NormalWeb"/>
        <w:shd w:val="clear" w:color="auto" w:fill="FFFFFF"/>
        <w:spacing w:before="0" w:beforeAutospacing="0" w:after="0" w:afterAutospacing="0" w:line="480" w:lineRule="auto"/>
        <w:ind w:firstLine="720"/>
        <w:jc w:val="both"/>
        <w:rPr>
          <w:snapToGrid w:val="0"/>
          <w:lang w:eastAsia="el-GR"/>
        </w:rPr>
      </w:pPr>
      <w:r w:rsidRPr="004725DD">
        <w:t>The most</w:t>
      </w:r>
      <w:r w:rsidRPr="002F44AE">
        <w:t xml:space="preserve"> significant </w:t>
      </w:r>
      <w:r>
        <w:t>example</w:t>
      </w:r>
      <w:r w:rsidRPr="002F44AE">
        <w:t xml:space="preserve"> is the Committee for Missing Persons (CMP), an institutionalized bicommunal body responsible for the exhumations of those individuals reported as missing in the inter-communal fighting of the 1960s and early 1970s, as well as in the events of July 1974 and afterward. Despite the political stalemates in bicommunal talks, the CMP has become </w:t>
      </w:r>
      <w:r>
        <w:t>a very</w:t>
      </w:r>
      <w:r w:rsidRPr="002F44AE">
        <w:t xml:space="preserve"> successful bicommunal project, having exhumed the remains of more than half of the missing</w:t>
      </w:r>
      <w:r>
        <w:t>,</w:t>
      </w:r>
      <w:r w:rsidR="00147C1E">
        <w:t xml:space="preserve"> </w:t>
      </w:r>
      <w:r>
        <w:t>despite</w:t>
      </w:r>
      <w:r w:rsidRPr="002F44AE">
        <w:t xml:space="preserve"> protracted </w:t>
      </w:r>
      <w:r>
        <w:t xml:space="preserve">political </w:t>
      </w:r>
      <w:r w:rsidRPr="002F44AE">
        <w:t>stalemates.</w:t>
      </w:r>
      <w:r w:rsidRPr="002F44AE">
        <w:rPr>
          <w:snapToGrid w:val="0"/>
          <w:lang w:eastAsia="el-GR"/>
        </w:rPr>
        <w:t xml:space="preserve"> Creating the infrastructure and, more importantly, the public knowledge </w:t>
      </w:r>
      <w:r>
        <w:rPr>
          <w:snapToGrid w:val="0"/>
          <w:lang w:eastAsia="el-GR"/>
        </w:rPr>
        <w:t>of</w:t>
      </w:r>
      <w:r w:rsidRPr="002F44AE">
        <w:rPr>
          <w:snapToGrid w:val="0"/>
          <w:lang w:eastAsia="el-GR"/>
        </w:rPr>
        <w:t xml:space="preserve"> DNA extraction proved extremely important when the government appealed to the Turkish Cypriot relatives of the missing to give blood samples to enable the matching of the </w:t>
      </w:r>
      <w:r>
        <w:rPr>
          <w:snapToGrid w:val="0"/>
          <w:lang w:eastAsia="el-GR"/>
        </w:rPr>
        <w:t>community’s</w:t>
      </w:r>
      <w:r w:rsidRPr="002F44AE">
        <w:rPr>
          <w:snapToGrid w:val="0"/>
          <w:lang w:eastAsia="el-GR"/>
        </w:rPr>
        <w:t xml:space="preserve"> missing with their families.</w:t>
      </w:r>
      <w:r>
        <w:rPr>
          <w:snapToGrid w:val="0"/>
          <w:lang w:eastAsia="el-GR"/>
        </w:rPr>
        <w:t xml:space="preserve"> J</w:t>
      </w:r>
      <w:r w:rsidRPr="002F44AE">
        <w:rPr>
          <w:snapToGrid w:val="0"/>
          <w:lang w:eastAsia="el-GR"/>
        </w:rPr>
        <w:t xml:space="preserve">ournalists </w:t>
      </w:r>
      <w:r>
        <w:rPr>
          <w:snapToGrid w:val="0"/>
          <w:lang w:eastAsia="el-GR"/>
        </w:rPr>
        <w:t xml:space="preserve">have played a role as well, </w:t>
      </w:r>
      <w:r w:rsidRPr="002F44AE">
        <w:rPr>
          <w:snapToGrid w:val="0"/>
          <w:lang w:eastAsia="el-GR"/>
        </w:rPr>
        <w:t>challeng</w:t>
      </w:r>
      <w:r>
        <w:rPr>
          <w:snapToGrid w:val="0"/>
          <w:lang w:eastAsia="el-GR"/>
        </w:rPr>
        <w:t>ing</w:t>
      </w:r>
      <w:r w:rsidRPr="002F44AE">
        <w:rPr>
          <w:snapToGrid w:val="0"/>
          <w:lang w:eastAsia="el-GR"/>
        </w:rPr>
        <w:t xml:space="preserve"> the dominant views in their </w:t>
      </w:r>
      <w:r>
        <w:rPr>
          <w:snapToGrid w:val="0"/>
          <w:lang w:eastAsia="el-GR"/>
        </w:rPr>
        <w:t xml:space="preserve">respective </w:t>
      </w:r>
      <w:r w:rsidRPr="002F44AE">
        <w:rPr>
          <w:snapToGrid w:val="0"/>
          <w:lang w:eastAsia="el-GR"/>
        </w:rPr>
        <w:t xml:space="preserve">communities by emphasizing the common victimhood of all families of the missing. A prominent example </w:t>
      </w:r>
      <w:r>
        <w:rPr>
          <w:snapToGrid w:val="0"/>
          <w:lang w:eastAsia="el-GR"/>
        </w:rPr>
        <w:t>has been</w:t>
      </w:r>
      <w:r w:rsidR="004725DD">
        <w:rPr>
          <w:snapToGrid w:val="0"/>
          <w:lang w:eastAsia="el-GR"/>
        </w:rPr>
        <w:t xml:space="preserve"> </w:t>
      </w:r>
      <w:r w:rsidRPr="002F44AE">
        <w:rPr>
          <w:bCs/>
        </w:rPr>
        <w:t>Sevgül</w:t>
      </w:r>
      <w:r w:rsidR="004725DD">
        <w:rPr>
          <w:bCs/>
        </w:rPr>
        <w:t xml:space="preserve"> </w:t>
      </w:r>
      <w:r w:rsidRPr="002F44AE">
        <w:rPr>
          <w:bCs/>
        </w:rPr>
        <w:t>Uludağ</w:t>
      </w:r>
      <w:r>
        <w:rPr>
          <w:bCs/>
        </w:rPr>
        <w:t>; her</w:t>
      </w:r>
      <w:r w:rsidR="004725DD">
        <w:rPr>
          <w:bCs/>
        </w:rPr>
        <w:t xml:space="preserve"> </w:t>
      </w:r>
      <w:r>
        <w:t xml:space="preserve">newspaper </w:t>
      </w:r>
      <w:r w:rsidRPr="002F44AE">
        <w:t xml:space="preserve">articles and books have been published on both sides of the divide, despite persecution and continuous threats on her life </w:t>
      </w:r>
      <w:r w:rsidRPr="002F44AE">
        <w:rPr>
          <w:bCs/>
        </w:rPr>
        <w:t>(2006)</w:t>
      </w:r>
      <w:r w:rsidRPr="002F44AE">
        <w:t>.</w:t>
      </w:r>
      <w:r>
        <w:rPr>
          <w:rStyle w:val="EndnoteReference"/>
        </w:rPr>
        <w:endnoteReference w:id="14"/>
      </w:r>
      <w:r>
        <w:t xml:space="preserve"> More importantly, her readers often provided additional information for suspected massacre sites enabling exhumations and the recovery of the missing persons.   </w:t>
      </w:r>
    </w:p>
    <w:p w:rsidR="000A598D" w:rsidRPr="00AF4FD4" w:rsidRDefault="000A598D" w:rsidP="00374024">
      <w:pPr>
        <w:pStyle w:val="NormalWeb"/>
        <w:shd w:val="clear" w:color="auto" w:fill="FFFFFF"/>
        <w:spacing w:before="0" w:beforeAutospacing="0" w:after="0" w:afterAutospacing="0" w:line="480" w:lineRule="auto"/>
        <w:ind w:firstLine="720"/>
        <w:jc w:val="both"/>
      </w:pPr>
      <w:r w:rsidRPr="002F44AE">
        <w:lastRenderedPageBreak/>
        <w:t xml:space="preserve">Since 2004, both </w:t>
      </w:r>
      <w:r>
        <w:t xml:space="preserve">members of both </w:t>
      </w:r>
      <w:r w:rsidRPr="002F44AE">
        <w:t xml:space="preserve">communities have collaborated in the process of exhuming </w:t>
      </w:r>
      <w:r>
        <w:t>bodies</w:t>
      </w:r>
      <w:r w:rsidRPr="002F44AE">
        <w:t xml:space="preserve">, </w:t>
      </w:r>
      <w:r>
        <w:t xml:space="preserve">thus </w:t>
      </w:r>
      <w:r w:rsidRPr="002F44AE">
        <w:t>indirectly acknowledging their responsibilities for violent crimes. In comparative terms</w:t>
      </w:r>
      <w:r>
        <w:t xml:space="preserve"> (see Kovras</w:t>
      </w:r>
      <w:r w:rsidRPr="002F44AE">
        <w:t xml:space="preserve"> 201</w:t>
      </w:r>
      <w:r>
        <w:t>4</w:t>
      </w:r>
      <w:r w:rsidRPr="002F44AE">
        <w:t xml:space="preserve">), the number of exhumations is a major success for a divided island; </w:t>
      </w:r>
      <w:r>
        <w:t>like</w:t>
      </w:r>
      <w:r w:rsidRPr="002F44AE">
        <w:t xml:space="preserve"> Bulgaria</w:t>
      </w:r>
      <w:r>
        <w:t>’s recognition of</w:t>
      </w:r>
      <w:r w:rsidRPr="002F44AE">
        <w:t xml:space="preserve"> past wrong-doings</w:t>
      </w:r>
      <w:r>
        <w:t>,</w:t>
      </w:r>
      <w:r w:rsidR="00CE2C27">
        <w:t xml:space="preserve"> </w:t>
      </w:r>
      <w:r>
        <w:t>in Cyprus the trauma of the missing</w:t>
      </w:r>
      <w:r w:rsidR="00147C1E">
        <w:t xml:space="preserve"> </w:t>
      </w:r>
      <w:r>
        <w:t>has</w:t>
      </w:r>
      <w:r w:rsidRPr="002F44AE">
        <w:t xml:space="preserve"> initiate</w:t>
      </w:r>
      <w:r>
        <w:t>d</w:t>
      </w:r>
      <w:r w:rsidRPr="002F44AE">
        <w:t xml:space="preserve"> a process of </w:t>
      </w:r>
      <w:r>
        <w:t>reconciliation</w:t>
      </w:r>
      <w:r w:rsidRPr="002F44AE">
        <w:t xml:space="preserve"> across communities</w:t>
      </w:r>
      <w:r>
        <w:t xml:space="preserve"> and at the leadership level</w:t>
      </w:r>
      <w:r w:rsidRPr="002F44AE">
        <w:t xml:space="preserve">. </w:t>
      </w:r>
      <w:r>
        <w:t>A</w:t>
      </w:r>
      <w:r w:rsidR="00147C1E">
        <w:t xml:space="preserve"> </w:t>
      </w:r>
      <w:r>
        <w:t>major</w:t>
      </w:r>
      <w:r w:rsidR="00147C1E">
        <w:t xml:space="preserve"> </w:t>
      </w:r>
      <w:r>
        <w:t>initiative in late 2018 included the joint declaration of Greek and Turkish Cypriot political parties asking for the construction of common memorial sites for the dead and the declaration of a joint day for commemorating the victims of the Cyprus conflict.</w:t>
      </w:r>
      <w:r>
        <w:rPr>
          <w:rStyle w:val="EndnoteReference"/>
          <w:lang w:val="el-GR"/>
        </w:rPr>
        <w:endnoteReference w:id="15"/>
      </w:r>
    </w:p>
    <w:p w:rsidR="000A598D" w:rsidRPr="000A598D" w:rsidRDefault="000A598D" w:rsidP="00374024">
      <w:pPr>
        <w:spacing w:line="480" w:lineRule="auto"/>
        <w:jc w:val="both"/>
        <w:rPr>
          <w:rFonts w:ascii="Times New Roman" w:hAnsi="Times New Roman"/>
          <w:sz w:val="24"/>
          <w:szCs w:val="24"/>
          <w:lang w:val="en-GB" w:eastAsia="en-GB"/>
        </w:rPr>
      </w:pPr>
    </w:p>
    <w:p w:rsidR="000A598D" w:rsidRPr="00330A18" w:rsidRDefault="000A598D" w:rsidP="00374024">
      <w:pPr>
        <w:spacing w:line="480" w:lineRule="auto"/>
        <w:jc w:val="both"/>
        <w:rPr>
          <w:rFonts w:ascii="Times New Roman" w:hAnsi="Times New Roman"/>
          <w:b/>
          <w:sz w:val="24"/>
          <w:szCs w:val="24"/>
          <w:lang w:val="en-GB" w:eastAsia="en-GB"/>
        </w:rPr>
      </w:pPr>
      <w:r w:rsidRPr="00330A18">
        <w:rPr>
          <w:rFonts w:ascii="Times New Roman" w:hAnsi="Times New Roman"/>
          <w:b/>
          <w:sz w:val="24"/>
          <w:szCs w:val="24"/>
          <w:lang w:val="en-GB" w:eastAsia="en-GB"/>
        </w:rPr>
        <w:t>Moderate Leadership</w:t>
      </w:r>
      <w:r>
        <w:rPr>
          <w:rFonts w:ascii="Times New Roman" w:hAnsi="Times New Roman"/>
          <w:b/>
          <w:sz w:val="24"/>
          <w:szCs w:val="24"/>
          <w:lang w:val="en-GB" w:eastAsia="en-GB"/>
        </w:rPr>
        <w:t>?</w:t>
      </w:r>
    </w:p>
    <w:p w:rsidR="000A598D" w:rsidRPr="002F44AE" w:rsidRDefault="000A598D" w:rsidP="00374024">
      <w:pPr>
        <w:spacing w:line="480" w:lineRule="auto"/>
        <w:jc w:val="both"/>
        <w:rPr>
          <w:rFonts w:ascii="Times New Roman" w:hAnsi="Times New Roman"/>
          <w:sz w:val="24"/>
          <w:szCs w:val="24"/>
          <w:lang w:val="en-GB" w:eastAsia="en-GB"/>
        </w:rPr>
      </w:pPr>
      <w:r>
        <w:rPr>
          <w:rFonts w:ascii="Times New Roman" w:hAnsi="Times New Roman"/>
          <w:sz w:val="24"/>
          <w:szCs w:val="24"/>
          <w:lang w:val="en-GB" w:eastAsia="en-GB"/>
        </w:rPr>
        <w:t xml:space="preserve">Another key dimension in the Cyprus-Bulgaria comparison relates to the role of leadership.  </w:t>
      </w:r>
      <w:r w:rsidRPr="002F44AE">
        <w:rPr>
          <w:rFonts w:ascii="Times New Roman" w:hAnsi="Times New Roman"/>
          <w:sz w:val="24"/>
          <w:szCs w:val="24"/>
          <w:lang w:val="en-GB" w:eastAsia="en-GB"/>
        </w:rPr>
        <w:t>Contrary to conventional wisdom,</w:t>
      </w:r>
      <w:r>
        <w:rPr>
          <w:rFonts w:ascii="Times New Roman" w:hAnsi="Times New Roman"/>
          <w:sz w:val="24"/>
          <w:szCs w:val="24"/>
        </w:rPr>
        <w:t xml:space="preserve"> supporters of reunification</w:t>
      </w:r>
      <w:r w:rsidRPr="002F44AE">
        <w:rPr>
          <w:rFonts w:ascii="Times New Roman" w:hAnsi="Times New Roman"/>
          <w:sz w:val="24"/>
          <w:szCs w:val="24"/>
        </w:rPr>
        <w:t xml:space="preserve"> in Cyprus have frequently demonstrated how moderate leadership can reverse even the most difficult aspects of territorial division.</w:t>
      </w:r>
      <w:r w:rsidRPr="002F44AE">
        <w:rPr>
          <w:rFonts w:ascii="Times New Roman" w:hAnsi="Times New Roman"/>
          <w:sz w:val="24"/>
          <w:szCs w:val="24"/>
          <w:lang w:val="en-GB"/>
        </w:rPr>
        <w:t xml:space="preserve">  As in Bulgaria</w:t>
      </w:r>
      <w:r>
        <w:rPr>
          <w:rFonts w:ascii="Times New Roman" w:hAnsi="Times New Roman"/>
          <w:sz w:val="24"/>
          <w:szCs w:val="24"/>
          <w:lang w:val="en-GB"/>
        </w:rPr>
        <w:t>,</w:t>
      </w:r>
      <w:r w:rsidR="00147C1E">
        <w:rPr>
          <w:rFonts w:ascii="Times New Roman" w:hAnsi="Times New Roman"/>
          <w:sz w:val="24"/>
          <w:szCs w:val="24"/>
          <w:lang w:val="en-GB"/>
        </w:rPr>
        <w:t xml:space="preserve"> </w:t>
      </w:r>
      <w:r>
        <w:rPr>
          <w:rFonts w:ascii="Times New Roman" w:hAnsi="Times New Roman"/>
          <w:sz w:val="24"/>
          <w:szCs w:val="24"/>
          <w:lang w:val="en-GB"/>
        </w:rPr>
        <w:t xml:space="preserve">we see a type of </w:t>
      </w:r>
      <w:r w:rsidRPr="002F44AE">
        <w:rPr>
          <w:rFonts w:ascii="Times New Roman" w:hAnsi="Times New Roman"/>
          <w:sz w:val="24"/>
          <w:szCs w:val="24"/>
          <w:lang w:val="en-GB"/>
        </w:rPr>
        <w:t>moderation</w:t>
      </w:r>
      <w:r>
        <w:rPr>
          <w:rFonts w:ascii="Times New Roman" w:hAnsi="Times New Roman"/>
          <w:sz w:val="24"/>
          <w:szCs w:val="24"/>
          <w:lang w:val="en-GB"/>
        </w:rPr>
        <w:t xml:space="preserve"> across communal lines,</w:t>
      </w:r>
      <w:r w:rsidR="00147C1E">
        <w:rPr>
          <w:rFonts w:ascii="Times New Roman" w:hAnsi="Times New Roman"/>
          <w:sz w:val="24"/>
          <w:szCs w:val="24"/>
          <w:lang w:val="en-GB"/>
        </w:rPr>
        <w:t xml:space="preserve"> </w:t>
      </w:r>
      <w:r>
        <w:rPr>
          <w:rFonts w:ascii="Times New Roman" w:hAnsi="Times New Roman"/>
          <w:sz w:val="24"/>
          <w:szCs w:val="24"/>
          <w:lang w:val="en-GB"/>
        </w:rPr>
        <w:t>with leaders on both sides of the divide agreeing on certain core issues and priorities for confidence-building</w:t>
      </w:r>
      <w:r w:rsidRPr="002F44AE">
        <w:rPr>
          <w:rFonts w:ascii="Times New Roman" w:hAnsi="Times New Roman"/>
          <w:sz w:val="24"/>
          <w:szCs w:val="24"/>
          <w:lang w:val="en-GB"/>
        </w:rPr>
        <w:t xml:space="preserve">. </w:t>
      </w:r>
      <w:r>
        <w:rPr>
          <w:rFonts w:ascii="Times New Roman" w:hAnsi="Times New Roman"/>
          <w:sz w:val="24"/>
          <w:szCs w:val="24"/>
          <w:lang w:val="en-GB"/>
        </w:rPr>
        <w:t>Interestingly, even under conditions of division in</w:t>
      </w:r>
      <w:r w:rsidRPr="002F44AE">
        <w:rPr>
          <w:rFonts w:ascii="Times New Roman" w:hAnsi="Times New Roman"/>
          <w:sz w:val="24"/>
          <w:szCs w:val="24"/>
          <w:lang w:val="en-GB"/>
        </w:rPr>
        <w:t xml:space="preserve"> Cyprus, a key bicommunal project has emerged in every decade since the 1970s. Even during the darkest moments of the island’s post-1974 division (current Turkish Cypriot leader) Mustafa Akinci and Lellos</w:t>
      </w:r>
      <w:r w:rsidR="004725DD">
        <w:rPr>
          <w:rFonts w:ascii="Times New Roman" w:hAnsi="Times New Roman"/>
          <w:sz w:val="24"/>
          <w:szCs w:val="24"/>
          <w:lang w:val="en-GB"/>
        </w:rPr>
        <w:t xml:space="preserve"> </w:t>
      </w:r>
      <w:r w:rsidRPr="002F44AE">
        <w:rPr>
          <w:rFonts w:ascii="Times New Roman" w:hAnsi="Times New Roman"/>
          <w:sz w:val="24"/>
          <w:szCs w:val="24"/>
          <w:lang w:val="en-GB"/>
        </w:rPr>
        <w:t xml:space="preserve">Demetriades, the two mayors of the </w:t>
      </w:r>
      <w:r>
        <w:rPr>
          <w:rFonts w:ascii="Times New Roman" w:hAnsi="Times New Roman"/>
          <w:sz w:val="24"/>
          <w:szCs w:val="24"/>
          <w:lang w:val="en-GB"/>
        </w:rPr>
        <w:t xml:space="preserve">divided </w:t>
      </w:r>
      <w:r w:rsidRPr="002F44AE">
        <w:rPr>
          <w:rFonts w:ascii="Times New Roman" w:hAnsi="Times New Roman"/>
          <w:sz w:val="24"/>
          <w:szCs w:val="24"/>
          <w:lang w:val="en-GB"/>
        </w:rPr>
        <w:t xml:space="preserve">capital Nicosia resorted to an ad hoc set of arrangements </w:t>
      </w:r>
      <w:r>
        <w:rPr>
          <w:rFonts w:ascii="Times New Roman" w:hAnsi="Times New Roman"/>
          <w:sz w:val="24"/>
          <w:szCs w:val="24"/>
          <w:lang w:val="en-GB"/>
        </w:rPr>
        <w:t>to address</w:t>
      </w:r>
      <w:r w:rsidRPr="002F44AE">
        <w:rPr>
          <w:rFonts w:ascii="Times New Roman" w:hAnsi="Times New Roman"/>
          <w:sz w:val="24"/>
          <w:szCs w:val="24"/>
          <w:lang w:val="en-GB"/>
        </w:rPr>
        <w:t xml:space="preserve"> the city’s impe</w:t>
      </w:r>
      <w:r>
        <w:rPr>
          <w:rFonts w:ascii="Times New Roman" w:hAnsi="Times New Roman"/>
          <w:sz w:val="24"/>
          <w:szCs w:val="24"/>
          <w:lang w:val="en-GB"/>
        </w:rPr>
        <w:t>n</w:t>
      </w:r>
      <w:r w:rsidRPr="002F44AE">
        <w:rPr>
          <w:rFonts w:ascii="Times New Roman" w:hAnsi="Times New Roman"/>
          <w:sz w:val="24"/>
          <w:szCs w:val="24"/>
          <w:lang w:val="en-GB"/>
        </w:rPr>
        <w:t>ding environmental disaster caused by the absence of a sewer system. Leaving legalistic formalities aside, they agreed to call themselves ‘representatives’, rather than ‘mayors’, of the city and managed to upgrade the city’s sewer system, thereby taking the first step to</w:t>
      </w:r>
      <w:r>
        <w:rPr>
          <w:rFonts w:ascii="Times New Roman" w:hAnsi="Times New Roman"/>
          <w:sz w:val="24"/>
          <w:szCs w:val="24"/>
          <w:lang w:val="en-GB"/>
        </w:rPr>
        <w:t>wards</w:t>
      </w:r>
      <w:r w:rsidRPr="002F44AE">
        <w:rPr>
          <w:rFonts w:ascii="Times New Roman" w:hAnsi="Times New Roman"/>
          <w:sz w:val="24"/>
          <w:szCs w:val="24"/>
          <w:lang w:val="en-GB"/>
        </w:rPr>
        <w:t xml:space="preserve"> Nicosia’s ‘underground’ </w:t>
      </w:r>
      <w:r>
        <w:rPr>
          <w:rFonts w:ascii="Times New Roman" w:hAnsi="Times New Roman"/>
          <w:sz w:val="24"/>
          <w:szCs w:val="24"/>
          <w:lang w:val="en-GB"/>
        </w:rPr>
        <w:t>re-</w:t>
      </w:r>
      <w:r w:rsidRPr="002F44AE">
        <w:rPr>
          <w:rFonts w:ascii="Times New Roman" w:hAnsi="Times New Roman"/>
          <w:sz w:val="24"/>
          <w:szCs w:val="24"/>
          <w:lang w:val="en-GB"/>
        </w:rPr>
        <w:t xml:space="preserve">unification in the early 1980s. Shortly </w:t>
      </w:r>
      <w:r w:rsidRPr="002F44AE">
        <w:rPr>
          <w:rFonts w:ascii="Times New Roman" w:hAnsi="Times New Roman"/>
          <w:sz w:val="24"/>
          <w:szCs w:val="24"/>
          <w:lang w:val="en-GB"/>
        </w:rPr>
        <w:lastRenderedPageBreak/>
        <w:t>after, the two mayors agreed on a ‘Master plan’ for Nicosia based on the framework of a ‘town which is going to be united’</w:t>
      </w:r>
      <w:r>
        <w:rPr>
          <w:rFonts w:ascii="Times New Roman" w:hAnsi="Times New Roman"/>
          <w:sz w:val="24"/>
          <w:szCs w:val="24"/>
          <w:lang w:val="en-GB"/>
        </w:rPr>
        <w:t xml:space="preserve"> (Loizides </w:t>
      </w:r>
      <w:r w:rsidRPr="002F44AE">
        <w:rPr>
          <w:rFonts w:ascii="Times New Roman" w:hAnsi="Times New Roman"/>
          <w:sz w:val="24"/>
          <w:szCs w:val="24"/>
          <w:lang w:val="en-GB"/>
        </w:rPr>
        <w:t xml:space="preserve">2016). </w:t>
      </w:r>
    </w:p>
    <w:p w:rsidR="000A598D" w:rsidRDefault="000A598D" w:rsidP="00374024">
      <w:pPr>
        <w:spacing w:line="480" w:lineRule="auto"/>
        <w:ind w:firstLine="720"/>
        <w:jc w:val="both"/>
        <w:rPr>
          <w:rFonts w:ascii="Times New Roman" w:hAnsi="Times New Roman"/>
          <w:sz w:val="24"/>
          <w:szCs w:val="24"/>
          <w:lang w:val="en-GB"/>
        </w:rPr>
      </w:pPr>
      <w:r>
        <w:rPr>
          <w:rFonts w:ascii="Times New Roman" w:hAnsi="Times New Roman"/>
          <w:sz w:val="24"/>
          <w:szCs w:val="24"/>
          <w:lang w:val="en-GB"/>
        </w:rPr>
        <w:t>T</w:t>
      </w:r>
      <w:r w:rsidRPr="002F44AE">
        <w:rPr>
          <w:rFonts w:ascii="Times New Roman" w:hAnsi="Times New Roman"/>
          <w:sz w:val="24"/>
          <w:szCs w:val="24"/>
          <w:lang w:val="en-GB"/>
        </w:rPr>
        <w:t xml:space="preserve">he 1990s also saw an intensification of the emergence of grassroots movements to support the reunification of Cyprus, not only across the ethnic divide but also across the traditional left-right division. In the Turkish Cypriot community, left-wing parties began to challenge the hegemonic position of the nationalist right. The </w:t>
      </w:r>
      <w:r w:rsidRPr="002F44AE">
        <w:rPr>
          <w:rFonts w:ascii="Times New Roman" w:hAnsi="Times New Roman"/>
          <w:i/>
          <w:sz w:val="24"/>
          <w:szCs w:val="24"/>
          <w:lang w:val="en-GB"/>
        </w:rPr>
        <w:t>Bu Memleket</w:t>
      </w:r>
      <w:r w:rsidR="004725DD">
        <w:rPr>
          <w:rFonts w:ascii="Times New Roman" w:hAnsi="Times New Roman"/>
          <w:i/>
          <w:sz w:val="24"/>
          <w:szCs w:val="24"/>
          <w:lang w:val="en-GB"/>
        </w:rPr>
        <w:t xml:space="preserve"> </w:t>
      </w:r>
      <w:r w:rsidRPr="002F44AE">
        <w:rPr>
          <w:rFonts w:ascii="Times New Roman" w:hAnsi="Times New Roman"/>
          <w:i/>
          <w:sz w:val="24"/>
          <w:szCs w:val="24"/>
          <w:lang w:val="en-GB"/>
        </w:rPr>
        <w:t>Bizim</w:t>
      </w:r>
      <w:r w:rsidRPr="002F44AE">
        <w:rPr>
          <w:rFonts w:ascii="Times New Roman" w:hAnsi="Times New Roman"/>
          <w:sz w:val="24"/>
          <w:szCs w:val="24"/>
          <w:lang w:val="en-GB"/>
        </w:rPr>
        <w:t xml:space="preserve"> (‘This Homeland is Ours’) movement brought these forces </w:t>
      </w:r>
      <w:r>
        <w:rPr>
          <w:rFonts w:ascii="Times New Roman" w:hAnsi="Times New Roman"/>
          <w:sz w:val="24"/>
          <w:szCs w:val="24"/>
          <w:lang w:val="en-GB"/>
        </w:rPr>
        <w:t xml:space="preserve">together </w:t>
      </w:r>
      <w:r w:rsidRPr="002F44AE">
        <w:rPr>
          <w:rFonts w:ascii="Times New Roman" w:hAnsi="Times New Roman"/>
          <w:sz w:val="24"/>
          <w:szCs w:val="24"/>
          <w:lang w:val="en-GB"/>
        </w:rPr>
        <w:t>and mobili</w:t>
      </w:r>
      <w:r>
        <w:rPr>
          <w:rFonts w:ascii="Times New Roman" w:hAnsi="Times New Roman"/>
          <w:sz w:val="24"/>
          <w:szCs w:val="24"/>
          <w:lang w:val="en-GB"/>
        </w:rPr>
        <w:t>z</w:t>
      </w:r>
      <w:r w:rsidRPr="002F44AE">
        <w:rPr>
          <w:rFonts w:ascii="Times New Roman" w:hAnsi="Times New Roman"/>
          <w:sz w:val="24"/>
          <w:szCs w:val="24"/>
          <w:lang w:val="en-GB"/>
        </w:rPr>
        <w:t>ed the Turkish Cypriot community in massive peace rallies in 2002-2004. As a result of these mobili</w:t>
      </w:r>
      <w:r>
        <w:rPr>
          <w:rFonts w:ascii="Times New Roman" w:hAnsi="Times New Roman"/>
          <w:sz w:val="24"/>
          <w:szCs w:val="24"/>
          <w:lang w:val="en-GB"/>
        </w:rPr>
        <w:t>z</w:t>
      </w:r>
      <w:r w:rsidRPr="002F44AE">
        <w:rPr>
          <w:rFonts w:ascii="Times New Roman" w:hAnsi="Times New Roman"/>
          <w:sz w:val="24"/>
          <w:szCs w:val="24"/>
          <w:lang w:val="en-GB"/>
        </w:rPr>
        <w:t xml:space="preserve">ations, the Turkish Republican Party (CTP) and its leader Mehmet Ali Talat gradually came to control almost all </w:t>
      </w:r>
      <w:r>
        <w:rPr>
          <w:rFonts w:ascii="Times New Roman" w:hAnsi="Times New Roman"/>
          <w:sz w:val="24"/>
          <w:szCs w:val="24"/>
          <w:lang w:val="en-GB"/>
        </w:rPr>
        <w:t>major</w:t>
      </w:r>
      <w:r w:rsidRPr="002F44AE">
        <w:rPr>
          <w:rFonts w:ascii="Times New Roman" w:hAnsi="Times New Roman"/>
          <w:sz w:val="24"/>
          <w:szCs w:val="24"/>
          <w:lang w:val="en-GB"/>
        </w:rPr>
        <w:t xml:space="preserve"> posts in the Turkish Cypriot community by 2005. In April 2003, in response to the public demand for cooperation, the Turkish Cypriot leader Rauf Denktaş lifted his restrictions on travel across the so-called Green Line that had separated the two communities for decades</w:t>
      </w:r>
      <w:r>
        <w:rPr>
          <w:rFonts w:ascii="Times New Roman" w:hAnsi="Times New Roman"/>
          <w:sz w:val="24"/>
          <w:szCs w:val="24"/>
          <w:lang w:val="en-GB"/>
        </w:rPr>
        <w:t>,</w:t>
      </w:r>
      <w:r w:rsidR="00147C1E">
        <w:rPr>
          <w:rFonts w:ascii="Times New Roman" w:hAnsi="Times New Roman"/>
          <w:sz w:val="24"/>
          <w:szCs w:val="24"/>
          <w:lang w:val="en-GB"/>
        </w:rPr>
        <w:t xml:space="preserve"> </w:t>
      </w:r>
      <w:r>
        <w:rPr>
          <w:rFonts w:ascii="Times New Roman" w:hAnsi="Times New Roman"/>
          <w:sz w:val="24"/>
          <w:szCs w:val="24"/>
          <w:lang w:val="en-GB"/>
        </w:rPr>
        <w:t xml:space="preserve">allowing travel </w:t>
      </w:r>
      <w:r w:rsidRPr="002F44AE">
        <w:rPr>
          <w:rFonts w:ascii="Times New Roman" w:hAnsi="Times New Roman"/>
          <w:sz w:val="24"/>
          <w:szCs w:val="24"/>
          <w:lang w:val="en-GB"/>
        </w:rPr>
        <w:t xml:space="preserve">for the first time since the island’s division in 1974. </w:t>
      </w:r>
      <w:r>
        <w:rPr>
          <w:rFonts w:ascii="Times New Roman" w:hAnsi="Times New Roman"/>
          <w:sz w:val="24"/>
          <w:szCs w:val="24"/>
          <w:lang w:val="en-GB"/>
        </w:rPr>
        <w:t>C</w:t>
      </w:r>
      <w:r w:rsidRPr="002F44AE">
        <w:rPr>
          <w:rFonts w:ascii="Times New Roman" w:hAnsi="Times New Roman"/>
          <w:sz w:val="24"/>
          <w:szCs w:val="24"/>
          <w:lang w:val="en-GB"/>
        </w:rPr>
        <w:t>rossing</w:t>
      </w:r>
      <w:r>
        <w:rPr>
          <w:rFonts w:ascii="Times New Roman" w:hAnsi="Times New Roman"/>
          <w:sz w:val="24"/>
          <w:szCs w:val="24"/>
          <w:lang w:val="en-GB"/>
        </w:rPr>
        <w:t>s</w:t>
      </w:r>
      <w:r w:rsidRPr="002F44AE">
        <w:rPr>
          <w:rFonts w:ascii="Times New Roman" w:hAnsi="Times New Roman"/>
          <w:sz w:val="24"/>
          <w:szCs w:val="24"/>
          <w:lang w:val="en-GB"/>
        </w:rPr>
        <w:t xml:space="preserve"> took place without violence and, in most cases, past and new owners of disputed properties engaged with each other on amicable terms. </w:t>
      </w:r>
    </w:p>
    <w:p w:rsidR="000A598D" w:rsidRPr="002F44AE" w:rsidRDefault="000A598D" w:rsidP="00374024">
      <w:pPr>
        <w:spacing w:line="480" w:lineRule="auto"/>
        <w:ind w:firstLine="720"/>
        <w:jc w:val="both"/>
        <w:rPr>
          <w:rFonts w:ascii="Times New Roman" w:hAnsi="Times New Roman"/>
          <w:sz w:val="24"/>
          <w:szCs w:val="24"/>
          <w:lang w:val="en-GB"/>
        </w:rPr>
      </w:pPr>
      <w:r w:rsidRPr="002F44AE">
        <w:rPr>
          <w:rFonts w:ascii="Times New Roman" w:hAnsi="Times New Roman"/>
          <w:sz w:val="24"/>
          <w:szCs w:val="24"/>
          <w:lang w:val="en-GB"/>
        </w:rPr>
        <w:t xml:space="preserve">The ‘Yes’ vote by the Turkish Cypriots in the 2004 Annan Plan referendum and the mere fact that Cyprus </w:t>
      </w:r>
      <w:r>
        <w:rPr>
          <w:rFonts w:ascii="Times New Roman" w:hAnsi="Times New Roman"/>
          <w:sz w:val="24"/>
          <w:szCs w:val="24"/>
          <w:lang w:val="en-GB"/>
        </w:rPr>
        <w:t>has come</w:t>
      </w:r>
      <w:r w:rsidRPr="002F44AE">
        <w:rPr>
          <w:rFonts w:ascii="Times New Roman" w:hAnsi="Times New Roman"/>
          <w:sz w:val="24"/>
          <w:szCs w:val="24"/>
          <w:lang w:val="en-GB"/>
        </w:rPr>
        <w:t xml:space="preserve"> close to a federal settlement twice since then </w:t>
      </w:r>
      <w:r>
        <w:rPr>
          <w:rFonts w:ascii="Times New Roman" w:hAnsi="Times New Roman"/>
          <w:sz w:val="24"/>
          <w:szCs w:val="24"/>
          <w:lang w:val="en-GB"/>
        </w:rPr>
        <w:t>are other</w:t>
      </w:r>
      <w:r w:rsidRPr="002F44AE">
        <w:rPr>
          <w:rFonts w:ascii="Times New Roman" w:hAnsi="Times New Roman"/>
          <w:sz w:val="24"/>
          <w:szCs w:val="24"/>
          <w:lang w:val="en-GB"/>
        </w:rPr>
        <w:t xml:space="preserve"> indication</w:t>
      </w:r>
      <w:r>
        <w:rPr>
          <w:rFonts w:ascii="Times New Roman" w:hAnsi="Times New Roman"/>
          <w:sz w:val="24"/>
          <w:szCs w:val="24"/>
          <w:lang w:val="en-GB"/>
        </w:rPr>
        <w:t>s</w:t>
      </w:r>
      <w:r w:rsidRPr="002F44AE">
        <w:rPr>
          <w:rFonts w:ascii="Times New Roman" w:hAnsi="Times New Roman"/>
          <w:sz w:val="24"/>
          <w:szCs w:val="24"/>
          <w:lang w:val="en-GB"/>
        </w:rPr>
        <w:t xml:space="preserve"> of the resilience of the peace movement in the island</w:t>
      </w:r>
      <w:r>
        <w:rPr>
          <w:rFonts w:ascii="Times New Roman" w:hAnsi="Times New Roman"/>
          <w:sz w:val="24"/>
          <w:szCs w:val="24"/>
          <w:lang w:val="en-GB"/>
        </w:rPr>
        <w:t xml:space="preserve"> and the capacity of moderate leaderships to achieve a better future for the island. </w:t>
      </w:r>
    </w:p>
    <w:p w:rsidR="000A598D" w:rsidRPr="002F44AE" w:rsidRDefault="000A598D" w:rsidP="00374024">
      <w:pPr>
        <w:spacing w:line="480" w:lineRule="auto"/>
        <w:jc w:val="both"/>
        <w:rPr>
          <w:rFonts w:ascii="Times New Roman" w:hAnsi="Times New Roman"/>
          <w:sz w:val="24"/>
          <w:szCs w:val="24"/>
          <w:lang w:val="en-GB"/>
        </w:rPr>
      </w:pPr>
    </w:p>
    <w:p w:rsidR="000A598D" w:rsidRPr="002F44AE" w:rsidRDefault="000A598D" w:rsidP="00374024">
      <w:pPr>
        <w:spacing w:line="480" w:lineRule="auto"/>
        <w:jc w:val="both"/>
        <w:rPr>
          <w:rFonts w:ascii="Times New Roman" w:hAnsi="Times New Roman"/>
          <w:b/>
          <w:sz w:val="24"/>
          <w:szCs w:val="24"/>
          <w:lang w:val="en-GB"/>
        </w:rPr>
      </w:pPr>
      <w:r w:rsidRPr="002F44AE">
        <w:rPr>
          <w:rFonts w:ascii="Times New Roman" w:hAnsi="Times New Roman"/>
          <w:b/>
          <w:sz w:val="24"/>
          <w:szCs w:val="24"/>
          <w:lang w:val="en-GB"/>
        </w:rPr>
        <w:t>Conclusion</w:t>
      </w:r>
    </w:p>
    <w:p w:rsidR="000A598D" w:rsidRDefault="00147C1E" w:rsidP="00374024">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We would argue </w:t>
      </w:r>
      <w:r w:rsidR="000A598D">
        <w:rPr>
          <w:rFonts w:ascii="Times New Roman" w:hAnsi="Times New Roman"/>
          <w:sz w:val="24"/>
          <w:szCs w:val="24"/>
          <w:lang w:val="en-GB"/>
        </w:rPr>
        <w:t xml:space="preserve">that despite the lack of a settlement, the future for Cyrus is not without hope. The Bulgarian case demonstrates that a peaceful cooperation is possible even after intense conflict. There are three main lessons from Bulgaria relevant to other </w:t>
      </w:r>
      <w:r w:rsidR="000A598D">
        <w:rPr>
          <w:rFonts w:ascii="Times New Roman" w:hAnsi="Times New Roman"/>
          <w:sz w:val="24"/>
          <w:szCs w:val="24"/>
          <w:lang w:val="en-GB"/>
        </w:rPr>
        <w:lastRenderedPageBreak/>
        <w:t>divided societies and Cyprus. The Bulgarian leadership not only recognized the role of the Turkish community in the country but also apologized for its past wrongdoings and sought effective ways to address historical injustices. The Bulgarian concessions of the 1990s did not lead to new demands, violent communal conflict, or Turkey intervening to dominate the country. Greek Cypriot hardliners often argue across these lines and emphasize fear and insecurity while pointing to the future negative influences of Turkey in order to oppose a compromise in the current peace talks. Contrary to these fears</w:t>
      </w:r>
      <w:r w:rsidR="000B60F9">
        <w:rPr>
          <w:rFonts w:ascii="Times New Roman" w:hAnsi="Times New Roman"/>
          <w:sz w:val="24"/>
          <w:szCs w:val="24"/>
          <w:lang w:val="en-GB"/>
        </w:rPr>
        <w:t xml:space="preserve"> and expectations</w:t>
      </w:r>
      <w:r w:rsidR="000A598D">
        <w:rPr>
          <w:rFonts w:ascii="Times New Roman" w:hAnsi="Times New Roman"/>
          <w:sz w:val="24"/>
          <w:szCs w:val="24"/>
          <w:lang w:val="en-GB"/>
        </w:rPr>
        <w:t>, Bulgaria suggests that accommodation could work; the Turkish minority  became more moderate, autonomous in its orientation and attached to European values following the adoption of a more conciliatory approach. Secondly, this compromising approach was win-win; unlike, other countries in the region, Bulgaria managed to join the EU and avoided new violent conflicts while the Turkish minority gained the right of return back to its ancestral villages and cities and effectively repatriated almost half of its members expelled during the Zhivkov era. Finally, the Bulgarian case suggests a number of institutional lessons for instance as to the role of representative parliamentary democracy and coalition governments serving both majorities and minorities. Even though consociationalism</w:t>
      </w:r>
      <w:r w:rsidR="004725DD">
        <w:rPr>
          <w:rFonts w:ascii="Times New Roman" w:hAnsi="Times New Roman"/>
          <w:sz w:val="24"/>
          <w:szCs w:val="24"/>
          <w:lang w:val="en-GB"/>
        </w:rPr>
        <w:t xml:space="preserve"> </w:t>
      </w:r>
      <w:r w:rsidR="000B60F9">
        <w:rPr>
          <w:rFonts w:ascii="Times New Roman" w:hAnsi="Times New Roman"/>
          <w:sz w:val="24"/>
          <w:szCs w:val="24"/>
          <w:lang w:val="en-GB"/>
        </w:rPr>
        <w:t>has</w:t>
      </w:r>
      <w:r w:rsidR="000A598D">
        <w:rPr>
          <w:rFonts w:ascii="Times New Roman" w:hAnsi="Times New Roman"/>
          <w:sz w:val="24"/>
          <w:szCs w:val="24"/>
          <w:lang w:val="en-GB"/>
        </w:rPr>
        <w:t xml:space="preserve"> not</w:t>
      </w:r>
      <w:r w:rsidR="000B60F9">
        <w:rPr>
          <w:rFonts w:ascii="Times New Roman" w:hAnsi="Times New Roman"/>
          <w:sz w:val="24"/>
          <w:szCs w:val="24"/>
          <w:lang w:val="en-GB"/>
        </w:rPr>
        <w:t xml:space="preserve"> been</w:t>
      </w:r>
      <w:r w:rsidR="000A598D">
        <w:rPr>
          <w:rFonts w:ascii="Times New Roman" w:hAnsi="Times New Roman"/>
          <w:sz w:val="24"/>
          <w:szCs w:val="24"/>
          <w:lang w:val="en-GB"/>
        </w:rPr>
        <w:t xml:space="preserve"> institutionalized formally in Bulgaria, it worked successfully as an informal mechanism enabling inclusivity and cooperation.  </w:t>
      </w:r>
    </w:p>
    <w:p w:rsidR="0012647B" w:rsidRDefault="000A598D" w:rsidP="001B7474">
      <w:pPr>
        <w:spacing w:line="480" w:lineRule="auto"/>
        <w:ind w:firstLine="720"/>
        <w:jc w:val="both"/>
        <w:rPr>
          <w:rFonts w:ascii="Times New Roman" w:hAnsi="Times New Roman"/>
          <w:sz w:val="24"/>
          <w:szCs w:val="24"/>
          <w:lang w:val="en-GB"/>
        </w:rPr>
      </w:pPr>
      <w:r>
        <w:rPr>
          <w:rFonts w:ascii="Times New Roman" w:hAnsi="Times New Roman"/>
          <w:sz w:val="24"/>
          <w:szCs w:val="24"/>
          <w:lang w:val="en-GB"/>
        </w:rPr>
        <w:t xml:space="preserve">What makes our comparison more intriguing, is that </w:t>
      </w:r>
      <w:r w:rsidRPr="002F44AE">
        <w:rPr>
          <w:rFonts w:ascii="Times New Roman" w:hAnsi="Times New Roman"/>
          <w:sz w:val="24"/>
          <w:szCs w:val="24"/>
          <w:lang w:val="en-GB"/>
        </w:rPr>
        <w:t xml:space="preserve">Cyprus has </w:t>
      </w:r>
      <w:r>
        <w:rPr>
          <w:rFonts w:ascii="Times New Roman" w:hAnsi="Times New Roman"/>
          <w:sz w:val="24"/>
          <w:szCs w:val="24"/>
          <w:lang w:val="en-GB"/>
        </w:rPr>
        <w:t xml:space="preserve">also </w:t>
      </w:r>
      <w:r w:rsidRPr="002F44AE">
        <w:rPr>
          <w:rFonts w:ascii="Times New Roman" w:hAnsi="Times New Roman"/>
          <w:sz w:val="24"/>
          <w:szCs w:val="24"/>
          <w:lang w:val="en-GB"/>
        </w:rPr>
        <w:t xml:space="preserve">developed a number of </w:t>
      </w:r>
      <w:r>
        <w:rPr>
          <w:rFonts w:ascii="Times New Roman" w:hAnsi="Times New Roman"/>
          <w:sz w:val="24"/>
          <w:szCs w:val="24"/>
          <w:lang w:val="en-GB"/>
        </w:rPr>
        <w:t>informal proto-</w:t>
      </w:r>
      <w:r w:rsidRPr="002F44AE">
        <w:rPr>
          <w:rFonts w:ascii="Times New Roman" w:hAnsi="Times New Roman"/>
          <w:sz w:val="24"/>
          <w:szCs w:val="24"/>
          <w:lang w:val="en-GB"/>
        </w:rPr>
        <w:t xml:space="preserve">consociational structures </w:t>
      </w:r>
      <w:r>
        <w:rPr>
          <w:rFonts w:ascii="Times New Roman" w:hAnsi="Times New Roman"/>
          <w:sz w:val="24"/>
          <w:szCs w:val="24"/>
          <w:lang w:val="en-GB"/>
        </w:rPr>
        <w:t xml:space="preserve">in its own through </w:t>
      </w:r>
      <w:r w:rsidRPr="002F44AE">
        <w:rPr>
          <w:rFonts w:ascii="Times New Roman" w:hAnsi="Times New Roman"/>
          <w:sz w:val="24"/>
          <w:szCs w:val="24"/>
          <w:lang w:val="en-GB"/>
        </w:rPr>
        <w:t xml:space="preserve">various </w:t>
      </w:r>
      <w:r>
        <w:rPr>
          <w:rFonts w:ascii="Times New Roman" w:hAnsi="Times New Roman"/>
          <w:sz w:val="24"/>
          <w:szCs w:val="24"/>
          <w:lang w:val="en-GB"/>
        </w:rPr>
        <w:t xml:space="preserve">successful joint </w:t>
      </w:r>
      <w:r w:rsidRPr="002F44AE">
        <w:rPr>
          <w:rFonts w:ascii="Times New Roman" w:hAnsi="Times New Roman"/>
          <w:sz w:val="24"/>
          <w:szCs w:val="24"/>
          <w:lang w:val="en-GB"/>
        </w:rPr>
        <w:t>projects, associations</w:t>
      </w:r>
      <w:r>
        <w:rPr>
          <w:rFonts w:ascii="Times New Roman" w:hAnsi="Times New Roman"/>
          <w:sz w:val="24"/>
          <w:szCs w:val="24"/>
          <w:lang w:val="en-GB"/>
        </w:rPr>
        <w:t>,</w:t>
      </w:r>
      <w:r w:rsidRPr="002F44AE">
        <w:rPr>
          <w:rFonts w:ascii="Times New Roman" w:hAnsi="Times New Roman"/>
          <w:sz w:val="24"/>
          <w:szCs w:val="24"/>
          <w:lang w:val="en-GB"/>
        </w:rPr>
        <w:t xml:space="preserve"> and</w:t>
      </w:r>
      <w:r>
        <w:rPr>
          <w:rFonts w:ascii="Times New Roman" w:hAnsi="Times New Roman"/>
          <w:sz w:val="24"/>
          <w:szCs w:val="24"/>
          <w:lang w:val="en-GB"/>
        </w:rPr>
        <w:t xml:space="preserve"> bicommunal</w:t>
      </w:r>
      <w:r w:rsidRPr="002F44AE">
        <w:rPr>
          <w:rFonts w:ascii="Times New Roman" w:hAnsi="Times New Roman"/>
          <w:sz w:val="24"/>
          <w:szCs w:val="24"/>
          <w:lang w:val="en-GB"/>
        </w:rPr>
        <w:t xml:space="preserve"> committees. </w:t>
      </w:r>
      <w:r>
        <w:rPr>
          <w:rFonts w:ascii="Times New Roman" w:hAnsi="Times New Roman"/>
          <w:sz w:val="24"/>
          <w:szCs w:val="24"/>
          <w:lang w:val="en-GB"/>
        </w:rPr>
        <w:t>Like</w:t>
      </w:r>
      <w:r w:rsidRPr="002F44AE">
        <w:rPr>
          <w:rFonts w:ascii="Times New Roman" w:hAnsi="Times New Roman"/>
          <w:sz w:val="24"/>
          <w:szCs w:val="24"/>
          <w:lang w:val="en-GB"/>
        </w:rPr>
        <w:t xml:space="preserve"> Bulgaria, Cyprus </w:t>
      </w:r>
      <w:r>
        <w:rPr>
          <w:rFonts w:ascii="Times New Roman" w:hAnsi="Times New Roman"/>
          <w:sz w:val="24"/>
          <w:szCs w:val="24"/>
          <w:lang w:val="en-GB"/>
        </w:rPr>
        <w:t>has</w:t>
      </w:r>
      <w:r w:rsidRPr="002F44AE">
        <w:rPr>
          <w:rFonts w:ascii="Times New Roman" w:hAnsi="Times New Roman"/>
          <w:sz w:val="24"/>
          <w:szCs w:val="24"/>
          <w:lang w:val="en-GB"/>
        </w:rPr>
        <w:t xml:space="preserve"> leaders</w:t>
      </w:r>
      <w:r>
        <w:rPr>
          <w:rFonts w:ascii="Times New Roman" w:hAnsi="Times New Roman"/>
          <w:sz w:val="24"/>
          <w:szCs w:val="24"/>
          <w:lang w:val="en-GB"/>
        </w:rPr>
        <w:t xml:space="preserve"> and established political movements</w:t>
      </w:r>
      <w:r w:rsidR="00147C1E">
        <w:rPr>
          <w:rFonts w:ascii="Times New Roman" w:hAnsi="Times New Roman"/>
          <w:sz w:val="24"/>
          <w:szCs w:val="24"/>
          <w:lang w:val="en-GB"/>
        </w:rPr>
        <w:t xml:space="preserve"> </w:t>
      </w:r>
      <w:r>
        <w:rPr>
          <w:rFonts w:ascii="Times New Roman" w:hAnsi="Times New Roman"/>
          <w:sz w:val="24"/>
          <w:szCs w:val="24"/>
          <w:lang w:val="en-GB"/>
        </w:rPr>
        <w:t xml:space="preserve">capable of </w:t>
      </w:r>
      <w:r w:rsidRPr="002F44AE">
        <w:rPr>
          <w:rFonts w:ascii="Times New Roman" w:hAnsi="Times New Roman"/>
          <w:sz w:val="24"/>
          <w:szCs w:val="24"/>
          <w:lang w:val="en-GB"/>
        </w:rPr>
        <w:t>sustain</w:t>
      </w:r>
      <w:r>
        <w:rPr>
          <w:rFonts w:ascii="Times New Roman" w:hAnsi="Times New Roman"/>
          <w:sz w:val="24"/>
          <w:szCs w:val="24"/>
          <w:lang w:val="en-GB"/>
        </w:rPr>
        <w:t>ing</w:t>
      </w:r>
      <w:r w:rsidRPr="002F44AE">
        <w:rPr>
          <w:rFonts w:ascii="Times New Roman" w:hAnsi="Times New Roman"/>
          <w:sz w:val="24"/>
          <w:szCs w:val="24"/>
          <w:lang w:val="en-GB"/>
        </w:rPr>
        <w:t xml:space="preserve"> workable peaceful relations</w:t>
      </w:r>
      <w:r>
        <w:rPr>
          <w:rFonts w:ascii="Times New Roman" w:hAnsi="Times New Roman"/>
          <w:sz w:val="24"/>
          <w:szCs w:val="24"/>
          <w:lang w:val="en-GB"/>
        </w:rPr>
        <w:t xml:space="preserve"> in a future reunited island</w:t>
      </w:r>
      <w:r w:rsidRPr="002F44AE">
        <w:rPr>
          <w:rFonts w:ascii="Times New Roman" w:hAnsi="Times New Roman"/>
          <w:sz w:val="24"/>
          <w:szCs w:val="24"/>
          <w:lang w:val="en-GB"/>
        </w:rPr>
        <w:t>.</w:t>
      </w:r>
      <w:r w:rsidR="00147C1E">
        <w:rPr>
          <w:rFonts w:ascii="Times New Roman" w:hAnsi="Times New Roman"/>
          <w:sz w:val="24"/>
          <w:szCs w:val="24"/>
          <w:lang w:val="en-GB"/>
        </w:rPr>
        <w:t xml:space="preserve"> </w:t>
      </w:r>
      <w:r w:rsidR="000B60F9">
        <w:rPr>
          <w:rFonts w:ascii="Times New Roman" w:hAnsi="Times New Roman"/>
          <w:sz w:val="24"/>
          <w:szCs w:val="24"/>
          <w:lang w:val="en-GB"/>
        </w:rPr>
        <w:t xml:space="preserve">Reconciliation attempts continue despite the division on the island. </w:t>
      </w:r>
      <w:r w:rsidRPr="002F44AE">
        <w:rPr>
          <w:rFonts w:ascii="Times New Roman" w:hAnsi="Times New Roman"/>
          <w:sz w:val="24"/>
          <w:szCs w:val="24"/>
          <w:lang w:val="en-GB"/>
        </w:rPr>
        <w:t>Besides the CMP</w:t>
      </w:r>
      <w:r>
        <w:rPr>
          <w:rFonts w:ascii="Times New Roman" w:hAnsi="Times New Roman"/>
          <w:sz w:val="24"/>
          <w:szCs w:val="24"/>
          <w:lang w:val="en-GB"/>
        </w:rPr>
        <w:t xml:space="preserve">, </w:t>
      </w:r>
      <w:r w:rsidR="000B60F9">
        <w:rPr>
          <w:rFonts w:ascii="Times New Roman" w:hAnsi="Times New Roman"/>
          <w:sz w:val="24"/>
          <w:szCs w:val="24"/>
          <w:lang w:val="en-GB"/>
        </w:rPr>
        <w:t>there are multiple</w:t>
      </w:r>
      <w:r>
        <w:rPr>
          <w:rFonts w:ascii="Times New Roman" w:hAnsi="Times New Roman"/>
          <w:sz w:val="24"/>
          <w:szCs w:val="24"/>
          <w:lang w:val="en-GB"/>
        </w:rPr>
        <w:t xml:space="preserve"> other successful </w:t>
      </w:r>
      <w:r>
        <w:rPr>
          <w:rFonts w:ascii="Times New Roman" w:hAnsi="Times New Roman"/>
          <w:sz w:val="24"/>
          <w:szCs w:val="24"/>
          <w:lang w:val="en-GB"/>
        </w:rPr>
        <w:lastRenderedPageBreak/>
        <w:t xml:space="preserve">examples including the work of </w:t>
      </w:r>
      <w:r w:rsidRPr="002F44AE">
        <w:rPr>
          <w:rFonts w:ascii="Times New Roman" w:hAnsi="Times New Roman"/>
          <w:sz w:val="24"/>
          <w:szCs w:val="24"/>
          <w:lang w:val="en-GB"/>
        </w:rPr>
        <w:t>the Committee on Cultural Heritage for the restoration of ancient monuments</w:t>
      </w:r>
      <w:r>
        <w:rPr>
          <w:rFonts w:ascii="Times New Roman" w:hAnsi="Times New Roman"/>
          <w:sz w:val="24"/>
          <w:szCs w:val="24"/>
          <w:lang w:val="en-GB"/>
        </w:rPr>
        <w:t xml:space="preserve">, </w:t>
      </w:r>
      <w:r w:rsidRPr="002F44AE">
        <w:rPr>
          <w:rFonts w:ascii="Times New Roman" w:hAnsi="Times New Roman"/>
          <w:sz w:val="24"/>
          <w:szCs w:val="24"/>
          <w:lang w:val="en-GB"/>
        </w:rPr>
        <w:t xml:space="preserve">mosques, </w:t>
      </w:r>
      <w:r>
        <w:rPr>
          <w:rFonts w:ascii="Times New Roman" w:hAnsi="Times New Roman"/>
          <w:sz w:val="24"/>
          <w:szCs w:val="24"/>
          <w:lang w:val="en-GB"/>
        </w:rPr>
        <w:t xml:space="preserve">and </w:t>
      </w:r>
      <w:r w:rsidRPr="002F44AE">
        <w:rPr>
          <w:rFonts w:ascii="Times New Roman" w:hAnsi="Times New Roman"/>
          <w:sz w:val="24"/>
          <w:szCs w:val="24"/>
          <w:lang w:val="en-GB"/>
        </w:rPr>
        <w:t>churches, as well as committees on gender, education</w:t>
      </w:r>
      <w:r>
        <w:rPr>
          <w:rFonts w:ascii="Times New Roman" w:hAnsi="Times New Roman"/>
          <w:sz w:val="24"/>
          <w:szCs w:val="24"/>
          <w:lang w:val="en-GB"/>
        </w:rPr>
        <w:t>,</w:t>
      </w:r>
      <w:r w:rsidR="004725DD">
        <w:rPr>
          <w:rFonts w:ascii="Times New Roman" w:hAnsi="Times New Roman"/>
          <w:sz w:val="24"/>
          <w:szCs w:val="24"/>
          <w:lang w:val="en-GB"/>
        </w:rPr>
        <w:t xml:space="preserve"> </w:t>
      </w:r>
      <w:r w:rsidR="000B60F9">
        <w:rPr>
          <w:rFonts w:ascii="Times New Roman" w:hAnsi="Times New Roman"/>
          <w:sz w:val="24"/>
          <w:szCs w:val="24"/>
          <w:lang w:val="en-GB"/>
        </w:rPr>
        <w:t xml:space="preserve">entrepreneurship, </w:t>
      </w:r>
      <w:r w:rsidRPr="002F44AE">
        <w:rPr>
          <w:rFonts w:ascii="Times New Roman" w:hAnsi="Times New Roman"/>
          <w:sz w:val="24"/>
          <w:szCs w:val="24"/>
          <w:lang w:val="en-GB"/>
        </w:rPr>
        <w:t>and crisis management (</w:t>
      </w:r>
      <w:r w:rsidRPr="002F44AE">
        <w:rPr>
          <w:rFonts w:ascii="Times New Roman" w:hAnsi="Times New Roman"/>
          <w:sz w:val="24"/>
          <w:szCs w:val="24"/>
        </w:rPr>
        <w:t>Makriyianni</w:t>
      </w:r>
      <w:r w:rsidR="004725DD">
        <w:rPr>
          <w:rFonts w:ascii="Times New Roman" w:hAnsi="Times New Roman"/>
          <w:sz w:val="24"/>
          <w:szCs w:val="24"/>
        </w:rPr>
        <w:t xml:space="preserve"> </w:t>
      </w:r>
      <w:r w:rsidRPr="002F44AE">
        <w:rPr>
          <w:rFonts w:ascii="Times New Roman" w:hAnsi="Times New Roman"/>
          <w:sz w:val="24"/>
          <w:szCs w:val="24"/>
        </w:rPr>
        <w:t>&amp;</w:t>
      </w:r>
      <w:r w:rsidR="004725DD">
        <w:rPr>
          <w:rFonts w:ascii="Times New Roman" w:hAnsi="Times New Roman"/>
          <w:sz w:val="24"/>
          <w:szCs w:val="24"/>
        </w:rPr>
        <w:t xml:space="preserve"> </w:t>
      </w:r>
      <w:r>
        <w:rPr>
          <w:rFonts w:ascii="Times New Roman" w:hAnsi="Times New Roman"/>
          <w:sz w:val="24"/>
          <w:szCs w:val="24"/>
          <w:lang w:val="en-GB"/>
        </w:rPr>
        <w:t>Psaltis</w:t>
      </w:r>
      <w:r w:rsidR="004725DD">
        <w:rPr>
          <w:rFonts w:ascii="Times New Roman" w:hAnsi="Times New Roman"/>
          <w:sz w:val="24"/>
          <w:szCs w:val="24"/>
          <w:lang w:val="en-GB"/>
        </w:rPr>
        <w:t xml:space="preserve"> </w:t>
      </w:r>
      <w:r w:rsidRPr="002F44AE">
        <w:rPr>
          <w:rFonts w:ascii="Times New Roman" w:hAnsi="Times New Roman"/>
          <w:sz w:val="24"/>
          <w:szCs w:val="24"/>
          <w:lang w:val="en-GB"/>
        </w:rPr>
        <w:t>2007; Psaltis et al</w:t>
      </w:r>
      <w:r>
        <w:rPr>
          <w:rFonts w:ascii="Times New Roman" w:hAnsi="Times New Roman"/>
          <w:sz w:val="24"/>
          <w:szCs w:val="24"/>
          <w:lang w:val="en-GB"/>
        </w:rPr>
        <w:t>.</w:t>
      </w:r>
      <w:r w:rsidRPr="002F44AE">
        <w:rPr>
          <w:rFonts w:ascii="Times New Roman" w:hAnsi="Times New Roman"/>
          <w:sz w:val="24"/>
          <w:szCs w:val="24"/>
          <w:lang w:val="en-GB"/>
        </w:rPr>
        <w:t xml:space="preserve"> 2017).</w:t>
      </w:r>
      <w:r>
        <w:rPr>
          <w:rStyle w:val="EndnoteReference"/>
          <w:rFonts w:ascii="Times New Roman" w:hAnsi="Times New Roman"/>
          <w:sz w:val="24"/>
          <w:szCs w:val="24"/>
          <w:lang w:val="en-GB"/>
        </w:rPr>
        <w:endnoteReference w:id="16"/>
      </w:r>
      <w:r w:rsidR="004725DD">
        <w:rPr>
          <w:rFonts w:ascii="Times New Roman" w:hAnsi="Times New Roman"/>
          <w:sz w:val="24"/>
          <w:szCs w:val="24"/>
          <w:lang w:val="en-GB"/>
        </w:rPr>
        <w:t xml:space="preserve"> </w:t>
      </w:r>
      <w:r w:rsidR="00F87C89" w:rsidRPr="002F44AE">
        <w:rPr>
          <w:rFonts w:ascii="Times New Roman" w:hAnsi="Times New Roman"/>
          <w:sz w:val="24"/>
          <w:szCs w:val="24"/>
          <w:lang w:val="en-GB"/>
        </w:rPr>
        <w:t xml:space="preserve">In the past decade, historical monuments have been protected from destruction, police operations </w:t>
      </w:r>
      <w:r w:rsidR="00BC7307">
        <w:rPr>
          <w:rFonts w:ascii="Times New Roman" w:hAnsi="Times New Roman"/>
          <w:sz w:val="24"/>
          <w:szCs w:val="24"/>
          <w:lang w:val="en-GB"/>
        </w:rPr>
        <w:t xml:space="preserve">have </w:t>
      </w:r>
      <w:r w:rsidR="00F87C89" w:rsidRPr="002F44AE">
        <w:rPr>
          <w:rFonts w:ascii="Times New Roman" w:hAnsi="Times New Roman"/>
          <w:sz w:val="24"/>
          <w:szCs w:val="24"/>
          <w:lang w:val="en-GB"/>
        </w:rPr>
        <w:t>prevented crimes</w:t>
      </w:r>
      <w:r w:rsidR="00BC7307">
        <w:rPr>
          <w:rFonts w:ascii="Times New Roman" w:hAnsi="Times New Roman"/>
          <w:sz w:val="24"/>
          <w:szCs w:val="24"/>
          <w:lang w:val="en-GB"/>
        </w:rPr>
        <w:t>, including</w:t>
      </w:r>
      <w:r w:rsidR="00F87C89" w:rsidRPr="002F44AE">
        <w:rPr>
          <w:rFonts w:ascii="Times New Roman" w:hAnsi="Times New Roman"/>
          <w:sz w:val="24"/>
          <w:szCs w:val="24"/>
          <w:lang w:val="en-GB"/>
        </w:rPr>
        <w:t xml:space="preserve"> child abduction</w:t>
      </w:r>
      <w:r w:rsidR="00DE108D" w:rsidRPr="002F44AE">
        <w:rPr>
          <w:rFonts w:ascii="Times New Roman" w:hAnsi="Times New Roman"/>
          <w:sz w:val="24"/>
          <w:szCs w:val="24"/>
          <w:lang w:val="en-GB"/>
        </w:rPr>
        <w:t>s</w:t>
      </w:r>
      <w:r w:rsidR="00BC7307">
        <w:rPr>
          <w:rFonts w:ascii="Times New Roman" w:hAnsi="Times New Roman"/>
          <w:sz w:val="24"/>
          <w:szCs w:val="24"/>
          <w:lang w:val="en-GB"/>
        </w:rPr>
        <w:t>, and</w:t>
      </w:r>
      <w:r w:rsidR="00F87C89" w:rsidRPr="002F44AE">
        <w:rPr>
          <w:rFonts w:ascii="Times New Roman" w:hAnsi="Times New Roman"/>
          <w:sz w:val="24"/>
          <w:szCs w:val="24"/>
          <w:lang w:val="en-GB"/>
        </w:rPr>
        <w:t xml:space="preserve"> both sides have helped each other </w:t>
      </w:r>
      <w:r w:rsidR="00BC7307">
        <w:rPr>
          <w:rFonts w:ascii="Times New Roman" w:hAnsi="Times New Roman"/>
          <w:sz w:val="24"/>
          <w:szCs w:val="24"/>
          <w:lang w:val="en-GB"/>
        </w:rPr>
        <w:t>during</w:t>
      </w:r>
      <w:r w:rsidR="00147C1E">
        <w:rPr>
          <w:rFonts w:ascii="Times New Roman" w:hAnsi="Times New Roman"/>
          <w:sz w:val="24"/>
          <w:szCs w:val="24"/>
          <w:lang w:val="en-GB"/>
        </w:rPr>
        <w:t xml:space="preserve"> </w:t>
      </w:r>
      <w:r w:rsidR="005435D8">
        <w:rPr>
          <w:rFonts w:ascii="Times New Roman" w:hAnsi="Times New Roman"/>
          <w:sz w:val="24"/>
          <w:szCs w:val="24"/>
          <w:lang w:val="en-GB"/>
        </w:rPr>
        <w:t xml:space="preserve">emergencies and </w:t>
      </w:r>
      <w:r w:rsidR="00F87C89" w:rsidRPr="002F44AE">
        <w:rPr>
          <w:rFonts w:ascii="Times New Roman" w:hAnsi="Times New Roman"/>
          <w:sz w:val="24"/>
          <w:szCs w:val="24"/>
          <w:lang w:val="en-GB"/>
        </w:rPr>
        <w:t>electricity shortages</w:t>
      </w:r>
      <w:r w:rsidR="00B91C66" w:rsidRPr="002F44AE">
        <w:rPr>
          <w:rFonts w:ascii="Times New Roman" w:hAnsi="Times New Roman"/>
          <w:sz w:val="24"/>
          <w:szCs w:val="24"/>
          <w:lang w:val="en-GB"/>
        </w:rPr>
        <w:t xml:space="preserve">. </w:t>
      </w:r>
      <w:r w:rsidR="00DE108D" w:rsidRPr="002F44AE">
        <w:rPr>
          <w:rFonts w:ascii="Times New Roman" w:hAnsi="Times New Roman"/>
          <w:sz w:val="24"/>
          <w:szCs w:val="24"/>
          <w:lang w:val="en-GB"/>
        </w:rPr>
        <w:t xml:space="preserve">The message of these breakthroughs is twofold: first, Cyprus is not very different from </w:t>
      </w:r>
      <w:r w:rsidR="00BC7307">
        <w:rPr>
          <w:rFonts w:ascii="Times New Roman" w:hAnsi="Times New Roman"/>
          <w:sz w:val="24"/>
          <w:szCs w:val="24"/>
          <w:lang w:val="en-GB"/>
        </w:rPr>
        <w:t xml:space="preserve">other </w:t>
      </w:r>
      <w:r w:rsidR="00DE108D" w:rsidRPr="002F44AE">
        <w:rPr>
          <w:rFonts w:ascii="Times New Roman" w:hAnsi="Times New Roman"/>
          <w:sz w:val="24"/>
          <w:szCs w:val="24"/>
          <w:lang w:val="en-GB"/>
        </w:rPr>
        <w:t>cases where conflict transformation has become possible</w:t>
      </w:r>
      <w:r w:rsidR="00BC7307">
        <w:rPr>
          <w:rFonts w:ascii="Times New Roman" w:hAnsi="Times New Roman"/>
          <w:sz w:val="24"/>
          <w:szCs w:val="24"/>
          <w:lang w:val="en-GB"/>
        </w:rPr>
        <w:t>,</w:t>
      </w:r>
      <w:r w:rsidR="00DE108D" w:rsidRPr="002F44AE">
        <w:rPr>
          <w:rFonts w:ascii="Times New Roman" w:hAnsi="Times New Roman"/>
          <w:sz w:val="24"/>
          <w:szCs w:val="24"/>
          <w:lang w:val="en-GB"/>
        </w:rPr>
        <w:t xml:space="preserve"> particularly within wider Europe</w:t>
      </w:r>
      <w:r w:rsidR="00BC7307">
        <w:rPr>
          <w:rFonts w:ascii="Times New Roman" w:hAnsi="Times New Roman"/>
          <w:sz w:val="24"/>
          <w:szCs w:val="24"/>
          <w:lang w:val="en-GB"/>
        </w:rPr>
        <w:t>;</w:t>
      </w:r>
      <w:r w:rsidR="00DE108D" w:rsidRPr="002F44AE">
        <w:rPr>
          <w:rFonts w:ascii="Times New Roman" w:hAnsi="Times New Roman"/>
          <w:sz w:val="24"/>
          <w:szCs w:val="24"/>
          <w:lang w:val="en-GB"/>
        </w:rPr>
        <w:t xml:space="preserve"> second</w:t>
      </w:r>
      <w:r w:rsidR="00BC7307">
        <w:rPr>
          <w:rFonts w:ascii="Times New Roman" w:hAnsi="Times New Roman"/>
          <w:sz w:val="24"/>
          <w:szCs w:val="24"/>
          <w:lang w:val="en-GB"/>
        </w:rPr>
        <w:t>,</w:t>
      </w:r>
      <w:r w:rsidR="00DE108D" w:rsidRPr="002F44AE">
        <w:rPr>
          <w:rFonts w:ascii="Times New Roman" w:hAnsi="Times New Roman"/>
          <w:sz w:val="24"/>
          <w:szCs w:val="24"/>
          <w:lang w:val="en-GB"/>
        </w:rPr>
        <w:t xml:space="preserve"> the two communities in the island </w:t>
      </w:r>
      <w:r w:rsidR="00691B2E">
        <w:rPr>
          <w:rFonts w:ascii="Times New Roman" w:hAnsi="Times New Roman"/>
          <w:sz w:val="24"/>
          <w:szCs w:val="24"/>
          <w:lang w:val="en-GB"/>
        </w:rPr>
        <w:t>should be</w:t>
      </w:r>
      <w:r w:rsidR="00EE679F">
        <w:rPr>
          <w:rFonts w:ascii="Times New Roman" w:hAnsi="Times New Roman"/>
          <w:sz w:val="24"/>
          <w:szCs w:val="24"/>
          <w:lang w:val="en-GB"/>
        </w:rPr>
        <w:t>come</w:t>
      </w:r>
      <w:r w:rsidR="00691B2E">
        <w:rPr>
          <w:rFonts w:ascii="Times New Roman" w:hAnsi="Times New Roman"/>
          <w:sz w:val="24"/>
          <w:szCs w:val="24"/>
          <w:lang w:val="en-GB"/>
        </w:rPr>
        <w:t xml:space="preserve"> more confident in rallying for reunification and </w:t>
      </w:r>
      <w:r w:rsidR="00EE679F">
        <w:rPr>
          <w:rFonts w:ascii="Times New Roman" w:hAnsi="Times New Roman"/>
          <w:sz w:val="24"/>
          <w:szCs w:val="24"/>
          <w:lang w:val="en-GB"/>
        </w:rPr>
        <w:t xml:space="preserve">in </w:t>
      </w:r>
      <w:r w:rsidR="00691B2E">
        <w:rPr>
          <w:rFonts w:ascii="Times New Roman" w:hAnsi="Times New Roman"/>
          <w:sz w:val="24"/>
          <w:szCs w:val="24"/>
          <w:lang w:val="en-GB"/>
        </w:rPr>
        <w:t>identifying novel</w:t>
      </w:r>
      <w:r w:rsidR="00DE108D" w:rsidRPr="002F44AE">
        <w:rPr>
          <w:rFonts w:ascii="Times New Roman" w:hAnsi="Times New Roman"/>
          <w:sz w:val="24"/>
          <w:szCs w:val="24"/>
          <w:lang w:val="en-GB"/>
        </w:rPr>
        <w:t xml:space="preserve"> solutions</w:t>
      </w:r>
      <w:r w:rsidR="00691B2E">
        <w:rPr>
          <w:rFonts w:ascii="Times New Roman" w:hAnsi="Times New Roman"/>
          <w:sz w:val="24"/>
          <w:szCs w:val="24"/>
          <w:lang w:val="en-GB"/>
        </w:rPr>
        <w:t xml:space="preserve"> to transcend their division and bring forward reunification</w:t>
      </w:r>
      <w:r w:rsidR="00DE108D" w:rsidRPr="002F44AE">
        <w:rPr>
          <w:rFonts w:ascii="Times New Roman" w:hAnsi="Times New Roman"/>
          <w:sz w:val="24"/>
          <w:szCs w:val="24"/>
          <w:lang w:val="en-GB"/>
        </w:rPr>
        <w:t xml:space="preserve">. </w:t>
      </w:r>
    </w:p>
    <w:p w:rsidR="0012647B" w:rsidRDefault="0012647B" w:rsidP="00374024">
      <w:pPr>
        <w:spacing w:line="480" w:lineRule="auto"/>
        <w:jc w:val="both"/>
        <w:rPr>
          <w:rFonts w:ascii="Times New Roman" w:hAnsi="Times New Roman"/>
          <w:sz w:val="24"/>
          <w:szCs w:val="24"/>
          <w:lang w:val="en-GB"/>
        </w:rPr>
      </w:pPr>
    </w:p>
    <w:p w:rsidR="000B60F9" w:rsidRDefault="000B60F9" w:rsidP="00374024">
      <w:pPr>
        <w:spacing w:line="480" w:lineRule="auto"/>
        <w:jc w:val="both"/>
        <w:rPr>
          <w:rFonts w:ascii="Times New Roman" w:hAnsi="Times New Roman"/>
          <w:sz w:val="24"/>
          <w:szCs w:val="24"/>
          <w:lang w:val="en-GB"/>
        </w:rPr>
      </w:pPr>
    </w:p>
    <w:p w:rsidR="000B60F9" w:rsidRDefault="000B60F9" w:rsidP="00374024">
      <w:pPr>
        <w:spacing w:line="480" w:lineRule="auto"/>
        <w:jc w:val="both"/>
        <w:rPr>
          <w:rFonts w:ascii="Times New Roman" w:hAnsi="Times New Roman"/>
          <w:sz w:val="24"/>
          <w:szCs w:val="24"/>
          <w:lang w:val="en-GB"/>
        </w:rPr>
      </w:pPr>
    </w:p>
    <w:p w:rsidR="006B4A2D" w:rsidRDefault="006B4A2D" w:rsidP="001C5098">
      <w:pPr>
        <w:spacing w:line="480" w:lineRule="auto"/>
        <w:jc w:val="center"/>
        <w:rPr>
          <w:rFonts w:ascii="Times New Roman" w:hAnsi="Times New Roman"/>
          <w:b/>
          <w:sz w:val="24"/>
          <w:szCs w:val="24"/>
          <w:lang w:val="en-GB"/>
        </w:rPr>
      </w:pPr>
      <w:r w:rsidRPr="006B4A2D">
        <w:rPr>
          <w:rFonts w:ascii="Times New Roman" w:hAnsi="Times New Roman"/>
          <w:b/>
          <w:sz w:val="24"/>
          <w:szCs w:val="24"/>
          <w:lang w:val="en-GB"/>
        </w:rPr>
        <w:t>Bibliography</w:t>
      </w:r>
    </w:p>
    <w:p w:rsidR="008C722E" w:rsidRPr="006B4A2D" w:rsidRDefault="008C722E" w:rsidP="00374024">
      <w:pPr>
        <w:spacing w:line="480" w:lineRule="auto"/>
        <w:jc w:val="both"/>
        <w:rPr>
          <w:rFonts w:ascii="Times New Roman" w:hAnsi="Times New Roman"/>
          <w:b/>
          <w:sz w:val="24"/>
          <w:szCs w:val="24"/>
          <w:lang w:val="en-GB"/>
        </w:rPr>
      </w:pPr>
    </w:p>
    <w:p w:rsidR="00C87159" w:rsidRPr="006B4A2D" w:rsidRDefault="00C87159" w:rsidP="00374024">
      <w:pPr>
        <w:spacing w:after="240" w:line="360" w:lineRule="auto"/>
        <w:jc w:val="both"/>
        <w:rPr>
          <w:rFonts w:ascii="Times New Roman" w:hAnsi="Times New Roman"/>
          <w:sz w:val="24"/>
          <w:szCs w:val="24"/>
        </w:rPr>
      </w:pPr>
      <w:r>
        <w:rPr>
          <w:rFonts w:ascii="Times New Roman" w:hAnsi="Times New Roman"/>
          <w:sz w:val="24"/>
          <w:szCs w:val="24"/>
        </w:rPr>
        <w:t>Anagnostou, Dia. 2005. ‘</w:t>
      </w:r>
      <w:r w:rsidRPr="006B4A2D">
        <w:rPr>
          <w:rFonts w:ascii="Times New Roman" w:hAnsi="Times New Roman"/>
          <w:sz w:val="24"/>
          <w:szCs w:val="24"/>
        </w:rPr>
        <w:t>Nationalist legacies and European trajectories: post</w:t>
      </w:r>
      <w:r w:rsidRPr="006B4A2D">
        <w:rPr>
          <w:rFonts w:ascii="Cambria Math" w:hAnsi="Cambria Math" w:cs="Cambria Math"/>
          <w:sz w:val="24"/>
          <w:szCs w:val="24"/>
        </w:rPr>
        <w:t>‐</w:t>
      </w:r>
      <w:r w:rsidRPr="006B4A2D">
        <w:rPr>
          <w:rFonts w:ascii="Times New Roman" w:hAnsi="Times New Roman"/>
          <w:sz w:val="24"/>
          <w:szCs w:val="24"/>
        </w:rPr>
        <w:t>communist liberalization and Turkish</w:t>
      </w:r>
      <w:r>
        <w:rPr>
          <w:rFonts w:ascii="Times New Roman" w:hAnsi="Times New Roman"/>
          <w:sz w:val="24"/>
          <w:szCs w:val="24"/>
        </w:rPr>
        <w:t xml:space="preserve"> minority politics in Bulgaria’,</w:t>
      </w:r>
      <w:r w:rsidR="004725DD">
        <w:rPr>
          <w:rFonts w:ascii="Times New Roman" w:hAnsi="Times New Roman"/>
          <w:sz w:val="24"/>
          <w:szCs w:val="24"/>
        </w:rPr>
        <w:t xml:space="preserve"> </w:t>
      </w:r>
      <w:r w:rsidRPr="006B4A2D">
        <w:rPr>
          <w:rFonts w:ascii="Times New Roman" w:hAnsi="Times New Roman"/>
          <w:i/>
          <w:iCs/>
          <w:sz w:val="24"/>
          <w:szCs w:val="24"/>
        </w:rPr>
        <w:t>Southeast European and Black Sea Studies</w:t>
      </w:r>
      <w:r w:rsidRPr="006B4A2D">
        <w:rPr>
          <w:rFonts w:ascii="Times New Roman" w:hAnsi="Times New Roman"/>
          <w:sz w:val="24"/>
          <w:szCs w:val="24"/>
        </w:rPr>
        <w:t xml:space="preserve"> 5 (1): 89-111.</w:t>
      </w:r>
    </w:p>
    <w:p w:rsidR="00C87159" w:rsidRPr="006B4A2D" w:rsidRDefault="00C87159" w:rsidP="00374024">
      <w:pPr>
        <w:spacing w:after="240" w:line="360" w:lineRule="auto"/>
        <w:jc w:val="both"/>
        <w:rPr>
          <w:rFonts w:ascii="Times New Roman" w:hAnsi="Times New Roman"/>
          <w:sz w:val="24"/>
          <w:szCs w:val="24"/>
        </w:rPr>
      </w:pPr>
      <w:r w:rsidRPr="006B4A2D">
        <w:rPr>
          <w:rFonts w:ascii="Times New Roman" w:hAnsi="Times New Roman"/>
          <w:sz w:val="24"/>
          <w:szCs w:val="24"/>
        </w:rPr>
        <w:t xml:space="preserve">Anastasiou, Harry. 2008. </w:t>
      </w:r>
      <w:r w:rsidRPr="006B4A2D">
        <w:rPr>
          <w:rFonts w:ascii="Times New Roman" w:hAnsi="Times New Roman"/>
          <w:i/>
          <w:sz w:val="24"/>
          <w:szCs w:val="24"/>
        </w:rPr>
        <w:t>The Broken Olive Branch: Nationalism, Ethnic Conflict and the Quest for Peace in Cyprus; The Impasse of Ethnonationalism</w:t>
      </w:r>
      <w:r w:rsidRPr="006B4A2D">
        <w:rPr>
          <w:rFonts w:ascii="Times New Roman" w:hAnsi="Times New Roman"/>
          <w:sz w:val="24"/>
          <w:szCs w:val="24"/>
        </w:rPr>
        <w:t>. Syracuse, N.Y.: Syracuse University Press</w:t>
      </w:r>
      <w:r>
        <w:rPr>
          <w:rFonts w:ascii="Times New Roman" w:hAnsi="Times New Roman"/>
          <w:sz w:val="24"/>
          <w:szCs w:val="24"/>
        </w:rPr>
        <w:t>.</w:t>
      </w:r>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lang w:val="en-GB"/>
        </w:rPr>
        <w:t xml:space="preserve">Ataöv, Türkkaya. 1990. </w:t>
      </w:r>
      <w:r w:rsidRPr="00C87159">
        <w:rPr>
          <w:rFonts w:ascii="Times New Roman" w:hAnsi="Times New Roman"/>
          <w:i/>
          <w:sz w:val="24"/>
          <w:szCs w:val="24"/>
          <w:lang w:val="en-GB"/>
        </w:rPr>
        <w:t xml:space="preserve">The </w:t>
      </w:r>
      <w:r w:rsidR="00CE2C27" w:rsidRPr="00C87159">
        <w:rPr>
          <w:rFonts w:ascii="Times New Roman" w:hAnsi="Times New Roman"/>
          <w:i/>
          <w:sz w:val="24"/>
          <w:szCs w:val="24"/>
          <w:lang w:val="en-GB"/>
        </w:rPr>
        <w:t>Inquisition</w:t>
      </w:r>
      <w:r w:rsidRPr="00C87159">
        <w:rPr>
          <w:rFonts w:ascii="Times New Roman" w:hAnsi="Times New Roman"/>
          <w:i/>
          <w:sz w:val="24"/>
          <w:szCs w:val="24"/>
          <w:lang w:val="en-GB"/>
        </w:rPr>
        <w:t xml:space="preserve"> of the Late 1980s: The Turks of Bulgaria</w:t>
      </w:r>
      <w:r w:rsidRPr="00C87159">
        <w:rPr>
          <w:rFonts w:ascii="Times New Roman" w:hAnsi="Times New Roman"/>
          <w:sz w:val="24"/>
          <w:szCs w:val="24"/>
          <w:lang w:val="en-GB"/>
        </w:rPr>
        <w:t>. Washington: EAFORD.</w:t>
      </w:r>
    </w:p>
    <w:p w:rsidR="00C87159" w:rsidRPr="00C87159" w:rsidRDefault="00C87159" w:rsidP="00374024">
      <w:pPr>
        <w:spacing w:after="240" w:line="360" w:lineRule="auto"/>
        <w:jc w:val="both"/>
        <w:rPr>
          <w:rFonts w:ascii="Times New Roman" w:hAnsi="Times New Roman"/>
          <w:sz w:val="24"/>
          <w:szCs w:val="24"/>
          <w:lang w:val="en-GB"/>
        </w:rPr>
      </w:pPr>
      <w:r w:rsidRPr="00C87159">
        <w:rPr>
          <w:rFonts w:ascii="Times New Roman" w:hAnsi="Times New Roman"/>
          <w:sz w:val="24"/>
          <w:szCs w:val="24"/>
          <w:lang w:val="en-GB"/>
        </w:rPr>
        <w:lastRenderedPageBreak/>
        <w:t>Baeva, Iskra and Evgenia Kalinova. 2012. ‘Bulgarian Turks during the Transition Period’, in Stefanos Katsikas (ed.)</w:t>
      </w:r>
      <w:r w:rsidRPr="00C87159">
        <w:rPr>
          <w:rFonts w:ascii="Times New Roman" w:hAnsi="Times New Roman"/>
          <w:i/>
          <w:sz w:val="24"/>
          <w:szCs w:val="24"/>
          <w:lang w:val="en-GB"/>
        </w:rPr>
        <w:t xml:space="preserve">, Bulgaria and Europe: Shifting </w:t>
      </w:r>
      <w:r w:rsidR="00147C1E" w:rsidRPr="00C87159">
        <w:rPr>
          <w:rFonts w:ascii="Times New Roman" w:hAnsi="Times New Roman"/>
          <w:i/>
          <w:sz w:val="24"/>
          <w:szCs w:val="24"/>
          <w:lang w:val="en-GB"/>
        </w:rPr>
        <w:t>Identities</w:t>
      </w:r>
      <w:r w:rsidRPr="00C87159">
        <w:rPr>
          <w:rFonts w:ascii="Times New Roman" w:hAnsi="Times New Roman"/>
          <w:sz w:val="24"/>
          <w:szCs w:val="24"/>
          <w:lang w:val="en-GB"/>
        </w:rPr>
        <w:t>, 63-78. London: Anthem Press.</w:t>
      </w:r>
    </w:p>
    <w:p w:rsidR="00C87159" w:rsidRPr="00C87159" w:rsidRDefault="00C87159" w:rsidP="00374024">
      <w:pPr>
        <w:spacing w:after="240" w:line="360" w:lineRule="auto"/>
        <w:jc w:val="both"/>
        <w:rPr>
          <w:rFonts w:ascii="Times New Roman" w:hAnsi="Times New Roman"/>
          <w:sz w:val="24"/>
          <w:szCs w:val="24"/>
          <w:lang w:val="en-GB"/>
        </w:rPr>
      </w:pPr>
      <w:r w:rsidRPr="00C87159">
        <w:rPr>
          <w:rFonts w:ascii="Times New Roman" w:hAnsi="Times New Roman"/>
          <w:sz w:val="24"/>
          <w:szCs w:val="24"/>
          <w:lang w:val="en-GB"/>
        </w:rPr>
        <w:t xml:space="preserve">Baeva, Iskra. 2004. ‘Political Changes in Bulgaria during the Years of Globalization’, in Vasil Prodanov (ed.), </w:t>
      </w:r>
      <w:r w:rsidRPr="00C87159">
        <w:rPr>
          <w:rFonts w:ascii="Times New Roman" w:hAnsi="Times New Roman"/>
          <w:i/>
          <w:sz w:val="24"/>
          <w:szCs w:val="24"/>
          <w:lang w:val="en-GB"/>
        </w:rPr>
        <w:t>Bulgaria in Global Processes</w:t>
      </w:r>
      <w:r w:rsidRPr="00C87159">
        <w:rPr>
          <w:rFonts w:ascii="Times New Roman" w:hAnsi="Times New Roman"/>
          <w:sz w:val="24"/>
          <w:szCs w:val="24"/>
          <w:lang w:val="en-GB"/>
        </w:rPr>
        <w:t xml:space="preserve">, </w:t>
      </w:r>
      <w:r w:rsidRPr="00C87159">
        <w:rPr>
          <w:rFonts w:ascii="Times New Roman" w:hAnsi="Times New Roman"/>
          <w:sz w:val="24"/>
          <w:szCs w:val="24"/>
        </w:rPr>
        <w:t xml:space="preserve">297-325. </w:t>
      </w:r>
      <w:r w:rsidRPr="00C87159">
        <w:rPr>
          <w:rFonts w:ascii="Times New Roman" w:hAnsi="Times New Roman"/>
          <w:sz w:val="24"/>
          <w:szCs w:val="24"/>
          <w:lang w:val="en-GB"/>
        </w:rPr>
        <w:t>New York: Global Scholarly Publications.</w:t>
      </w:r>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rPr>
        <w:t xml:space="preserve">Bakalova, Maria. 2006. ‘The Bulgarian Turkish Names: Conflict and Democratic Transition’, </w:t>
      </w:r>
      <w:r w:rsidRPr="00C87159">
        <w:rPr>
          <w:rFonts w:ascii="Times New Roman" w:hAnsi="Times New Roman"/>
          <w:i/>
          <w:sz w:val="24"/>
          <w:szCs w:val="24"/>
        </w:rPr>
        <w:t>Innovation,</w:t>
      </w:r>
      <w:r w:rsidRPr="00C87159">
        <w:rPr>
          <w:rFonts w:ascii="Times New Roman" w:hAnsi="Times New Roman"/>
          <w:sz w:val="24"/>
          <w:szCs w:val="24"/>
        </w:rPr>
        <w:t xml:space="preserve"> 19 (3-4): 233-246.</w:t>
      </w:r>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rPr>
        <w:t>Bechev, Dimitar. 2012. ‘Bulgaria’s Path to EU membership – and Beyond’, in Stefanos Katsikas (ed.)</w:t>
      </w:r>
      <w:r w:rsidRPr="00C87159">
        <w:rPr>
          <w:rFonts w:ascii="Times New Roman" w:hAnsi="Times New Roman"/>
          <w:i/>
          <w:sz w:val="24"/>
          <w:szCs w:val="24"/>
        </w:rPr>
        <w:t xml:space="preserve">, Bulgaria and Europe: Shifting Identities, </w:t>
      </w:r>
      <w:r w:rsidRPr="00C87159">
        <w:rPr>
          <w:rFonts w:ascii="Times New Roman" w:hAnsi="Times New Roman"/>
          <w:sz w:val="24"/>
          <w:szCs w:val="24"/>
        </w:rPr>
        <w:t>113-127. London: Anthem Press.</w:t>
      </w:r>
    </w:p>
    <w:p w:rsidR="00C87159" w:rsidRPr="00C87159" w:rsidRDefault="00C87159" w:rsidP="00374024">
      <w:pPr>
        <w:spacing w:after="240" w:line="360" w:lineRule="auto"/>
        <w:jc w:val="both"/>
        <w:rPr>
          <w:rFonts w:ascii="Times New Roman" w:hAnsi="Times New Roman"/>
          <w:sz w:val="24"/>
          <w:szCs w:val="24"/>
          <w:lang w:val="en-GB"/>
        </w:rPr>
      </w:pPr>
      <w:r w:rsidRPr="00C87159">
        <w:rPr>
          <w:rFonts w:ascii="Times New Roman" w:hAnsi="Times New Roman"/>
          <w:sz w:val="24"/>
          <w:szCs w:val="24"/>
        </w:rPr>
        <w:t xml:space="preserve">Bogoev, Plamen. 2000. ‘The Bulgarian Constitution and Minority Rights’, in </w:t>
      </w:r>
      <w:r w:rsidRPr="00C87159">
        <w:rPr>
          <w:rFonts w:ascii="Times New Roman" w:hAnsi="Times New Roman"/>
          <w:i/>
          <w:sz w:val="24"/>
          <w:szCs w:val="24"/>
        </w:rPr>
        <w:t>1989-1999, Ten Years Later: Lessons Learned for the Future.</w:t>
      </w:r>
      <w:r w:rsidRPr="00C87159">
        <w:rPr>
          <w:rFonts w:ascii="Times New Roman" w:hAnsi="Times New Roman"/>
          <w:sz w:val="24"/>
          <w:szCs w:val="24"/>
        </w:rPr>
        <w:t xml:space="preserve"> Sofia: Scorpion Publishing House.</w:t>
      </w:r>
    </w:p>
    <w:p w:rsidR="00C87159" w:rsidRPr="006B4A2D" w:rsidRDefault="00C87159" w:rsidP="00374024">
      <w:pPr>
        <w:spacing w:after="240" w:line="360" w:lineRule="auto"/>
        <w:jc w:val="both"/>
        <w:rPr>
          <w:rFonts w:ascii="Times New Roman" w:hAnsi="Times New Roman"/>
          <w:sz w:val="24"/>
          <w:szCs w:val="24"/>
          <w:lang w:val="en-GB"/>
        </w:rPr>
      </w:pPr>
      <w:r w:rsidRPr="006B4A2D">
        <w:rPr>
          <w:rFonts w:ascii="Times New Roman" w:hAnsi="Times New Roman"/>
          <w:sz w:val="24"/>
          <w:szCs w:val="24"/>
        </w:rPr>
        <w:t xml:space="preserve">Christou, Jane. 2014. </w:t>
      </w:r>
      <w:r w:rsidRPr="006B4A2D">
        <w:rPr>
          <w:rFonts w:ascii="Times New Roman" w:hAnsi="Times New Roman"/>
          <w:i/>
          <w:sz w:val="24"/>
          <w:szCs w:val="24"/>
        </w:rPr>
        <w:t xml:space="preserve">Exhuming the Diplomats Graveyard </w:t>
      </w:r>
      <w:r>
        <w:rPr>
          <w:rFonts w:ascii="Times New Roman" w:hAnsi="Times New Roman"/>
          <w:sz w:val="24"/>
          <w:szCs w:val="24"/>
        </w:rPr>
        <w:t xml:space="preserve">Cyprus Mail. </w:t>
      </w:r>
      <w:hyperlink r:id="rId8" w:history="1">
        <w:r w:rsidRPr="003D66BC">
          <w:rPr>
            <w:rStyle w:val="Hyperlink"/>
            <w:rFonts w:ascii="Times New Roman" w:hAnsi="Times New Roman"/>
          </w:rPr>
          <w:t>http://cyprus-mail.com/2014/05/11/exhuming-the-diplomats-graveyard/</w:t>
        </w:r>
      </w:hyperlink>
    </w:p>
    <w:p w:rsidR="00C87159" w:rsidRPr="006B4A2D" w:rsidRDefault="00C87159" w:rsidP="00374024">
      <w:pPr>
        <w:spacing w:after="240" w:line="360" w:lineRule="auto"/>
        <w:jc w:val="both"/>
        <w:rPr>
          <w:rFonts w:ascii="Times New Roman" w:eastAsia="Times New Roman" w:hAnsi="Times New Roman"/>
          <w:sz w:val="24"/>
          <w:szCs w:val="24"/>
          <w:lang w:val="en-GB"/>
        </w:rPr>
      </w:pPr>
      <w:r w:rsidRPr="007A220C">
        <w:rPr>
          <w:rFonts w:ascii="Times New Roman" w:eastAsia="Times New Roman" w:hAnsi="Times New Roman"/>
          <w:sz w:val="24"/>
          <w:szCs w:val="24"/>
          <w:lang w:val="en-GB"/>
        </w:rPr>
        <w:t>Cochrane, Feargal, Neophytos Loizides, and Thibaud</w:t>
      </w:r>
      <w:r w:rsidR="00147C1E">
        <w:rPr>
          <w:rFonts w:ascii="Times New Roman" w:eastAsia="Times New Roman" w:hAnsi="Times New Roman"/>
          <w:sz w:val="24"/>
          <w:szCs w:val="24"/>
          <w:lang w:val="en-GB"/>
        </w:rPr>
        <w:t xml:space="preserve"> </w:t>
      </w:r>
      <w:r w:rsidRPr="007A220C">
        <w:rPr>
          <w:rFonts w:ascii="Times New Roman" w:eastAsia="Times New Roman" w:hAnsi="Times New Roman"/>
          <w:sz w:val="24"/>
          <w:szCs w:val="24"/>
          <w:lang w:val="en-GB"/>
        </w:rPr>
        <w:t>Bodson.</w:t>
      </w:r>
      <w:r w:rsidRPr="006B4A2D">
        <w:rPr>
          <w:rFonts w:ascii="Times New Roman" w:eastAsia="Times New Roman" w:hAnsi="Times New Roman"/>
          <w:sz w:val="24"/>
          <w:szCs w:val="24"/>
          <w:lang w:val="en-GB"/>
        </w:rPr>
        <w:t xml:space="preserve"> 2018.</w:t>
      </w:r>
      <w:r w:rsidR="00CE2C27">
        <w:rPr>
          <w:rFonts w:ascii="Times New Roman" w:eastAsia="Times New Roman" w:hAnsi="Times New Roman"/>
          <w:sz w:val="24"/>
          <w:szCs w:val="24"/>
          <w:lang w:val="en-GB"/>
        </w:rPr>
        <w:t xml:space="preserve"> </w:t>
      </w:r>
      <w:r w:rsidRPr="007A220C">
        <w:rPr>
          <w:rFonts w:ascii="Times New Roman" w:eastAsia="Times New Roman" w:hAnsi="Times New Roman"/>
          <w:i/>
          <w:iCs/>
          <w:sz w:val="24"/>
          <w:szCs w:val="24"/>
          <w:lang w:val="en-GB"/>
        </w:rPr>
        <w:t>Mediating Power-Sharing: Devolution and Consociationalism in Deeply Divided Societies</w:t>
      </w:r>
      <w:r w:rsidRPr="007A220C">
        <w:rPr>
          <w:rFonts w:ascii="Times New Roman" w:eastAsia="Times New Roman" w:hAnsi="Times New Roman"/>
          <w:sz w:val="24"/>
          <w:szCs w:val="24"/>
          <w:lang w:val="en-GB"/>
        </w:rPr>
        <w:t>. Routledge</w:t>
      </w:r>
      <w:r w:rsidRPr="006B4A2D">
        <w:rPr>
          <w:rFonts w:ascii="Times New Roman" w:eastAsia="Times New Roman" w:hAnsi="Times New Roman"/>
          <w:sz w:val="24"/>
          <w:szCs w:val="24"/>
          <w:lang w:val="en-GB"/>
        </w:rPr>
        <w:t>.</w:t>
      </w:r>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rPr>
        <w:t xml:space="preserve">Crampton, Richard. 2002. </w:t>
      </w:r>
      <w:r w:rsidRPr="00C87159">
        <w:rPr>
          <w:rFonts w:ascii="Times New Roman" w:hAnsi="Times New Roman"/>
          <w:i/>
          <w:sz w:val="24"/>
          <w:szCs w:val="24"/>
        </w:rPr>
        <w:t>A Concise History of Bulgaria</w:t>
      </w:r>
      <w:r w:rsidRPr="00C87159">
        <w:rPr>
          <w:rFonts w:ascii="Times New Roman" w:hAnsi="Times New Roman"/>
          <w:sz w:val="24"/>
          <w:szCs w:val="24"/>
        </w:rPr>
        <w:t>. Cambridge: Cambridge University Press.</w:t>
      </w:r>
    </w:p>
    <w:p w:rsidR="00C87159" w:rsidRPr="006B4A2D" w:rsidRDefault="00C87159" w:rsidP="00374024">
      <w:pPr>
        <w:spacing w:after="240" w:line="360" w:lineRule="auto"/>
        <w:jc w:val="both"/>
        <w:rPr>
          <w:rFonts w:ascii="Times New Roman" w:hAnsi="Times New Roman"/>
          <w:sz w:val="24"/>
          <w:szCs w:val="24"/>
        </w:rPr>
      </w:pPr>
      <w:r>
        <w:rPr>
          <w:rFonts w:ascii="Times New Roman" w:hAnsi="Times New Roman"/>
          <w:sz w:val="24"/>
          <w:szCs w:val="24"/>
        </w:rPr>
        <w:t>Demetriou, Olga. 2004. ‘</w:t>
      </w:r>
      <w:r w:rsidRPr="006B4A2D">
        <w:rPr>
          <w:rFonts w:ascii="Times New Roman" w:hAnsi="Times New Roman"/>
          <w:sz w:val="24"/>
          <w:szCs w:val="24"/>
        </w:rPr>
        <w:t>EU and the Cyprus Conflict: The Vie</w:t>
      </w:r>
      <w:r>
        <w:rPr>
          <w:rFonts w:ascii="Times New Roman" w:hAnsi="Times New Roman"/>
          <w:sz w:val="24"/>
          <w:szCs w:val="24"/>
        </w:rPr>
        <w:t>w of Political Actors in Cyprus</w:t>
      </w:r>
      <w:r w:rsidR="004725DD">
        <w:rPr>
          <w:rFonts w:ascii="Times New Roman" w:hAnsi="Times New Roman"/>
          <w:sz w:val="24"/>
          <w:szCs w:val="24"/>
        </w:rPr>
        <w:t>’</w:t>
      </w:r>
      <w:r>
        <w:rPr>
          <w:rFonts w:ascii="Times New Roman" w:hAnsi="Times New Roman"/>
          <w:sz w:val="24"/>
          <w:szCs w:val="24"/>
        </w:rPr>
        <w:t>,</w:t>
      </w:r>
      <w:r w:rsidR="004725DD">
        <w:rPr>
          <w:rFonts w:ascii="Times New Roman" w:hAnsi="Times New Roman"/>
          <w:sz w:val="24"/>
          <w:szCs w:val="24"/>
        </w:rPr>
        <w:t xml:space="preserve"> </w:t>
      </w:r>
      <w:r w:rsidRPr="005F71B3">
        <w:rPr>
          <w:rFonts w:ascii="Times New Roman" w:hAnsi="Times New Roman"/>
          <w:i/>
          <w:sz w:val="24"/>
          <w:szCs w:val="24"/>
        </w:rPr>
        <w:t xml:space="preserve">Working Paper Series in EU Border Conflicts Studies 9. </w:t>
      </w:r>
      <w:r w:rsidRPr="006B4A2D">
        <w:rPr>
          <w:rFonts w:ascii="Times New Roman" w:hAnsi="Times New Roman"/>
          <w:sz w:val="24"/>
          <w:szCs w:val="24"/>
        </w:rPr>
        <w:t>Birmingham: Department of Political Science and International Studies, University of Birmingham</w:t>
      </w:r>
      <w:r>
        <w:rPr>
          <w:rFonts w:ascii="Times New Roman" w:hAnsi="Times New Roman"/>
          <w:sz w:val="24"/>
          <w:szCs w:val="24"/>
        </w:rPr>
        <w:t>.</w:t>
      </w:r>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rPr>
        <w:t xml:space="preserve">Dogan, Ahmed. n.p.d. </w:t>
      </w:r>
      <w:r w:rsidR="004725DD">
        <w:rPr>
          <w:rFonts w:ascii="Times New Roman" w:hAnsi="Times New Roman"/>
          <w:sz w:val="24"/>
          <w:szCs w:val="24"/>
        </w:rPr>
        <w:t>‘</w:t>
      </w:r>
      <w:r w:rsidRPr="00C87159">
        <w:rPr>
          <w:rFonts w:ascii="Times New Roman" w:hAnsi="Times New Roman"/>
          <w:sz w:val="24"/>
          <w:szCs w:val="24"/>
        </w:rPr>
        <w:t>Speech Delivered at Thirty Sixth National Assembly</w:t>
      </w:r>
      <w:r w:rsidR="004725DD">
        <w:rPr>
          <w:rFonts w:ascii="Times New Roman" w:hAnsi="Times New Roman"/>
          <w:sz w:val="24"/>
          <w:szCs w:val="24"/>
        </w:rPr>
        <w:t>’,</w:t>
      </w:r>
      <w:r w:rsidRPr="00C87159">
        <w:rPr>
          <w:rFonts w:ascii="Times New Roman" w:hAnsi="Times New Roman"/>
          <w:sz w:val="24"/>
          <w:szCs w:val="24"/>
        </w:rPr>
        <w:t xml:space="preserve"> in </w:t>
      </w:r>
      <w:r w:rsidRPr="00C87159">
        <w:rPr>
          <w:rFonts w:ascii="Times New Roman" w:hAnsi="Times New Roman"/>
          <w:i/>
          <w:sz w:val="24"/>
          <w:szCs w:val="24"/>
        </w:rPr>
        <w:t>The Spirit and Image of European Dimensions: Selected Speeches of Ahmed Dogan</w:t>
      </w:r>
      <w:r w:rsidRPr="00C87159">
        <w:rPr>
          <w:rFonts w:ascii="Times New Roman" w:hAnsi="Times New Roman"/>
          <w:sz w:val="24"/>
          <w:szCs w:val="24"/>
        </w:rPr>
        <w:t>, 1991-2008. Sofia: MRF.</w:t>
      </w:r>
    </w:p>
    <w:p w:rsidR="00C87159" w:rsidRPr="006B4A2D" w:rsidRDefault="00C87159" w:rsidP="00374024">
      <w:pPr>
        <w:spacing w:after="240" w:line="360" w:lineRule="auto"/>
        <w:jc w:val="both"/>
        <w:rPr>
          <w:rFonts w:ascii="Times New Roman" w:hAnsi="Times New Roman"/>
          <w:sz w:val="24"/>
          <w:szCs w:val="24"/>
        </w:rPr>
      </w:pPr>
      <w:r w:rsidRPr="006B4A2D">
        <w:rPr>
          <w:rFonts w:ascii="Times New Roman" w:hAnsi="Times New Roman"/>
          <w:sz w:val="24"/>
          <w:szCs w:val="24"/>
        </w:rPr>
        <w:t xml:space="preserve">Doyle, Michael W. and Nicholas Sambanis. 2006. </w:t>
      </w:r>
      <w:r w:rsidRPr="006B4A2D">
        <w:rPr>
          <w:rFonts w:ascii="Times New Roman" w:hAnsi="Times New Roman"/>
          <w:i/>
          <w:iCs/>
          <w:sz w:val="24"/>
          <w:szCs w:val="24"/>
        </w:rPr>
        <w:t>Making war and building peace: United Nations peace operations</w:t>
      </w:r>
      <w:r w:rsidRPr="006B4A2D">
        <w:rPr>
          <w:rFonts w:ascii="Times New Roman" w:hAnsi="Times New Roman"/>
          <w:sz w:val="24"/>
          <w:szCs w:val="24"/>
        </w:rPr>
        <w:t>. Princeton University Press.</w:t>
      </w:r>
    </w:p>
    <w:p w:rsidR="00C87159" w:rsidRPr="006B4A2D" w:rsidRDefault="00C87159" w:rsidP="00CE2C27">
      <w:pPr>
        <w:spacing w:after="240" w:line="360" w:lineRule="auto"/>
        <w:rPr>
          <w:rFonts w:ascii="Times New Roman" w:hAnsi="Times New Roman"/>
          <w:sz w:val="24"/>
          <w:szCs w:val="24"/>
        </w:rPr>
      </w:pPr>
      <w:r w:rsidRPr="006B4A2D">
        <w:rPr>
          <w:rFonts w:ascii="Times New Roman" w:eastAsia="Times New Roman" w:hAnsi="Times New Roman"/>
          <w:sz w:val="24"/>
          <w:szCs w:val="24"/>
        </w:rPr>
        <w:lastRenderedPageBreak/>
        <w:t>ECtHR. 200</w:t>
      </w:r>
      <w:r w:rsidRPr="006B4A2D">
        <w:rPr>
          <w:rFonts w:ascii="Times New Roman" w:hAnsi="Times New Roman"/>
          <w:sz w:val="24"/>
          <w:szCs w:val="24"/>
        </w:rPr>
        <w:t>5</w:t>
      </w:r>
      <w:r w:rsidRPr="006B4A2D">
        <w:rPr>
          <w:rFonts w:ascii="Times New Roman" w:eastAsia="Times New Roman" w:hAnsi="Times New Roman"/>
          <w:sz w:val="24"/>
          <w:szCs w:val="24"/>
        </w:rPr>
        <w:t>.</w:t>
      </w:r>
      <w:r>
        <w:rPr>
          <w:rFonts w:ascii="Times New Roman" w:hAnsi="Times New Roman"/>
          <w:bCs/>
          <w:sz w:val="24"/>
          <w:szCs w:val="24"/>
        </w:rPr>
        <w:t xml:space="preserve"> ‘</w:t>
      </w:r>
      <w:r w:rsidRPr="006B4A2D">
        <w:rPr>
          <w:rFonts w:ascii="Times New Roman" w:hAnsi="Times New Roman"/>
          <w:bCs/>
          <w:sz w:val="24"/>
          <w:szCs w:val="24"/>
        </w:rPr>
        <w:t>Press Release Issued by the Registrar (Cha</w:t>
      </w:r>
      <w:r>
        <w:rPr>
          <w:rFonts w:ascii="Times New Roman" w:hAnsi="Times New Roman"/>
          <w:bCs/>
          <w:sz w:val="24"/>
          <w:szCs w:val="24"/>
        </w:rPr>
        <w:t>mber Judgment Adali v. Turkey)’,</w:t>
      </w:r>
      <w:r w:rsidRPr="006B4A2D">
        <w:rPr>
          <w:rFonts w:ascii="Times New Roman" w:hAnsi="Times New Roman"/>
          <w:bCs/>
          <w:sz w:val="24"/>
          <w:szCs w:val="24"/>
        </w:rPr>
        <w:t xml:space="preserve"> March 31.</w:t>
      </w:r>
      <w:hyperlink r:id="rId9" w:history="1">
        <w:r w:rsidRPr="00A64311">
          <w:rPr>
            <w:rStyle w:val="Hyperlink"/>
            <w:rFonts w:ascii="Times New Roman" w:hAnsi="Times New Roman"/>
            <w:bCs/>
            <w:sz w:val="24"/>
            <w:szCs w:val="24"/>
          </w:rPr>
          <w:t>http://www.echr.coe.int/eng/Press/2005/March/ChamberjudgmentAdalivTurkey310305.htm</w:t>
        </w:r>
      </w:hyperlink>
      <w:r w:rsidRPr="006B4A2D">
        <w:rPr>
          <w:rFonts w:ascii="Times New Roman" w:hAnsi="Times New Roman"/>
          <w:bCs/>
          <w:sz w:val="24"/>
          <w:szCs w:val="24"/>
        </w:rPr>
        <w:t xml:space="preserve">  </w:t>
      </w:r>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lang w:val="en-GB"/>
        </w:rPr>
        <w:t xml:space="preserve">European Commission. 2015. </w:t>
      </w:r>
      <w:r w:rsidRPr="00C87159">
        <w:rPr>
          <w:rFonts w:ascii="Times New Roman" w:hAnsi="Times New Roman"/>
          <w:i/>
          <w:sz w:val="24"/>
          <w:szCs w:val="24"/>
          <w:lang w:val="en-GB"/>
        </w:rPr>
        <w:t xml:space="preserve">Final Evaluation Report: Evaluation of PHARE financial assistance to Bulgaria, Cyprus, Czech Republic, Estonia, Hungary, Latvia, Lithuania, Malta, Poland, Romania, Slovakia, Slovenia, </w:t>
      </w:r>
      <w:r w:rsidRPr="00C87159">
        <w:rPr>
          <w:rFonts w:ascii="Times New Roman" w:hAnsi="Times New Roman"/>
          <w:sz w:val="24"/>
          <w:szCs w:val="24"/>
          <w:lang w:val="en-GB"/>
        </w:rPr>
        <w:t>issued on 19/01/2015.</w:t>
      </w:r>
      <w:hyperlink r:id="rId10" w:history="1">
        <w:r w:rsidRPr="00C87159">
          <w:rPr>
            <w:rStyle w:val="Hyperlink"/>
            <w:rFonts w:ascii="Times New Roman" w:hAnsi="Times New Roman"/>
            <w:sz w:val="24"/>
            <w:szCs w:val="24"/>
            <w:lang w:val="en-GB"/>
          </w:rPr>
          <w:t>https://ec.europa.eu/neighbourhood-enlargement/sites/near/files/pdf/financial_assistance/phare/evaluation/2015/20150806-phare-ex-post-evaluation-final-report.pdf</w:t>
        </w:r>
      </w:hyperlink>
    </w:p>
    <w:p w:rsidR="00C87159" w:rsidRPr="005F71B3" w:rsidRDefault="00C87159" w:rsidP="00374024">
      <w:pPr>
        <w:spacing w:after="240" w:line="360" w:lineRule="auto"/>
        <w:jc w:val="both"/>
        <w:rPr>
          <w:rFonts w:ascii="Times New Roman" w:hAnsi="Times New Roman"/>
          <w:bCs/>
          <w:sz w:val="24"/>
          <w:szCs w:val="24"/>
        </w:rPr>
      </w:pPr>
      <w:r w:rsidRPr="006B4A2D">
        <w:rPr>
          <w:rFonts w:ascii="Times New Roman" w:hAnsi="Times New Roman"/>
          <w:sz w:val="24"/>
          <w:szCs w:val="24"/>
        </w:rPr>
        <w:t xml:space="preserve">Hadjigregoriou, Spyros. 2014. </w:t>
      </w:r>
      <w:r w:rsidRPr="006B4A2D">
        <w:rPr>
          <w:rFonts w:ascii="Times New Roman" w:hAnsi="Times New Roman"/>
          <w:bCs/>
          <w:i/>
          <w:sz w:val="24"/>
          <w:szCs w:val="24"/>
        </w:rPr>
        <w:t>The Facilitators. The UN Representatives &amp; Advisers to</w:t>
      </w:r>
      <w:r w:rsidR="00147C1E">
        <w:rPr>
          <w:rFonts w:ascii="Times New Roman" w:hAnsi="Times New Roman"/>
          <w:bCs/>
          <w:i/>
          <w:sz w:val="24"/>
          <w:szCs w:val="24"/>
        </w:rPr>
        <w:t xml:space="preserve"> </w:t>
      </w:r>
      <w:r w:rsidRPr="006B4A2D">
        <w:rPr>
          <w:rFonts w:ascii="Times New Roman" w:hAnsi="Times New Roman"/>
          <w:bCs/>
          <w:i/>
          <w:sz w:val="24"/>
          <w:szCs w:val="24"/>
        </w:rPr>
        <w:t>Cyprus, 1964-2014,</w:t>
      </w:r>
      <w:r w:rsidRPr="006B4A2D">
        <w:rPr>
          <w:rFonts w:ascii="Times New Roman" w:hAnsi="Times New Roman"/>
          <w:bCs/>
          <w:sz w:val="24"/>
          <w:szCs w:val="24"/>
        </w:rPr>
        <w:t xml:space="preserve"> MAM Publishers, Nicosia.</w:t>
      </w:r>
    </w:p>
    <w:p w:rsidR="00C87159" w:rsidRPr="006B4A2D" w:rsidRDefault="00C87159" w:rsidP="00374024">
      <w:pPr>
        <w:spacing w:after="240" w:line="360" w:lineRule="auto"/>
        <w:jc w:val="both"/>
        <w:rPr>
          <w:rFonts w:ascii="Times New Roman" w:hAnsi="Times New Roman"/>
          <w:sz w:val="24"/>
          <w:szCs w:val="24"/>
        </w:rPr>
      </w:pPr>
      <w:r w:rsidRPr="006B4A2D">
        <w:rPr>
          <w:rFonts w:ascii="Times New Roman" w:hAnsi="Times New Roman"/>
          <w:sz w:val="24"/>
          <w:szCs w:val="24"/>
        </w:rPr>
        <w:t>Hadjipavlou, Maria</w:t>
      </w:r>
      <w:r>
        <w:rPr>
          <w:rFonts w:ascii="Times New Roman" w:hAnsi="Times New Roman"/>
          <w:sz w:val="24"/>
          <w:szCs w:val="24"/>
        </w:rPr>
        <w:t>. 2007. ‘</w:t>
      </w:r>
      <w:r w:rsidRPr="006B4A2D">
        <w:rPr>
          <w:rFonts w:ascii="Times New Roman" w:hAnsi="Times New Roman"/>
          <w:sz w:val="24"/>
          <w:szCs w:val="24"/>
        </w:rPr>
        <w:t>The Cyprus Conflict: Route Cases and Implications for Peacebuilding</w:t>
      </w:r>
      <w:r>
        <w:rPr>
          <w:rFonts w:ascii="Times New Roman" w:hAnsi="Times New Roman"/>
          <w:sz w:val="24"/>
          <w:szCs w:val="24"/>
        </w:rPr>
        <w:t>’,</w:t>
      </w:r>
      <w:r w:rsidRPr="006B4A2D">
        <w:rPr>
          <w:rFonts w:ascii="Times New Roman" w:hAnsi="Times New Roman"/>
          <w:i/>
          <w:sz w:val="24"/>
          <w:szCs w:val="24"/>
        </w:rPr>
        <w:t xml:space="preserve"> Journal of Peace Research</w:t>
      </w:r>
      <w:r w:rsidR="004B7B76">
        <w:rPr>
          <w:rFonts w:ascii="Times New Roman" w:hAnsi="Times New Roman"/>
          <w:i/>
          <w:sz w:val="24"/>
          <w:szCs w:val="24"/>
        </w:rPr>
        <w:t>,</w:t>
      </w:r>
      <w:r w:rsidRPr="006B4A2D">
        <w:rPr>
          <w:rFonts w:ascii="Times New Roman" w:hAnsi="Times New Roman"/>
          <w:sz w:val="24"/>
          <w:szCs w:val="24"/>
        </w:rPr>
        <w:t xml:space="preserve"> 44 (3): 349-65.</w:t>
      </w:r>
    </w:p>
    <w:p w:rsidR="00C87159" w:rsidRPr="006B4A2D" w:rsidRDefault="00C87159" w:rsidP="00374024">
      <w:pPr>
        <w:spacing w:after="240" w:line="360" w:lineRule="auto"/>
        <w:jc w:val="both"/>
        <w:rPr>
          <w:rFonts w:ascii="Times New Roman" w:hAnsi="Times New Roman"/>
          <w:sz w:val="24"/>
          <w:szCs w:val="24"/>
        </w:rPr>
      </w:pPr>
      <w:r w:rsidRPr="006B4A2D">
        <w:rPr>
          <w:rFonts w:ascii="Times New Roman" w:hAnsi="Times New Roman"/>
          <w:sz w:val="24"/>
          <w:szCs w:val="24"/>
        </w:rPr>
        <w:t>Heraclides</w:t>
      </w:r>
      <w:r>
        <w:rPr>
          <w:rFonts w:ascii="Times New Roman" w:hAnsi="Times New Roman"/>
          <w:sz w:val="24"/>
          <w:szCs w:val="24"/>
        </w:rPr>
        <w:t>,</w:t>
      </w:r>
      <w:r w:rsidRPr="006B4A2D">
        <w:rPr>
          <w:rFonts w:ascii="Times New Roman" w:hAnsi="Times New Roman"/>
          <w:sz w:val="24"/>
          <w:szCs w:val="24"/>
        </w:rPr>
        <w:t xml:space="preserve"> Alexis. 2001. </w:t>
      </w:r>
      <w:r w:rsidRPr="005F71B3">
        <w:rPr>
          <w:rFonts w:ascii="Times New Roman" w:hAnsi="Times New Roman"/>
          <w:i/>
          <w:sz w:val="24"/>
          <w:szCs w:val="24"/>
        </w:rPr>
        <w:t>Greece and the Eastern Threat</w:t>
      </w:r>
      <w:r w:rsidRPr="006B4A2D">
        <w:rPr>
          <w:rFonts w:ascii="Times New Roman" w:hAnsi="Times New Roman"/>
          <w:sz w:val="24"/>
          <w:szCs w:val="24"/>
        </w:rPr>
        <w:t xml:space="preserve"> [in Greek]. Athens: Polis</w:t>
      </w:r>
      <w:r w:rsidR="004725DD">
        <w:rPr>
          <w:rFonts w:ascii="Times New Roman" w:hAnsi="Times New Roman"/>
          <w:sz w:val="24"/>
          <w:szCs w:val="24"/>
        </w:rPr>
        <w:t>.</w:t>
      </w:r>
    </w:p>
    <w:p w:rsidR="00C87159" w:rsidRPr="005F71B3" w:rsidRDefault="00C87159" w:rsidP="00374024">
      <w:pPr>
        <w:spacing w:after="240" w:line="360" w:lineRule="auto"/>
        <w:jc w:val="both"/>
        <w:rPr>
          <w:rFonts w:ascii="Times New Roman" w:hAnsi="Times New Roman"/>
          <w:sz w:val="24"/>
          <w:szCs w:val="24"/>
        </w:rPr>
      </w:pPr>
      <w:r>
        <w:rPr>
          <w:rFonts w:ascii="Times New Roman" w:hAnsi="Times New Roman"/>
          <w:sz w:val="24"/>
          <w:szCs w:val="24"/>
        </w:rPr>
        <w:t xml:space="preserve">Heraclides, Alexis. </w:t>
      </w:r>
      <w:r w:rsidRPr="006B4A2D">
        <w:rPr>
          <w:rFonts w:ascii="Times New Roman" w:hAnsi="Times New Roman"/>
          <w:sz w:val="24"/>
          <w:szCs w:val="24"/>
        </w:rPr>
        <w:t>2010</w:t>
      </w:r>
      <w:r>
        <w:rPr>
          <w:rFonts w:ascii="Times New Roman" w:hAnsi="Times New Roman"/>
          <w:sz w:val="24"/>
          <w:szCs w:val="24"/>
        </w:rPr>
        <w:t>.</w:t>
      </w:r>
      <w:r w:rsidR="004725DD">
        <w:rPr>
          <w:rFonts w:ascii="Times New Roman" w:hAnsi="Times New Roman"/>
          <w:sz w:val="24"/>
          <w:szCs w:val="24"/>
        </w:rPr>
        <w:t xml:space="preserve"> </w:t>
      </w:r>
      <w:r w:rsidRPr="005F71B3">
        <w:rPr>
          <w:rFonts w:ascii="Times New Roman" w:hAnsi="Times New Roman"/>
          <w:i/>
          <w:sz w:val="24"/>
          <w:szCs w:val="24"/>
        </w:rPr>
        <w:t>The Greek-Turkish conflict in the Aegean.</w:t>
      </w:r>
      <w:r w:rsidR="004725DD">
        <w:rPr>
          <w:rFonts w:ascii="Times New Roman" w:hAnsi="Times New Roman"/>
          <w:i/>
          <w:sz w:val="24"/>
          <w:szCs w:val="24"/>
        </w:rPr>
        <w:t xml:space="preserve"> </w:t>
      </w:r>
      <w:r w:rsidRPr="005F71B3">
        <w:rPr>
          <w:rFonts w:ascii="Times New Roman" w:hAnsi="Times New Roman"/>
          <w:iCs/>
          <w:sz w:val="24"/>
          <w:szCs w:val="24"/>
        </w:rPr>
        <w:t>Basingstoke: Palgrave Macmillan</w:t>
      </w:r>
      <w:r w:rsidRPr="005F71B3">
        <w:rPr>
          <w:rFonts w:ascii="Times New Roman" w:hAnsi="Times New Roman"/>
          <w:sz w:val="24"/>
          <w:szCs w:val="24"/>
        </w:rPr>
        <w:t>.</w:t>
      </w:r>
    </w:p>
    <w:p w:rsidR="00C87159" w:rsidRPr="006B4A2D" w:rsidRDefault="00C87159" w:rsidP="00374024">
      <w:pPr>
        <w:spacing w:after="240" w:line="360" w:lineRule="auto"/>
        <w:jc w:val="both"/>
        <w:rPr>
          <w:rFonts w:ascii="Times New Roman" w:hAnsi="Times New Roman"/>
          <w:bCs/>
          <w:sz w:val="24"/>
          <w:szCs w:val="24"/>
        </w:rPr>
      </w:pPr>
      <w:r>
        <w:rPr>
          <w:rFonts w:ascii="Times New Roman" w:hAnsi="Times New Roman"/>
          <w:sz w:val="24"/>
          <w:szCs w:val="24"/>
        </w:rPr>
        <w:t>Heraclides, Alexis. 2011. ‘</w:t>
      </w:r>
      <w:r w:rsidRPr="006B4A2D">
        <w:rPr>
          <w:rFonts w:ascii="Times New Roman" w:hAnsi="Times New Roman"/>
          <w:sz w:val="24"/>
          <w:szCs w:val="24"/>
        </w:rPr>
        <w:t xml:space="preserve">The Cyprus Gordian </w:t>
      </w:r>
      <w:r w:rsidR="004725DD">
        <w:rPr>
          <w:rFonts w:ascii="Times New Roman" w:hAnsi="Times New Roman"/>
          <w:sz w:val="24"/>
          <w:szCs w:val="24"/>
        </w:rPr>
        <w:t>K</w:t>
      </w:r>
      <w:r w:rsidRPr="006B4A2D">
        <w:rPr>
          <w:rFonts w:ascii="Times New Roman" w:hAnsi="Times New Roman"/>
          <w:sz w:val="24"/>
          <w:szCs w:val="24"/>
        </w:rPr>
        <w:t xml:space="preserve">not: </w:t>
      </w:r>
      <w:r>
        <w:rPr>
          <w:rFonts w:ascii="Times New Roman" w:hAnsi="Times New Roman"/>
          <w:sz w:val="24"/>
          <w:szCs w:val="24"/>
        </w:rPr>
        <w:t xml:space="preserve">An </w:t>
      </w:r>
      <w:r w:rsidR="004725DD">
        <w:rPr>
          <w:rFonts w:ascii="Times New Roman" w:hAnsi="Times New Roman"/>
          <w:sz w:val="24"/>
          <w:szCs w:val="24"/>
        </w:rPr>
        <w:t>I</w:t>
      </w:r>
      <w:r>
        <w:rPr>
          <w:rFonts w:ascii="Times New Roman" w:hAnsi="Times New Roman"/>
          <w:sz w:val="24"/>
          <w:szCs w:val="24"/>
        </w:rPr>
        <w:t xml:space="preserve">ntractable </w:t>
      </w:r>
      <w:r w:rsidR="004725DD">
        <w:rPr>
          <w:rFonts w:ascii="Times New Roman" w:hAnsi="Times New Roman"/>
          <w:sz w:val="24"/>
          <w:szCs w:val="24"/>
        </w:rPr>
        <w:t>E</w:t>
      </w:r>
      <w:r>
        <w:rPr>
          <w:rFonts w:ascii="Times New Roman" w:hAnsi="Times New Roman"/>
          <w:sz w:val="24"/>
          <w:szCs w:val="24"/>
        </w:rPr>
        <w:t xml:space="preserve">thnic </w:t>
      </w:r>
      <w:r w:rsidR="004725DD">
        <w:rPr>
          <w:rFonts w:ascii="Times New Roman" w:hAnsi="Times New Roman"/>
          <w:sz w:val="24"/>
          <w:szCs w:val="24"/>
        </w:rPr>
        <w:t>C</w:t>
      </w:r>
      <w:r>
        <w:rPr>
          <w:rFonts w:ascii="Times New Roman" w:hAnsi="Times New Roman"/>
          <w:sz w:val="24"/>
          <w:szCs w:val="24"/>
        </w:rPr>
        <w:t>onflict’,</w:t>
      </w:r>
      <w:r w:rsidR="004725DD">
        <w:rPr>
          <w:rFonts w:ascii="Times New Roman" w:hAnsi="Times New Roman"/>
          <w:sz w:val="24"/>
          <w:szCs w:val="24"/>
        </w:rPr>
        <w:t xml:space="preserve"> </w:t>
      </w:r>
      <w:r w:rsidRPr="006B4A2D">
        <w:rPr>
          <w:rFonts w:ascii="Times New Roman" w:hAnsi="Times New Roman"/>
          <w:i/>
          <w:iCs/>
          <w:sz w:val="24"/>
          <w:szCs w:val="24"/>
        </w:rPr>
        <w:t>Nationalism and Ethnic Politics</w:t>
      </w:r>
      <w:r>
        <w:rPr>
          <w:rFonts w:ascii="Times New Roman" w:hAnsi="Times New Roman"/>
          <w:i/>
          <w:iCs/>
          <w:sz w:val="24"/>
          <w:szCs w:val="24"/>
        </w:rPr>
        <w:t>,</w:t>
      </w:r>
      <w:r w:rsidRPr="006B4A2D">
        <w:rPr>
          <w:rFonts w:ascii="Times New Roman" w:hAnsi="Times New Roman"/>
          <w:sz w:val="24"/>
          <w:szCs w:val="24"/>
        </w:rPr>
        <w:t xml:space="preserve"> 17 (2): 117-139.</w:t>
      </w:r>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i/>
          <w:sz w:val="24"/>
          <w:szCs w:val="24"/>
        </w:rPr>
        <w:t xml:space="preserve">JUSTICE 2.0 Project. 2005. International Justice for the Imprescriptible Crimes of Communism. </w:t>
      </w:r>
      <w:r w:rsidRPr="00C87159">
        <w:rPr>
          <w:rFonts w:ascii="Times New Roman" w:hAnsi="Times New Roman"/>
          <w:sz w:val="24"/>
          <w:szCs w:val="24"/>
        </w:rPr>
        <w:t>Brussels and Prague:</w:t>
      </w:r>
      <w:r w:rsidR="00CE2C27">
        <w:rPr>
          <w:rFonts w:ascii="Times New Roman" w:hAnsi="Times New Roman"/>
          <w:sz w:val="24"/>
          <w:szCs w:val="24"/>
        </w:rPr>
        <w:t xml:space="preserve"> </w:t>
      </w:r>
      <w:r w:rsidRPr="00C87159">
        <w:rPr>
          <w:rFonts w:ascii="Times New Roman" w:hAnsi="Times New Roman"/>
          <w:sz w:val="24"/>
          <w:szCs w:val="24"/>
        </w:rPr>
        <w:t xml:space="preserve">The Platform of European Memory and </w:t>
      </w:r>
      <w:r w:rsidR="00CE2C27" w:rsidRPr="00C87159">
        <w:rPr>
          <w:rFonts w:ascii="Times New Roman" w:hAnsi="Times New Roman"/>
          <w:sz w:val="24"/>
          <w:szCs w:val="24"/>
        </w:rPr>
        <w:t>Conscience</w:t>
      </w:r>
      <w:r w:rsidR="00CE2C27">
        <w:rPr>
          <w:rFonts w:ascii="Times New Roman" w:hAnsi="Times New Roman"/>
          <w:sz w:val="24"/>
          <w:szCs w:val="24"/>
        </w:rPr>
        <w:t>.</w:t>
      </w:r>
      <w:hyperlink r:id="rId11" w:history="1">
        <w:r w:rsidRPr="00C87159">
          <w:rPr>
            <w:rStyle w:val="Hyperlink"/>
            <w:rFonts w:ascii="Times New Roman" w:hAnsi="Times New Roman"/>
            <w:sz w:val="24"/>
            <w:szCs w:val="24"/>
          </w:rPr>
          <w:t>https://www.memoryandconscience.eu/justice/</w:t>
        </w:r>
      </w:hyperlink>
    </w:p>
    <w:p w:rsidR="00C87159" w:rsidRPr="006B4A2D" w:rsidRDefault="00C87159" w:rsidP="00374024">
      <w:pPr>
        <w:spacing w:after="240" w:line="360" w:lineRule="auto"/>
        <w:jc w:val="both"/>
        <w:rPr>
          <w:rFonts w:ascii="Times New Roman" w:hAnsi="Times New Roman"/>
          <w:sz w:val="24"/>
          <w:szCs w:val="24"/>
        </w:rPr>
      </w:pPr>
      <w:r w:rsidRPr="006B4A2D">
        <w:rPr>
          <w:rFonts w:ascii="Times New Roman" w:hAnsi="Times New Roman"/>
          <w:sz w:val="24"/>
          <w:szCs w:val="24"/>
        </w:rPr>
        <w:t>Kaymak</w:t>
      </w:r>
      <w:r>
        <w:rPr>
          <w:rFonts w:ascii="Times New Roman" w:hAnsi="Times New Roman"/>
          <w:sz w:val="24"/>
          <w:szCs w:val="24"/>
        </w:rPr>
        <w:t>, Erol. 2012. ‘</w:t>
      </w:r>
      <w:r w:rsidRPr="006B4A2D">
        <w:rPr>
          <w:rFonts w:ascii="Times New Roman" w:hAnsi="Times New Roman"/>
          <w:sz w:val="24"/>
          <w:szCs w:val="24"/>
        </w:rPr>
        <w:t>If at First You Don't Succeed, Try, Try Again: (Re)Designing Referenda to R</w:t>
      </w:r>
      <w:r>
        <w:rPr>
          <w:rFonts w:ascii="Times New Roman" w:hAnsi="Times New Roman"/>
          <w:sz w:val="24"/>
          <w:szCs w:val="24"/>
        </w:rPr>
        <w:t>atify a Peace Treaty in Cyprus’,</w:t>
      </w:r>
      <w:r w:rsidR="00CE2C27">
        <w:rPr>
          <w:rFonts w:ascii="Times New Roman" w:hAnsi="Times New Roman"/>
          <w:sz w:val="24"/>
          <w:szCs w:val="24"/>
        </w:rPr>
        <w:t xml:space="preserve"> </w:t>
      </w:r>
      <w:r w:rsidRPr="006B4A2D">
        <w:rPr>
          <w:rFonts w:ascii="Times New Roman" w:hAnsi="Times New Roman"/>
          <w:i/>
          <w:sz w:val="24"/>
          <w:szCs w:val="24"/>
        </w:rPr>
        <w:t>Nationalism and Ethnic Politics</w:t>
      </w:r>
      <w:r w:rsidR="004B7B76">
        <w:rPr>
          <w:rFonts w:ascii="Times New Roman" w:hAnsi="Times New Roman"/>
          <w:i/>
          <w:sz w:val="24"/>
          <w:szCs w:val="24"/>
        </w:rPr>
        <w:t>,</w:t>
      </w:r>
      <w:r w:rsidRPr="006B4A2D">
        <w:rPr>
          <w:rFonts w:ascii="Times New Roman" w:hAnsi="Times New Roman"/>
          <w:sz w:val="24"/>
          <w:szCs w:val="24"/>
        </w:rPr>
        <w:t xml:space="preserve"> 18 (1): 88-112.  </w:t>
      </w:r>
    </w:p>
    <w:p w:rsidR="00C87159" w:rsidRDefault="00C87159" w:rsidP="00374024">
      <w:pPr>
        <w:spacing w:after="240" w:line="360" w:lineRule="auto"/>
        <w:jc w:val="both"/>
        <w:rPr>
          <w:rStyle w:val="citation"/>
          <w:rFonts w:ascii="Times New Roman" w:hAnsi="Times New Roman"/>
          <w:iCs/>
          <w:sz w:val="24"/>
          <w:szCs w:val="24"/>
        </w:rPr>
      </w:pPr>
      <w:r w:rsidRPr="006B4A2D">
        <w:rPr>
          <w:rStyle w:val="citation"/>
          <w:rFonts w:ascii="Times New Roman" w:hAnsi="Times New Roman"/>
          <w:iCs/>
          <w:sz w:val="24"/>
          <w:szCs w:val="24"/>
        </w:rPr>
        <w:t xml:space="preserve">Ker-Lindsay, James. 2011. </w:t>
      </w:r>
      <w:r w:rsidRPr="006B4A2D">
        <w:rPr>
          <w:rStyle w:val="citation"/>
          <w:rFonts w:ascii="Times New Roman" w:hAnsi="Times New Roman"/>
          <w:i/>
          <w:iCs/>
          <w:sz w:val="24"/>
          <w:szCs w:val="24"/>
        </w:rPr>
        <w:t>The Cyprus Problem: What Everyone Needs to Know</w:t>
      </w:r>
      <w:r w:rsidRPr="006B4A2D">
        <w:rPr>
          <w:rStyle w:val="citation"/>
          <w:rFonts w:ascii="Times New Roman" w:hAnsi="Times New Roman"/>
          <w:iCs/>
          <w:sz w:val="24"/>
          <w:szCs w:val="24"/>
        </w:rPr>
        <w:t>. Oxford: Oxford University Press.</w:t>
      </w:r>
    </w:p>
    <w:p w:rsidR="00C87159" w:rsidRPr="006B4A2D" w:rsidRDefault="00C87159" w:rsidP="00374024">
      <w:pPr>
        <w:spacing w:after="240" w:line="360" w:lineRule="auto"/>
        <w:jc w:val="both"/>
        <w:rPr>
          <w:rStyle w:val="citation"/>
          <w:rFonts w:ascii="Times New Roman" w:hAnsi="Times New Roman"/>
          <w:bCs/>
          <w:i/>
          <w:sz w:val="24"/>
          <w:szCs w:val="24"/>
        </w:rPr>
      </w:pPr>
      <w:r w:rsidRPr="006B4A2D">
        <w:rPr>
          <w:rFonts w:ascii="Times New Roman" w:hAnsi="Times New Roman"/>
          <w:sz w:val="24"/>
          <w:szCs w:val="24"/>
        </w:rPr>
        <w:lastRenderedPageBreak/>
        <w:t>Ker-Lindsay, James</w:t>
      </w:r>
      <w:r>
        <w:rPr>
          <w:rFonts w:ascii="Times New Roman" w:hAnsi="Times New Roman"/>
          <w:sz w:val="24"/>
          <w:szCs w:val="24"/>
        </w:rPr>
        <w:t>.</w:t>
      </w:r>
      <w:r w:rsidRPr="006B4A2D">
        <w:rPr>
          <w:rFonts w:ascii="Times New Roman" w:hAnsi="Times New Roman"/>
          <w:sz w:val="24"/>
          <w:szCs w:val="24"/>
        </w:rPr>
        <w:t xml:space="preserve"> 2012</w:t>
      </w:r>
      <w:r>
        <w:rPr>
          <w:rFonts w:ascii="Times New Roman" w:hAnsi="Times New Roman"/>
          <w:sz w:val="24"/>
          <w:szCs w:val="24"/>
        </w:rPr>
        <w:t>. ‘</w:t>
      </w:r>
      <w:r w:rsidRPr="006B4A2D">
        <w:rPr>
          <w:rFonts w:ascii="Times New Roman" w:hAnsi="Times New Roman"/>
          <w:sz w:val="24"/>
          <w:szCs w:val="24"/>
        </w:rPr>
        <w:t>The Role of the EU</w:t>
      </w:r>
      <w:r>
        <w:rPr>
          <w:rFonts w:ascii="Times New Roman" w:hAnsi="Times New Roman"/>
          <w:sz w:val="24"/>
          <w:szCs w:val="24"/>
        </w:rPr>
        <w:t xml:space="preserve"> as Conflict Manager in Cyprus’,</w:t>
      </w:r>
      <w:r w:rsidR="004725DD">
        <w:rPr>
          <w:rFonts w:ascii="Times New Roman" w:hAnsi="Times New Roman"/>
          <w:sz w:val="24"/>
          <w:szCs w:val="24"/>
        </w:rPr>
        <w:t xml:space="preserve"> </w:t>
      </w:r>
      <w:r>
        <w:rPr>
          <w:rFonts w:ascii="Times New Roman" w:eastAsia="Times New Roman" w:hAnsi="Times New Roman"/>
          <w:sz w:val="24"/>
          <w:szCs w:val="24"/>
        </w:rPr>
        <w:t>i</w:t>
      </w:r>
      <w:r w:rsidRPr="006B4A2D">
        <w:rPr>
          <w:rFonts w:ascii="Times New Roman" w:eastAsia="Times New Roman" w:hAnsi="Times New Roman"/>
          <w:sz w:val="24"/>
          <w:szCs w:val="24"/>
        </w:rPr>
        <w:t>n Richard Whitman and Stefan Wolff</w:t>
      </w:r>
      <w:r>
        <w:rPr>
          <w:rFonts w:ascii="Times New Roman" w:eastAsia="Times New Roman" w:hAnsi="Times New Roman"/>
          <w:sz w:val="24"/>
          <w:szCs w:val="24"/>
        </w:rPr>
        <w:t xml:space="preserve"> (ed.), </w:t>
      </w:r>
      <w:r w:rsidRPr="006B4A2D">
        <w:rPr>
          <w:rFonts w:ascii="Times New Roman" w:eastAsia="Times New Roman" w:hAnsi="Times New Roman"/>
          <w:i/>
          <w:sz w:val="24"/>
          <w:szCs w:val="24"/>
        </w:rPr>
        <w:t xml:space="preserve">The </w:t>
      </w:r>
      <w:r w:rsidRPr="006B4A2D">
        <w:rPr>
          <w:rFonts w:ascii="Times New Roman" w:eastAsia="Times New Roman" w:hAnsi="Times New Roman"/>
          <w:i/>
          <w:iCs/>
          <w:sz w:val="24"/>
          <w:szCs w:val="24"/>
        </w:rPr>
        <w:t>European Union as a Global Conflict Manager</w:t>
      </w:r>
      <w:r w:rsidRPr="006B4A2D">
        <w:rPr>
          <w:rFonts w:ascii="Times New Roman" w:eastAsia="Times New Roman" w:hAnsi="Times New Roman"/>
          <w:iCs/>
          <w:sz w:val="24"/>
          <w:szCs w:val="24"/>
        </w:rPr>
        <w:t>,</w:t>
      </w:r>
      <w:r w:rsidRPr="006B4A2D">
        <w:rPr>
          <w:rFonts w:ascii="Times New Roman" w:eastAsia="Times New Roman" w:hAnsi="Times New Roman"/>
          <w:sz w:val="24"/>
          <w:szCs w:val="24"/>
        </w:rPr>
        <w:t xml:space="preserve">53-66. London: Routledge. </w:t>
      </w:r>
    </w:p>
    <w:p w:rsidR="00C87159" w:rsidRPr="006B4A2D" w:rsidRDefault="00C87159" w:rsidP="00374024">
      <w:pPr>
        <w:spacing w:after="240" w:line="360" w:lineRule="auto"/>
        <w:jc w:val="both"/>
        <w:rPr>
          <w:rFonts w:ascii="Times New Roman" w:hAnsi="Times New Roman"/>
          <w:sz w:val="24"/>
          <w:szCs w:val="24"/>
        </w:rPr>
      </w:pPr>
      <w:r w:rsidRPr="006B4A2D">
        <w:rPr>
          <w:rFonts w:ascii="Times New Roman" w:hAnsi="Times New Roman"/>
          <w:sz w:val="24"/>
          <w:szCs w:val="24"/>
        </w:rPr>
        <w:t xml:space="preserve">Koinova, Maria. 2013. </w:t>
      </w:r>
      <w:r w:rsidRPr="006B4A2D">
        <w:rPr>
          <w:rFonts w:ascii="Times New Roman" w:hAnsi="Times New Roman"/>
          <w:i/>
          <w:iCs/>
          <w:sz w:val="24"/>
          <w:szCs w:val="24"/>
        </w:rPr>
        <w:t>Ethnonationalist conflict in postcommunist states: varieties of governance in Bulgaria, Macedonia, and Kosovo</w:t>
      </w:r>
      <w:r w:rsidRPr="006B4A2D">
        <w:rPr>
          <w:rFonts w:ascii="Times New Roman" w:hAnsi="Times New Roman"/>
          <w:sz w:val="24"/>
          <w:szCs w:val="24"/>
        </w:rPr>
        <w:t>. University of Pennsylvania Press.</w:t>
      </w:r>
    </w:p>
    <w:p w:rsidR="00C87159" w:rsidRPr="00C87159" w:rsidRDefault="00C87159" w:rsidP="00374024">
      <w:pPr>
        <w:spacing w:after="240" w:line="360" w:lineRule="auto"/>
        <w:jc w:val="both"/>
        <w:rPr>
          <w:rFonts w:ascii="Times New Roman" w:hAnsi="Times New Roman"/>
          <w:sz w:val="24"/>
          <w:szCs w:val="24"/>
          <w:lang w:val="en-GB"/>
        </w:rPr>
      </w:pPr>
      <w:r w:rsidRPr="00C87159">
        <w:rPr>
          <w:rFonts w:ascii="Times New Roman" w:hAnsi="Times New Roman"/>
          <w:sz w:val="24"/>
          <w:szCs w:val="24"/>
          <w:lang w:val="en-GB"/>
        </w:rPr>
        <w:t xml:space="preserve">Konukman, R. Ercument. 1990. </w:t>
      </w:r>
      <w:r w:rsidRPr="00C87159">
        <w:rPr>
          <w:rFonts w:ascii="Times New Roman" w:hAnsi="Times New Roman"/>
          <w:i/>
          <w:iCs/>
          <w:sz w:val="24"/>
          <w:szCs w:val="24"/>
          <w:lang w:val="en-GB"/>
        </w:rPr>
        <w:t>Tarihi</w:t>
      </w:r>
      <w:r w:rsidR="004725DD">
        <w:rPr>
          <w:rFonts w:ascii="Times New Roman" w:hAnsi="Times New Roman"/>
          <w:i/>
          <w:iCs/>
          <w:sz w:val="24"/>
          <w:szCs w:val="24"/>
          <w:lang w:val="en-GB"/>
        </w:rPr>
        <w:t xml:space="preserve"> </w:t>
      </w:r>
      <w:r w:rsidRPr="00C87159">
        <w:rPr>
          <w:rFonts w:ascii="Times New Roman" w:hAnsi="Times New Roman"/>
          <w:i/>
          <w:iCs/>
          <w:sz w:val="24"/>
          <w:szCs w:val="24"/>
          <w:lang w:val="en-GB"/>
        </w:rPr>
        <w:t>Belgeler</w:t>
      </w:r>
      <w:r w:rsidR="004725DD">
        <w:rPr>
          <w:rFonts w:ascii="Times New Roman" w:hAnsi="Times New Roman"/>
          <w:i/>
          <w:iCs/>
          <w:sz w:val="24"/>
          <w:szCs w:val="24"/>
          <w:lang w:val="en-GB"/>
        </w:rPr>
        <w:t xml:space="preserve"> </w:t>
      </w:r>
      <w:r w:rsidRPr="00C87159">
        <w:rPr>
          <w:rFonts w:ascii="Times New Roman" w:hAnsi="Times New Roman"/>
          <w:i/>
          <w:iCs/>
          <w:sz w:val="24"/>
          <w:szCs w:val="24"/>
          <w:lang w:val="en-GB"/>
        </w:rPr>
        <w:t>Işığında</w:t>
      </w:r>
      <w:r w:rsidR="004725DD">
        <w:rPr>
          <w:rFonts w:ascii="Times New Roman" w:hAnsi="Times New Roman"/>
          <w:i/>
          <w:iCs/>
          <w:sz w:val="24"/>
          <w:szCs w:val="24"/>
          <w:lang w:val="en-GB"/>
        </w:rPr>
        <w:t xml:space="preserve"> </w:t>
      </w:r>
      <w:r w:rsidRPr="00C87159">
        <w:rPr>
          <w:rFonts w:ascii="Times New Roman" w:hAnsi="Times New Roman"/>
          <w:i/>
          <w:iCs/>
          <w:sz w:val="24"/>
          <w:szCs w:val="24"/>
          <w:lang w:val="en-GB"/>
        </w:rPr>
        <w:t>Büyük</w:t>
      </w:r>
      <w:r w:rsidR="004725DD">
        <w:rPr>
          <w:rFonts w:ascii="Times New Roman" w:hAnsi="Times New Roman"/>
          <w:i/>
          <w:iCs/>
          <w:sz w:val="24"/>
          <w:szCs w:val="24"/>
          <w:lang w:val="en-GB"/>
        </w:rPr>
        <w:t xml:space="preserve"> </w:t>
      </w:r>
      <w:r w:rsidRPr="00C87159">
        <w:rPr>
          <w:rFonts w:ascii="Times New Roman" w:hAnsi="Times New Roman"/>
          <w:i/>
          <w:iCs/>
          <w:sz w:val="24"/>
          <w:szCs w:val="24"/>
          <w:lang w:val="en-GB"/>
        </w:rPr>
        <w:t>Göçve</w:t>
      </w:r>
      <w:r w:rsidR="004725DD">
        <w:rPr>
          <w:rFonts w:ascii="Times New Roman" w:hAnsi="Times New Roman"/>
          <w:i/>
          <w:iCs/>
          <w:sz w:val="24"/>
          <w:szCs w:val="24"/>
          <w:lang w:val="en-GB"/>
        </w:rPr>
        <w:t xml:space="preserve"> </w:t>
      </w:r>
      <w:r w:rsidRPr="00C87159">
        <w:rPr>
          <w:rFonts w:ascii="Times New Roman" w:hAnsi="Times New Roman"/>
          <w:i/>
          <w:iCs/>
          <w:sz w:val="24"/>
          <w:szCs w:val="24"/>
          <w:lang w:val="en-GB"/>
        </w:rPr>
        <w:t>Anavatan: Nedenleri, Boyutları, Sonuçları,</w:t>
      </w:r>
      <w:r w:rsidRPr="00C87159">
        <w:rPr>
          <w:rFonts w:ascii="Times New Roman" w:hAnsi="Times New Roman"/>
          <w:iCs/>
          <w:sz w:val="24"/>
          <w:szCs w:val="24"/>
          <w:lang w:val="en-GB"/>
        </w:rPr>
        <w:t xml:space="preserve"> [Great Migration and Motherland in the Light of Historical Documents: Causes, Dimensions, Consequences]</w:t>
      </w:r>
      <w:r w:rsidRPr="00C87159">
        <w:rPr>
          <w:rFonts w:ascii="Times New Roman" w:hAnsi="Times New Roman"/>
          <w:i/>
          <w:iCs/>
          <w:sz w:val="24"/>
          <w:szCs w:val="24"/>
          <w:lang w:val="en-GB"/>
        </w:rPr>
        <w:t xml:space="preserve">, </w:t>
      </w:r>
      <w:r w:rsidRPr="00C87159">
        <w:rPr>
          <w:rFonts w:ascii="Times New Roman" w:hAnsi="Times New Roman"/>
          <w:iCs/>
          <w:sz w:val="24"/>
          <w:szCs w:val="24"/>
          <w:lang w:val="en-GB"/>
        </w:rPr>
        <w:t>yayınahazırlayan</w:t>
      </w:r>
      <w:r w:rsidR="004725DD">
        <w:rPr>
          <w:rFonts w:ascii="Times New Roman" w:hAnsi="Times New Roman"/>
          <w:iCs/>
          <w:sz w:val="24"/>
          <w:szCs w:val="24"/>
          <w:lang w:val="en-GB"/>
        </w:rPr>
        <w:t xml:space="preserve"> </w:t>
      </w:r>
      <w:r w:rsidRPr="00C87159">
        <w:rPr>
          <w:rFonts w:ascii="Times New Roman" w:hAnsi="Times New Roman"/>
          <w:iCs/>
          <w:sz w:val="24"/>
          <w:szCs w:val="24"/>
          <w:lang w:val="en-GB"/>
        </w:rPr>
        <w:t>Kutlay Dogan. Ankara:</w:t>
      </w:r>
      <w:r w:rsidRPr="00C87159">
        <w:rPr>
          <w:rFonts w:ascii="Times New Roman" w:hAnsi="Times New Roman"/>
          <w:sz w:val="24"/>
          <w:szCs w:val="24"/>
          <w:lang w:val="en-GB"/>
        </w:rPr>
        <w:t>Türk</w:t>
      </w:r>
      <w:r w:rsidR="004725DD">
        <w:rPr>
          <w:rFonts w:ascii="Times New Roman" w:hAnsi="Times New Roman"/>
          <w:sz w:val="24"/>
          <w:szCs w:val="24"/>
          <w:lang w:val="en-GB"/>
        </w:rPr>
        <w:t xml:space="preserve"> </w:t>
      </w:r>
      <w:r w:rsidRPr="00C87159">
        <w:rPr>
          <w:rFonts w:ascii="Times New Roman" w:hAnsi="Times New Roman"/>
          <w:sz w:val="24"/>
          <w:szCs w:val="24"/>
          <w:lang w:val="en-GB"/>
        </w:rPr>
        <w:t>Basın</w:t>
      </w:r>
      <w:r w:rsidR="004725DD">
        <w:rPr>
          <w:rFonts w:ascii="Times New Roman" w:hAnsi="Times New Roman"/>
          <w:sz w:val="24"/>
          <w:szCs w:val="24"/>
          <w:lang w:val="en-GB"/>
        </w:rPr>
        <w:t xml:space="preserve"> </w:t>
      </w:r>
      <w:r w:rsidRPr="00C87159">
        <w:rPr>
          <w:rFonts w:ascii="Times New Roman" w:hAnsi="Times New Roman"/>
          <w:sz w:val="24"/>
          <w:szCs w:val="24"/>
          <w:lang w:val="en-GB"/>
        </w:rPr>
        <w:t>Birliği.</w:t>
      </w:r>
    </w:p>
    <w:p w:rsidR="00C87159" w:rsidRPr="000C2FA0" w:rsidRDefault="00C87159" w:rsidP="00374024">
      <w:pPr>
        <w:spacing w:after="240" w:line="360" w:lineRule="auto"/>
        <w:jc w:val="both"/>
        <w:rPr>
          <w:rFonts w:ascii="Times New Roman" w:eastAsia="MS Mincho" w:hAnsi="Times New Roman"/>
          <w:color w:val="000000"/>
          <w:sz w:val="24"/>
          <w:szCs w:val="24"/>
        </w:rPr>
      </w:pPr>
      <w:r w:rsidRPr="006B4A2D">
        <w:rPr>
          <w:rFonts w:ascii="Times New Roman" w:eastAsia="MS Mincho" w:hAnsi="Times New Roman"/>
          <w:color w:val="000000"/>
          <w:sz w:val="24"/>
          <w:szCs w:val="24"/>
        </w:rPr>
        <w:t xml:space="preserve">Kovras, Iosif. 2014. </w:t>
      </w:r>
      <w:r w:rsidRPr="006B4A2D">
        <w:rPr>
          <w:rFonts w:ascii="Times New Roman" w:eastAsia="MS Mincho" w:hAnsi="Times New Roman"/>
          <w:i/>
          <w:color w:val="000000"/>
          <w:sz w:val="24"/>
          <w:szCs w:val="24"/>
        </w:rPr>
        <w:t>Truth Recovery and Transitional Justice</w:t>
      </w:r>
      <w:r w:rsidRPr="006B4A2D">
        <w:rPr>
          <w:rFonts w:ascii="Times New Roman" w:eastAsia="MS Mincho" w:hAnsi="Times New Roman"/>
          <w:color w:val="000000"/>
          <w:sz w:val="24"/>
          <w:szCs w:val="24"/>
        </w:rPr>
        <w:t>. London: Routledge</w:t>
      </w:r>
      <w:r>
        <w:rPr>
          <w:rFonts w:ascii="Times New Roman" w:eastAsia="MS Mincho" w:hAnsi="Times New Roman"/>
          <w:color w:val="000000"/>
          <w:sz w:val="24"/>
          <w:szCs w:val="24"/>
        </w:rPr>
        <w:t>.</w:t>
      </w:r>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rPr>
        <w:t xml:space="preserve">Kutlay, Muzaffer. 2012. </w:t>
      </w:r>
      <w:r w:rsidRPr="00C87159">
        <w:rPr>
          <w:rFonts w:ascii="Times New Roman" w:hAnsi="Times New Roman"/>
          <w:i/>
          <w:sz w:val="24"/>
          <w:szCs w:val="24"/>
        </w:rPr>
        <w:t>Historical Decision of Bulgarian Parliament</w:t>
      </w:r>
      <w:r w:rsidRPr="00C87159">
        <w:rPr>
          <w:rFonts w:ascii="Times New Roman" w:hAnsi="Times New Roman"/>
          <w:sz w:val="24"/>
          <w:szCs w:val="24"/>
        </w:rPr>
        <w:t>. Eu</w:t>
      </w:r>
      <w:r w:rsidR="00147C1E">
        <w:rPr>
          <w:rFonts w:ascii="Times New Roman" w:hAnsi="Times New Roman"/>
          <w:sz w:val="24"/>
          <w:szCs w:val="24"/>
        </w:rPr>
        <w:t>r</w:t>
      </w:r>
      <w:r w:rsidRPr="00C87159">
        <w:rPr>
          <w:rFonts w:ascii="Times New Roman" w:hAnsi="Times New Roman"/>
          <w:sz w:val="24"/>
          <w:szCs w:val="24"/>
        </w:rPr>
        <w:t>asia Review.</w:t>
      </w:r>
      <w:hyperlink r:id="rId12" w:history="1">
        <w:r w:rsidRPr="00C87159">
          <w:rPr>
            <w:rStyle w:val="Hyperlink"/>
            <w:rFonts w:ascii="Times New Roman" w:hAnsi="Times New Roman"/>
            <w:sz w:val="24"/>
            <w:szCs w:val="24"/>
          </w:rPr>
          <w:t>https://www.eurasiareview.com/15012012-historical-decision-of-bulgarian-parliament-oped/</w:t>
        </w:r>
      </w:hyperlink>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rPr>
        <w:t xml:space="preserve">Kutlay, Muzaffer. 2017. ‘The Turks of Bulgaria: An Outlier Case of Forced Migration and Voluntary Return’, </w:t>
      </w:r>
      <w:r w:rsidRPr="00C87159">
        <w:rPr>
          <w:rFonts w:ascii="Times New Roman" w:hAnsi="Times New Roman"/>
          <w:i/>
          <w:sz w:val="24"/>
          <w:szCs w:val="24"/>
        </w:rPr>
        <w:t>International Migration,</w:t>
      </w:r>
      <w:r w:rsidRPr="00C87159">
        <w:rPr>
          <w:rFonts w:ascii="Times New Roman" w:hAnsi="Times New Roman"/>
          <w:sz w:val="24"/>
          <w:szCs w:val="24"/>
        </w:rPr>
        <w:t xml:space="preserve"> 55 (5): 162-179.</w:t>
      </w:r>
    </w:p>
    <w:p w:rsidR="00C87159" w:rsidRPr="00C87159" w:rsidRDefault="00C87159" w:rsidP="00374024">
      <w:pPr>
        <w:spacing w:after="240" w:line="360" w:lineRule="auto"/>
        <w:jc w:val="both"/>
        <w:rPr>
          <w:rFonts w:ascii="Times New Roman" w:hAnsi="Times New Roman"/>
          <w:sz w:val="24"/>
          <w:szCs w:val="24"/>
          <w:lang w:val="en-GB"/>
        </w:rPr>
      </w:pPr>
      <w:r w:rsidRPr="00C87159">
        <w:rPr>
          <w:rFonts w:ascii="Times New Roman" w:hAnsi="Times New Roman"/>
          <w:sz w:val="24"/>
          <w:szCs w:val="24"/>
          <w:lang w:val="en-GB"/>
        </w:rPr>
        <w:t xml:space="preserve">Laber, Jeri. 1987. </w:t>
      </w:r>
      <w:r w:rsidRPr="00C87159">
        <w:rPr>
          <w:rFonts w:ascii="Times New Roman" w:hAnsi="Times New Roman"/>
          <w:i/>
          <w:sz w:val="24"/>
          <w:szCs w:val="24"/>
          <w:lang w:val="en-GB"/>
        </w:rPr>
        <w:t>Destroying Ethnic Identity: The Turks of Bulgaria: An Update.</w:t>
      </w:r>
      <w:r w:rsidRPr="00C87159">
        <w:rPr>
          <w:rFonts w:ascii="Times New Roman" w:hAnsi="Times New Roman"/>
          <w:sz w:val="24"/>
          <w:szCs w:val="24"/>
          <w:lang w:val="en-GB"/>
        </w:rPr>
        <w:t xml:space="preserve"> New York: Helsinki Watch Committee.</w:t>
      </w:r>
    </w:p>
    <w:p w:rsidR="00C87159" w:rsidRPr="006B4A2D" w:rsidRDefault="00C87159" w:rsidP="00374024">
      <w:pPr>
        <w:spacing w:after="240" w:line="360" w:lineRule="auto"/>
        <w:jc w:val="both"/>
        <w:rPr>
          <w:rFonts w:ascii="Times New Roman" w:eastAsia="Times New Roman" w:hAnsi="Times New Roman"/>
          <w:sz w:val="24"/>
          <w:szCs w:val="24"/>
          <w:lang w:val="en-GB"/>
        </w:rPr>
      </w:pPr>
      <w:r w:rsidRPr="006B4A2D">
        <w:rPr>
          <w:rFonts w:ascii="Times New Roman" w:hAnsi="Times New Roman"/>
          <w:sz w:val="24"/>
          <w:szCs w:val="24"/>
          <w:lang w:val="en-GB" w:eastAsia="ar-SA"/>
        </w:rPr>
        <w:t xml:space="preserve">Loizides, Neophytos, 2016. </w:t>
      </w:r>
      <w:r w:rsidRPr="006B4A2D">
        <w:rPr>
          <w:rFonts w:ascii="Times New Roman" w:hAnsi="Times New Roman"/>
          <w:i/>
          <w:sz w:val="24"/>
          <w:szCs w:val="24"/>
          <w:lang w:val="en-GB" w:eastAsia="ar-SA"/>
        </w:rPr>
        <w:t>Designing Peace: Cyprus and Institutional I</w:t>
      </w:r>
      <w:r>
        <w:rPr>
          <w:rFonts w:ascii="Times New Roman" w:hAnsi="Times New Roman"/>
          <w:i/>
          <w:sz w:val="24"/>
          <w:szCs w:val="24"/>
          <w:lang w:val="en-GB" w:eastAsia="ar-SA"/>
        </w:rPr>
        <w:t>nnovations in Divided Societies.</w:t>
      </w:r>
      <w:r w:rsidR="00147C1E">
        <w:rPr>
          <w:rFonts w:ascii="Times New Roman" w:hAnsi="Times New Roman"/>
          <w:i/>
          <w:sz w:val="24"/>
          <w:szCs w:val="24"/>
          <w:lang w:val="en-GB" w:eastAsia="ar-SA"/>
        </w:rPr>
        <w:t xml:space="preserve"> </w:t>
      </w:r>
      <w:r w:rsidRPr="006B4A2D">
        <w:rPr>
          <w:rFonts w:ascii="Times New Roman" w:hAnsi="Times New Roman"/>
          <w:sz w:val="24"/>
          <w:szCs w:val="24"/>
          <w:lang w:val="en-GB" w:eastAsia="ar-SA"/>
        </w:rPr>
        <w:t xml:space="preserve">Philadelphia: University of Pennsylvania Press. </w:t>
      </w:r>
    </w:p>
    <w:p w:rsidR="00C87159" w:rsidRPr="006B4A2D" w:rsidRDefault="00C87159" w:rsidP="00374024">
      <w:pPr>
        <w:spacing w:after="240" w:line="360" w:lineRule="auto"/>
        <w:jc w:val="both"/>
        <w:rPr>
          <w:rFonts w:ascii="Times New Roman" w:hAnsi="Times New Roman"/>
          <w:sz w:val="24"/>
          <w:szCs w:val="24"/>
        </w:rPr>
      </w:pPr>
      <w:r w:rsidRPr="006B4A2D">
        <w:rPr>
          <w:rFonts w:ascii="Times New Roman" w:hAnsi="Times New Roman"/>
          <w:sz w:val="24"/>
          <w:szCs w:val="24"/>
        </w:rPr>
        <w:t>Loizides, Neophytos. 2007</w:t>
      </w:r>
      <w:r>
        <w:rPr>
          <w:rFonts w:ascii="Times New Roman" w:hAnsi="Times New Roman"/>
          <w:sz w:val="24"/>
          <w:szCs w:val="24"/>
        </w:rPr>
        <w:t>. ‘</w:t>
      </w:r>
      <w:r w:rsidRPr="006B4A2D">
        <w:rPr>
          <w:rFonts w:ascii="Times New Roman" w:hAnsi="Times New Roman"/>
          <w:sz w:val="24"/>
          <w:szCs w:val="24"/>
        </w:rPr>
        <w:t>Ethnic nation</w:t>
      </w:r>
      <w:r>
        <w:rPr>
          <w:rFonts w:ascii="Times New Roman" w:hAnsi="Times New Roman"/>
          <w:sz w:val="24"/>
          <w:szCs w:val="24"/>
        </w:rPr>
        <w:t>alism and adaptation in Cyprus’,</w:t>
      </w:r>
      <w:r w:rsidR="004725DD">
        <w:rPr>
          <w:rFonts w:ascii="Times New Roman" w:hAnsi="Times New Roman"/>
          <w:sz w:val="24"/>
          <w:szCs w:val="24"/>
        </w:rPr>
        <w:t xml:space="preserve"> </w:t>
      </w:r>
      <w:r w:rsidRPr="006B4A2D">
        <w:rPr>
          <w:rFonts w:ascii="Times New Roman" w:hAnsi="Times New Roman"/>
          <w:i/>
          <w:iCs/>
          <w:sz w:val="24"/>
          <w:szCs w:val="24"/>
        </w:rPr>
        <w:t>International Studies Perspectives</w:t>
      </w:r>
      <w:r w:rsidR="004B7B76">
        <w:rPr>
          <w:rFonts w:ascii="Times New Roman" w:hAnsi="Times New Roman"/>
          <w:i/>
          <w:iCs/>
          <w:sz w:val="24"/>
          <w:szCs w:val="24"/>
        </w:rPr>
        <w:t>,</w:t>
      </w:r>
      <w:r w:rsidRPr="006B4A2D">
        <w:rPr>
          <w:rFonts w:ascii="Times New Roman" w:hAnsi="Times New Roman"/>
          <w:sz w:val="24"/>
          <w:szCs w:val="24"/>
        </w:rPr>
        <w:t xml:space="preserve"> 8 (2): 172-189.</w:t>
      </w:r>
    </w:p>
    <w:p w:rsidR="00C87159" w:rsidRPr="006B4A2D" w:rsidRDefault="00C87159" w:rsidP="00374024">
      <w:pPr>
        <w:spacing w:after="240" w:line="360" w:lineRule="auto"/>
        <w:jc w:val="both"/>
        <w:rPr>
          <w:rFonts w:ascii="Times New Roman" w:hAnsi="Times New Roman"/>
          <w:sz w:val="24"/>
          <w:szCs w:val="24"/>
        </w:rPr>
      </w:pPr>
      <w:r w:rsidRPr="006B4A2D">
        <w:rPr>
          <w:rFonts w:ascii="Times New Roman" w:hAnsi="Times New Roman"/>
          <w:sz w:val="24"/>
          <w:szCs w:val="24"/>
        </w:rPr>
        <w:t>Makriyanni, Chara, and Char</w:t>
      </w:r>
      <w:r>
        <w:rPr>
          <w:rFonts w:ascii="Times New Roman" w:hAnsi="Times New Roman"/>
          <w:sz w:val="24"/>
          <w:szCs w:val="24"/>
        </w:rPr>
        <w:t>is Psaltis. 2007. ‘</w:t>
      </w:r>
      <w:r w:rsidRPr="006B4A2D">
        <w:rPr>
          <w:rFonts w:ascii="Times New Roman" w:hAnsi="Times New Roman"/>
          <w:sz w:val="24"/>
          <w:szCs w:val="24"/>
        </w:rPr>
        <w:t xml:space="preserve">The Teaching </w:t>
      </w:r>
      <w:r>
        <w:rPr>
          <w:rFonts w:ascii="Times New Roman" w:hAnsi="Times New Roman"/>
          <w:sz w:val="24"/>
          <w:szCs w:val="24"/>
        </w:rPr>
        <w:t>of History and Reconcilliation’,</w:t>
      </w:r>
      <w:r w:rsidR="004725DD">
        <w:rPr>
          <w:rFonts w:ascii="Times New Roman" w:hAnsi="Times New Roman"/>
          <w:sz w:val="24"/>
          <w:szCs w:val="24"/>
        </w:rPr>
        <w:t xml:space="preserve"> </w:t>
      </w:r>
      <w:r w:rsidRPr="006B4A2D">
        <w:rPr>
          <w:rFonts w:ascii="Times New Roman" w:hAnsi="Times New Roman"/>
          <w:i/>
          <w:iCs/>
          <w:sz w:val="24"/>
          <w:szCs w:val="24"/>
        </w:rPr>
        <w:t>The Cyprus Review</w:t>
      </w:r>
      <w:r w:rsidR="004B7B76">
        <w:rPr>
          <w:rFonts w:ascii="Times New Roman" w:hAnsi="Times New Roman"/>
          <w:i/>
          <w:iCs/>
          <w:sz w:val="24"/>
          <w:szCs w:val="24"/>
        </w:rPr>
        <w:t>,</w:t>
      </w:r>
      <w:r w:rsidRPr="006B4A2D">
        <w:rPr>
          <w:rFonts w:ascii="Times New Roman" w:hAnsi="Times New Roman"/>
          <w:sz w:val="24"/>
          <w:szCs w:val="24"/>
        </w:rPr>
        <w:t xml:space="preserve"> 19 (1): 43-69.</w:t>
      </w:r>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rPr>
        <w:t>Nitzova, Petya. 1997. ‘Bulgaria: Minorities, Democrati</w:t>
      </w:r>
      <w:r w:rsidR="00147C1E">
        <w:rPr>
          <w:rFonts w:ascii="Times New Roman" w:hAnsi="Times New Roman"/>
          <w:sz w:val="24"/>
          <w:szCs w:val="24"/>
        </w:rPr>
        <w:t>z</w:t>
      </w:r>
      <w:r w:rsidRPr="00C87159">
        <w:rPr>
          <w:rFonts w:ascii="Times New Roman" w:hAnsi="Times New Roman"/>
          <w:sz w:val="24"/>
          <w:szCs w:val="24"/>
        </w:rPr>
        <w:t xml:space="preserve">ation, and National Sentiments’, </w:t>
      </w:r>
      <w:r w:rsidRPr="00C87159">
        <w:rPr>
          <w:rFonts w:ascii="Times New Roman" w:hAnsi="Times New Roman"/>
          <w:i/>
          <w:sz w:val="24"/>
          <w:szCs w:val="24"/>
        </w:rPr>
        <w:t>Nationalities Papers,</w:t>
      </w:r>
      <w:r w:rsidRPr="00C87159">
        <w:rPr>
          <w:rFonts w:ascii="Times New Roman" w:hAnsi="Times New Roman"/>
          <w:sz w:val="24"/>
          <w:szCs w:val="24"/>
        </w:rPr>
        <w:t xml:space="preserve"> 25 (4): 729-739.</w:t>
      </w:r>
    </w:p>
    <w:p w:rsidR="00C87159" w:rsidRPr="006B4A2D" w:rsidRDefault="00C87159" w:rsidP="00374024">
      <w:pPr>
        <w:spacing w:after="240" w:line="360" w:lineRule="auto"/>
        <w:jc w:val="both"/>
        <w:rPr>
          <w:rFonts w:ascii="Times New Roman" w:hAnsi="Times New Roman"/>
          <w:sz w:val="24"/>
          <w:szCs w:val="24"/>
        </w:rPr>
      </w:pPr>
      <w:r w:rsidRPr="007A220C">
        <w:rPr>
          <w:rFonts w:ascii="Times New Roman" w:eastAsia="Times New Roman" w:hAnsi="Times New Roman"/>
          <w:sz w:val="24"/>
          <w:szCs w:val="24"/>
          <w:lang w:val="en-GB"/>
        </w:rPr>
        <w:t xml:space="preserve">Pinker, Steven. </w:t>
      </w:r>
      <w:r w:rsidRPr="006B4A2D">
        <w:rPr>
          <w:rFonts w:ascii="Times New Roman" w:eastAsia="Times New Roman" w:hAnsi="Times New Roman"/>
          <w:sz w:val="24"/>
          <w:szCs w:val="24"/>
          <w:lang w:val="en-GB"/>
        </w:rPr>
        <w:t xml:space="preserve">2011. </w:t>
      </w:r>
      <w:r>
        <w:rPr>
          <w:rFonts w:ascii="Times New Roman" w:eastAsia="Times New Roman" w:hAnsi="Times New Roman"/>
          <w:i/>
          <w:iCs/>
          <w:sz w:val="24"/>
          <w:szCs w:val="24"/>
          <w:lang w:val="en-GB"/>
        </w:rPr>
        <w:t>The Better Angels of Our Nature: The Decline of Violence in History and Its C</w:t>
      </w:r>
      <w:r w:rsidRPr="007A220C">
        <w:rPr>
          <w:rFonts w:ascii="Times New Roman" w:eastAsia="Times New Roman" w:hAnsi="Times New Roman"/>
          <w:i/>
          <w:iCs/>
          <w:sz w:val="24"/>
          <w:szCs w:val="24"/>
          <w:lang w:val="en-GB"/>
        </w:rPr>
        <w:t>auses</w:t>
      </w:r>
      <w:r w:rsidRPr="007A220C">
        <w:rPr>
          <w:rFonts w:ascii="Times New Roman" w:eastAsia="Times New Roman" w:hAnsi="Times New Roman"/>
          <w:sz w:val="24"/>
          <w:szCs w:val="24"/>
          <w:lang w:val="en-GB"/>
        </w:rPr>
        <w:t xml:space="preserve">. Penguin </w:t>
      </w:r>
      <w:r w:rsidRPr="006B4A2D">
        <w:rPr>
          <w:rFonts w:ascii="Times New Roman" w:eastAsia="Times New Roman" w:hAnsi="Times New Roman"/>
          <w:sz w:val="24"/>
          <w:szCs w:val="24"/>
          <w:lang w:val="en-GB"/>
        </w:rPr>
        <w:t>UK</w:t>
      </w:r>
      <w:r w:rsidRPr="007A220C">
        <w:rPr>
          <w:rFonts w:ascii="Times New Roman" w:eastAsia="Times New Roman" w:hAnsi="Times New Roman"/>
          <w:sz w:val="24"/>
          <w:szCs w:val="24"/>
          <w:lang w:val="en-GB"/>
        </w:rPr>
        <w:t>.</w:t>
      </w:r>
    </w:p>
    <w:p w:rsidR="00C87159" w:rsidRPr="006B4A2D" w:rsidRDefault="00C87159" w:rsidP="00374024">
      <w:pPr>
        <w:spacing w:after="240" w:line="360" w:lineRule="auto"/>
        <w:jc w:val="both"/>
        <w:rPr>
          <w:rFonts w:ascii="Times New Roman" w:hAnsi="Times New Roman"/>
          <w:sz w:val="24"/>
          <w:szCs w:val="24"/>
        </w:rPr>
      </w:pPr>
      <w:r w:rsidRPr="006B4A2D">
        <w:rPr>
          <w:rFonts w:ascii="Times New Roman" w:hAnsi="Times New Roman"/>
          <w:sz w:val="24"/>
          <w:szCs w:val="24"/>
        </w:rPr>
        <w:lastRenderedPageBreak/>
        <w:t xml:space="preserve">Psaltis, Charis, Mario Carretero, and Sabina Čehajić-Clancy. 2017. </w:t>
      </w:r>
      <w:r>
        <w:rPr>
          <w:rFonts w:ascii="Times New Roman" w:hAnsi="Times New Roman"/>
          <w:i/>
          <w:iCs/>
          <w:sz w:val="24"/>
          <w:szCs w:val="24"/>
        </w:rPr>
        <w:t>History Education and Conflict T</w:t>
      </w:r>
      <w:r w:rsidRPr="006B4A2D">
        <w:rPr>
          <w:rFonts w:ascii="Times New Roman" w:hAnsi="Times New Roman"/>
          <w:i/>
          <w:iCs/>
          <w:sz w:val="24"/>
          <w:szCs w:val="24"/>
        </w:rPr>
        <w:t>ransformation</w:t>
      </w:r>
      <w:r w:rsidRPr="006B4A2D">
        <w:rPr>
          <w:rFonts w:ascii="Times New Roman" w:hAnsi="Times New Roman"/>
          <w:sz w:val="24"/>
          <w:szCs w:val="24"/>
        </w:rPr>
        <w:t xml:space="preserve">. Springer International Publishing. </w:t>
      </w:r>
    </w:p>
    <w:p w:rsidR="00C87159" w:rsidRPr="006B4A2D" w:rsidRDefault="00C87159" w:rsidP="00374024">
      <w:pPr>
        <w:spacing w:after="240" w:line="360" w:lineRule="auto"/>
        <w:jc w:val="both"/>
        <w:rPr>
          <w:rFonts w:ascii="Times New Roman" w:hAnsi="Times New Roman"/>
          <w:sz w:val="24"/>
          <w:szCs w:val="24"/>
        </w:rPr>
      </w:pPr>
      <w:r>
        <w:rPr>
          <w:rFonts w:ascii="Times New Roman" w:hAnsi="Times New Roman"/>
          <w:sz w:val="24"/>
          <w:szCs w:val="24"/>
        </w:rPr>
        <w:t>Richmond, Oliver. 2005. ‘</w:t>
      </w:r>
      <w:r w:rsidRPr="006B4A2D">
        <w:rPr>
          <w:rFonts w:ascii="Times New Roman" w:hAnsi="Times New Roman"/>
          <w:sz w:val="24"/>
          <w:szCs w:val="24"/>
        </w:rPr>
        <w:t>Shared Sovereignty and the Politics of Peace: Evaluating the EU’s ‘Catalytic’ Framework in the Eastern Mediterran</w:t>
      </w:r>
      <w:r>
        <w:rPr>
          <w:rFonts w:ascii="Times New Roman" w:hAnsi="Times New Roman"/>
          <w:sz w:val="24"/>
          <w:szCs w:val="24"/>
        </w:rPr>
        <w:t>ean’,</w:t>
      </w:r>
      <w:r w:rsidR="00147C1E">
        <w:rPr>
          <w:rFonts w:ascii="Times New Roman" w:hAnsi="Times New Roman"/>
          <w:sz w:val="24"/>
          <w:szCs w:val="24"/>
        </w:rPr>
        <w:t xml:space="preserve"> </w:t>
      </w:r>
      <w:r w:rsidRPr="006B4A2D">
        <w:rPr>
          <w:rFonts w:ascii="Times New Roman" w:hAnsi="Times New Roman"/>
          <w:i/>
          <w:sz w:val="24"/>
          <w:szCs w:val="24"/>
        </w:rPr>
        <w:t>International Affairs</w:t>
      </w:r>
      <w:r w:rsidR="00556E17">
        <w:rPr>
          <w:rFonts w:ascii="Times New Roman" w:hAnsi="Times New Roman"/>
          <w:i/>
          <w:sz w:val="24"/>
          <w:szCs w:val="24"/>
        </w:rPr>
        <w:t>,</w:t>
      </w:r>
      <w:r w:rsidRPr="006B4A2D">
        <w:rPr>
          <w:rFonts w:ascii="Times New Roman" w:hAnsi="Times New Roman"/>
          <w:sz w:val="24"/>
          <w:szCs w:val="24"/>
        </w:rPr>
        <w:t xml:space="preserve"> 82 (1): 149-76. </w:t>
      </w:r>
    </w:p>
    <w:p w:rsidR="00C87159" w:rsidRPr="006B4A2D" w:rsidRDefault="00C87159" w:rsidP="00374024">
      <w:pPr>
        <w:spacing w:after="240" w:line="360" w:lineRule="auto"/>
        <w:jc w:val="both"/>
        <w:rPr>
          <w:rFonts w:ascii="Times New Roman" w:hAnsi="Times New Roman"/>
          <w:sz w:val="24"/>
          <w:szCs w:val="24"/>
        </w:rPr>
      </w:pPr>
      <w:r>
        <w:rPr>
          <w:rFonts w:ascii="Times New Roman" w:hAnsi="Times New Roman"/>
          <w:sz w:val="24"/>
          <w:szCs w:val="24"/>
        </w:rPr>
        <w:t>Rumelili, Bahar. 2007. ‘</w:t>
      </w:r>
      <w:r w:rsidRPr="006B4A2D">
        <w:rPr>
          <w:rFonts w:ascii="Times New Roman" w:hAnsi="Times New Roman"/>
          <w:sz w:val="24"/>
          <w:szCs w:val="24"/>
        </w:rPr>
        <w:t>Transforming Conflicts on EU Borders: The C</w:t>
      </w:r>
      <w:r>
        <w:rPr>
          <w:rFonts w:ascii="Times New Roman" w:hAnsi="Times New Roman"/>
          <w:sz w:val="24"/>
          <w:szCs w:val="24"/>
        </w:rPr>
        <w:t>ase of Greek-Turkish Relations’,</w:t>
      </w:r>
      <w:r w:rsidR="00147C1E">
        <w:rPr>
          <w:rFonts w:ascii="Times New Roman" w:hAnsi="Times New Roman"/>
          <w:sz w:val="24"/>
          <w:szCs w:val="24"/>
        </w:rPr>
        <w:t xml:space="preserve"> </w:t>
      </w:r>
      <w:r w:rsidRPr="006B4A2D">
        <w:rPr>
          <w:rFonts w:ascii="Times New Roman" w:hAnsi="Times New Roman"/>
          <w:i/>
          <w:sz w:val="24"/>
          <w:szCs w:val="24"/>
        </w:rPr>
        <w:t>Journal of Common Market Studies</w:t>
      </w:r>
      <w:r w:rsidR="004B7B76">
        <w:rPr>
          <w:rFonts w:ascii="Times New Roman" w:hAnsi="Times New Roman"/>
          <w:i/>
          <w:sz w:val="24"/>
          <w:szCs w:val="24"/>
        </w:rPr>
        <w:t>,</w:t>
      </w:r>
      <w:r w:rsidRPr="006B4A2D">
        <w:rPr>
          <w:rFonts w:ascii="Times New Roman" w:hAnsi="Times New Roman"/>
          <w:sz w:val="24"/>
          <w:szCs w:val="24"/>
        </w:rPr>
        <w:t xml:space="preserve"> 45 (1): 105-126. </w:t>
      </w:r>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lang w:val="en-GB"/>
        </w:rPr>
        <w:t xml:space="preserve">Stoyanov, Petar. 1997. </w:t>
      </w:r>
      <w:r w:rsidRPr="00C87159">
        <w:rPr>
          <w:rFonts w:ascii="Times New Roman" w:hAnsi="Times New Roman"/>
          <w:i/>
          <w:sz w:val="24"/>
          <w:szCs w:val="24"/>
          <w:lang w:val="en-GB"/>
        </w:rPr>
        <w:t>TBMM Tutanak</w:t>
      </w:r>
      <w:r w:rsidR="00147C1E">
        <w:rPr>
          <w:rFonts w:ascii="Times New Roman" w:hAnsi="Times New Roman"/>
          <w:i/>
          <w:sz w:val="24"/>
          <w:szCs w:val="24"/>
          <w:lang w:val="en-GB"/>
        </w:rPr>
        <w:t xml:space="preserve"> </w:t>
      </w:r>
      <w:r w:rsidRPr="00C87159">
        <w:rPr>
          <w:rFonts w:ascii="Times New Roman" w:hAnsi="Times New Roman"/>
          <w:i/>
          <w:sz w:val="24"/>
          <w:szCs w:val="24"/>
          <w:lang w:val="en-GB"/>
        </w:rPr>
        <w:t>Dergisi, 127. Birlesim, 29 July 1997.</w:t>
      </w:r>
      <w:hyperlink r:id="rId13" w:history="1">
        <w:r w:rsidRPr="00C87159">
          <w:rPr>
            <w:rStyle w:val="Hyperlink"/>
            <w:rFonts w:ascii="Times New Roman" w:hAnsi="Times New Roman"/>
            <w:sz w:val="24"/>
            <w:szCs w:val="24"/>
            <w:lang w:val="en-GB"/>
          </w:rPr>
          <w:t>https://www.tbmm.gov.</w:t>
        </w:r>
        <w:r w:rsidR="0012647B">
          <w:rPr>
            <w:rStyle w:val="Hyperlink"/>
            <w:rFonts w:ascii="Times New Roman" w:hAnsi="Times New Roman"/>
            <w:sz w:val="24"/>
            <w:szCs w:val="24"/>
            <w:lang w:val="en-GB"/>
          </w:rPr>
          <w:t>tr/tutanaklar/TUTANAK/TBMM/d20/</w:t>
        </w:r>
        <w:r w:rsidRPr="00C87159">
          <w:rPr>
            <w:rStyle w:val="Hyperlink"/>
            <w:rFonts w:ascii="Times New Roman" w:hAnsi="Times New Roman"/>
            <w:sz w:val="24"/>
            <w:szCs w:val="24"/>
            <w:lang w:val="en-GB"/>
          </w:rPr>
          <w:t>c032/tbmm20032127.pdf</w:t>
        </w:r>
      </w:hyperlink>
    </w:p>
    <w:p w:rsidR="00C87159" w:rsidRPr="00C87159"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rPr>
        <w:t xml:space="preserve">Ted Zang, 1989. </w:t>
      </w:r>
      <w:r w:rsidRPr="00C87159">
        <w:rPr>
          <w:rFonts w:ascii="Times New Roman" w:hAnsi="Times New Roman"/>
          <w:i/>
          <w:sz w:val="24"/>
          <w:szCs w:val="24"/>
        </w:rPr>
        <w:t>Destroying Ethnic Identity: The Expulsion of the Bulgarian Turks</w:t>
      </w:r>
      <w:r w:rsidRPr="00C87159">
        <w:rPr>
          <w:rFonts w:ascii="Times New Roman" w:hAnsi="Times New Roman"/>
          <w:sz w:val="24"/>
          <w:szCs w:val="24"/>
        </w:rPr>
        <w:t>. New York: Helsinki Watch.</w:t>
      </w:r>
    </w:p>
    <w:p w:rsidR="00C87159" w:rsidRPr="00C87159" w:rsidRDefault="00C87159" w:rsidP="00374024">
      <w:pPr>
        <w:spacing w:after="240" w:line="360" w:lineRule="auto"/>
        <w:jc w:val="both"/>
        <w:rPr>
          <w:rFonts w:ascii="Times New Roman" w:hAnsi="Times New Roman"/>
          <w:sz w:val="24"/>
          <w:szCs w:val="24"/>
          <w:lang w:val="en-GB"/>
        </w:rPr>
      </w:pPr>
      <w:r w:rsidRPr="00C87159">
        <w:rPr>
          <w:rFonts w:ascii="Times New Roman" w:hAnsi="Times New Roman"/>
          <w:i/>
          <w:sz w:val="24"/>
          <w:szCs w:val="24"/>
          <w:lang w:val="en-GB"/>
        </w:rPr>
        <w:t>The Constitution of the Republic of Bulgaria, 1991.</w:t>
      </w:r>
      <w:hyperlink r:id="rId14" w:history="1">
        <w:r w:rsidRPr="00C87159">
          <w:rPr>
            <w:rStyle w:val="Hyperlink"/>
            <w:rFonts w:ascii="Times New Roman" w:hAnsi="Times New Roman"/>
            <w:sz w:val="24"/>
            <w:szCs w:val="24"/>
            <w:lang w:val="en-GB"/>
          </w:rPr>
          <w:t>http://www.parliament.bg/en/const</w:t>
        </w:r>
      </w:hyperlink>
    </w:p>
    <w:p w:rsidR="00C87159" w:rsidRPr="00C87159" w:rsidRDefault="00C87159" w:rsidP="00374024">
      <w:pPr>
        <w:spacing w:after="240" w:line="360" w:lineRule="auto"/>
        <w:jc w:val="both"/>
        <w:rPr>
          <w:rFonts w:ascii="Times New Roman" w:hAnsi="Times New Roman"/>
          <w:sz w:val="24"/>
          <w:szCs w:val="24"/>
          <w:lang w:val="en-GB"/>
        </w:rPr>
      </w:pPr>
      <w:r w:rsidRPr="00C87159">
        <w:rPr>
          <w:rFonts w:ascii="Times New Roman" w:hAnsi="Times New Roman"/>
          <w:sz w:val="24"/>
          <w:szCs w:val="24"/>
          <w:lang w:val="en-GB"/>
        </w:rPr>
        <w:t>The Ministry of Interior, Republic of Bulgaria. 1989</w:t>
      </w:r>
      <w:r w:rsidRPr="00C87159">
        <w:rPr>
          <w:rFonts w:ascii="Times New Roman" w:hAnsi="Times New Roman"/>
          <w:i/>
          <w:sz w:val="24"/>
          <w:szCs w:val="24"/>
          <w:lang w:val="en-GB"/>
        </w:rPr>
        <w:t>. The Numbers of People who took their Bulgarian Names back, Document No: 397, 27/5/1989.</w:t>
      </w:r>
    </w:p>
    <w:p w:rsidR="00C87159" w:rsidRPr="006B4A2D" w:rsidRDefault="00C87159" w:rsidP="00374024">
      <w:pPr>
        <w:spacing w:after="240" w:line="360" w:lineRule="auto"/>
        <w:jc w:val="both"/>
        <w:rPr>
          <w:rFonts w:ascii="Times New Roman" w:hAnsi="Times New Roman"/>
          <w:bCs/>
          <w:sz w:val="24"/>
          <w:szCs w:val="24"/>
        </w:rPr>
      </w:pPr>
      <w:r w:rsidRPr="006B4A2D">
        <w:rPr>
          <w:rFonts w:ascii="Times New Roman" w:hAnsi="Times New Roman"/>
          <w:sz w:val="24"/>
          <w:szCs w:val="24"/>
        </w:rPr>
        <w:t xml:space="preserve">Tocci, Natalie 2007. </w:t>
      </w:r>
      <w:r w:rsidRPr="006B4A2D">
        <w:rPr>
          <w:rFonts w:ascii="Times New Roman" w:hAnsi="Times New Roman"/>
          <w:i/>
          <w:sz w:val="24"/>
          <w:szCs w:val="24"/>
        </w:rPr>
        <w:t>The EU and Conflict Resolution: Promoting Peace in the Backyard</w:t>
      </w:r>
      <w:r w:rsidRPr="006B4A2D">
        <w:rPr>
          <w:rFonts w:ascii="Times New Roman" w:hAnsi="Times New Roman"/>
          <w:sz w:val="24"/>
          <w:szCs w:val="24"/>
        </w:rPr>
        <w:t>. London: Routledge.</w:t>
      </w:r>
    </w:p>
    <w:p w:rsidR="00C87159" w:rsidRPr="006B4A2D" w:rsidRDefault="00C87159" w:rsidP="00374024">
      <w:pPr>
        <w:spacing w:after="240" w:line="360" w:lineRule="auto"/>
        <w:jc w:val="both"/>
        <w:rPr>
          <w:rFonts w:ascii="Times New Roman" w:hAnsi="Times New Roman"/>
          <w:sz w:val="24"/>
          <w:szCs w:val="24"/>
        </w:rPr>
      </w:pPr>
      <w:r w:rsidRPr="00C87159">
        <w:rPr>
          <w:rFonts w:ascii="Times New Roman" w:hAnsi="Times New Roman"/>
          <w:sz w:val="24"/>
          <w:szCs w:val="24"/>
        </w:rPr>
        <w:t xml:space="preserve">Türkoğlu, Yusuf. 2013. ‘SusmanınBedeli’, in HuseyinMevsim and MuzafferKutlay (eds.), </w:t>
      </w:r>
      <w:r w:rsidRPr="00C87159">
        <w:rPr>
          <w:rFonts w:ascii="Times New Roman" w:hAnsi="Times New Roman"/>
          <w:i/>
          <w:sz w:val="24"/>
          <w:szCs w:val="24"/>
        </w:rPr>
        <w:t>Tarihe Not Düşmek: 1989 Göçü</w:t>
      </w:r>
      <w:r w:rsidR="00CE2C27">
        <w:rPr>
          <w:rFonts w:ascii="Times New Roman" w:hAnsi="Times New Roman"/>
          <w:i/>
          <w:sz w:val="24"/>
          <w:szCs w:val="24"/>
        </w:rPr>
        <w:t xml:space="preserve"> </w:t>
      </w:r>
      <w:r w:rsidRPr="00C87159">
        <w:rPr>
          <w:rFonts w:ascii="Times New Roman" w:hAnsi="Times New Roman"/>
          <w:i/>
          <w:sz w:val="24"/>
          <w:szCs w:val="24"/>
        </w:rPr>
        <w:t>Kitap</w:t>
      </w:r>
      <w:r w:rsidR="00CE2C27">
        <w:rPr>
          <w:rFonts w:ascii="Times New Roman" w:hAnsi="Times New Roman"/>
          <w:i/>
          <w:sz w:val="24"/>
          <w:szCs w:val="24"/>
        </w:rPr>
        <w:t xml:space="preserve"> </w:t>
      </w:r>
      <w:r w:rsidRPr="00C87159">
        <w:rPr>
          <w:rFonts w:ascii="Times New Roman" w:hAnsi="Times New Roman"/>
          <w:i/>
          <w:sz w:val="24"/>
          <w:szCs w:val="24"/>
        </w:rPr>
        <w:t>Serisi,</w:t>
      </w:r>
      <w:r w:rsidRPr="00C87159">
        <w:rPr>
          <w:rFonts w:ascii="Times New Roman" w:hAnsi="Times New Roman"/>
          <w:sz w:val="24"/>
          <w:szCs w:val="24"/>
        </w:rPr>
        <w:t xml:space="preserve"> 6 Cilt [‘</w:t>
      </w:r>
      <w:r w:rsidR="004725DD">
        <w:rPr>
          <w:rFonts w:ascii="Times New Roman" w:hAnsi="Times New Roman"/>
          <w:sz w:val="24"/>
          <w:szCs w:val="24"/>
        </w:rPr>
        <w:t>Th</w:t>
      </w:r>
      <w:r w:rsidRPr="00C87159">
        <w:rPr>
          <w:rFonts w:ascii="Times New Roman" w:hAnsi="Times New Roman"/>
          <w:sz w:val="24"/>
          <w:szCs w:val="24"/>
        </w:rPr>
        <w:t>e Cost of Silence’</w:t>
      </w:r>
      <w:r w:rsidR="004725DD">
        <w:rPr>
          <w:rFonts w:ascii="Times New Roman" w:hAnsi="Times New Roman"/>
          <w:sz w:val="24"/>
          <w:szCs w:val="24"/>
        </w:rPr>
        <w:t>]</w:t>
      </w:r>
      <w:r w:rsidRPr="00C87159">
        <w:rPr>
          <w:rFonts w:ascii="Times New Roman" w:hAnsi="Times New Roman"/>
          <w:sz w:val="24"/>
          <w:szCs w:val="24"/>
        </w:rPr>
        <w:t xml:space="preserve">, in </w:t>
      </w:r>
      <w:r w:rsidRPr="00C87159">
        <w:rPr>
          <w:rFonts w:ascii="Times New Roman" w:hAnsi="Times New Roman"/>
          <w:i/>
          <w:sz w:val="24"/>
          <w:szCs w:val="24"/>
        </w:rPr>
        <w:t>Recording the History: 1989 Migration 6 Volumes Book Series</w:t>
      </w:r>
      <w:r w:rsidRPr="00C87159">
        <w:rPr>
          <w:rFonts w:ascii="Times New Roman" w:hAnsi="Times New Roman"/>
          <w:sz w:val="24"/>
          <w:szCs w:val="24"/>
        </w:rPr>
        <w:t>], volume 2. Ankara: USAK Yayınları.</w:t>
      </w:r>
    </w:p>
    <w:p w:rsidR="00C87159" w:rsidRPr="006B4A2D" w:rsidRDefault="00C87159" w:rsidP="00374024">
      <w:pPr>
        <w:spacing w:after="240" w:line="360" w:lineRule="auto"/>
        <w:jc w:val="both"/>
        <w:rPr>
          <w:rFonts w:ascii="Times New Roman" w:hAnsi="Times New Roman"/>
          <w:sz w:val="24"/>
          <w:szCs w:val="24"/>
        </w:rPr>
      </w:pPr>
      <w:r w:rsidRPr="006B4A2D">
        <w:rPr>
          <w:rFonts w:ascii="Times New Roman" w:hAnsi="Times New Roman"/>
          <w:bCs/>
          <w:sz w:val="24"/>
          <w:szCs w:val="24"/>
        </w:rPr>
        <w:t xml:space="preserve">Uludağ, </w:t>
      </w:r>
      <w:r w:rsidRPr="006B4A2D">
        <w:rPr>
          <w:rFonts w:ascii="Times New Roman" w:hAnsi="Times New Roman"/>
          <w:sz w:val="24"/>
          <w:szCs w:val="24"/>
        </w:rPr>
        <w:t xml:space="preserve">Sevgül. 2006. </w:t>
      </w:r>
      <w:r w:rsidRPr="006B4A2D">
        <w:rPr>
          <w:rFonts w:ascii="Times New Roman" w:hAnsi="Times New Roman"/>
          <w:i/>
          <w:sz w:val="24"/>
          <w:szCs w:val="24"/>
        </w:rPr>
        <w:t>Oysters with the Missing Pearls: Untold Stories About Missing Persons, Mass Graves and Memories from the Past of Cyprus.</w:t>
      </w:r>
      <w:r w:rsidRPr="006B4A2D">
        <w:rPr>
          <w:rFonts w:ascii="Times New Roman" w:hAnsi="Times New Roman"/>
          <w:sz w:val="24"/>
          <w:szCs w:val="24"/>
        </w:rPr>
        <w:t xml:space="preserve"> Nicosia: IKME and Bilban.  </w:t>
      </w:r>
    </w:p>
    <w:p w:rsidR="00B91C66" w:rsidRDefault="00C87159" w:rsidP="00374024">
      <w:pPr>
        <w:spacing w:after="240" w:line="360" w:lineRule="auto"/>
        <w:jc w:val="both"/>
        <w:rPr>
          <w:rFonts w:ascii="Times New Roman" w:hAnsi="Times New Roman"/>
          <w:sz w:val="24"/>
          <w:szCs w:val="24"/>
        </w:rPr>
      </w:pPr>
      <w:r w:rsidRPr="006B4A2D">
        <w:rPr>
          <w:rFonts w:ascii="Times New Roman" w:hAnsi="Times New Roman"/>
          <w:sz w:val="24"/>
          <w:szCs w:val="24"/>
        </w:rPr>
        <w:t>Yesilada</w:t>
      </w:r>
      <w:r>
        <w:rPr>
          <w:rFonts w:ascii="Times New Roman" w:hAnsi="Times New Roman"/>
          <w:sz w:val="24"/>
          <w:szCs w:val="24"/>
        </w:rPr>
        <w:t>, Birol and Ahmet Sozen. 2002. ‘</w:t>
      </w:r>
      <w:r w:rsidRPr="006B4A2D">
        <w:rPr>
          <w:rFonts w:ascii="Times New Roman" w:hAnsi="Times New Roman"/>
          <w:sz w:val="24"/>
          <w:szCs w:val="24"/>
        </w:rPr>
        <w:t>Negotiating a Resolution to the Cyprus Problem: Is Potential European Me</w:t>
      </w:r>
      <w:r>
        <w:rPr>
          <w:rFonts w:ascii="Times New Roman" w:hAnsi="Times New Roman"/>
          <w:sz w:val="24"/>
          <w:szCs w:val="24"/>
        </w:rPr>
        <w:t>mbership a Blessing or a Curse?’,</w:t>
      </w:r>
      <w:r w:rsidR="004725DD">
        <w:rPr>
          <w:rFonts w:ascii="Times New Roman" w:hAnsi="Times New Roman"/>
          <w:sz w:val="24"/>
          <w:szCs w:val="24"/>
        </w:rPr>
        <w:t xml:space="preserve"> </w:t>
      </w:r>
      <w:r w:rsidRPr="006B4A2D">
        <w:rPr>
          <w:rFonts w:ascii="Times New Roman" w:hAnsi="Times New Roman"/>
          <w:i/>
          <w:iCs/>
          <w:sz w:val="24"/>
          <w:szCs w:val="24"/>
        </w:rPr>
        <w:t xml:space="preserve">International Negotiation </w:t>
      </w:r>
      <w:r w:rsidRPr="006B4A2D">
        <w:rPr>
          <w:rFonts w:ascii="Times New Roman" w:hAnsi="Times New Roman"/>
          <w:bCs/>
          <w:sz w:val="24"/>
          <w:szCs w:val="24"/>
        </w:rPr>
        <w:t xml:space="preserve">7 (2): </w:t>
      </w:r>
      <w:r w:rsidRPr="006B4A2D">
        <w:rPr>
          <w:rFonts w:ascii="Times New Roman" w:hAnsi="Times New Roman"/>
          <w:sz w:val="24"/>
          <w:szCs w:val="24"/>
        </w:rPr>
        <w:t xml:space="preserve">261–85. </w:t>
      </w:r>
    </w:p>
    <w:p w:rsidR="000A598D" w:rsidRDefault="000A598D" w:rsidP="00374024">
      <w:pPr>
        <w:spacing w:after="240" w:line="360" w:lineRule="auto"/>
        <w:jc w:val="both"/>
        <w:rPr>
          <w:rFonts w:ascii="Times New Roman" w:hAnsi="Times New Roman"/>
          <w:sz w:val="24"/>
          <w:szCs w:val="24"/>
        </w:rPr>
      </w:pPr>
    </w:p>
    <w:p w:rsidR="000A598D" w:rsidRPr="000A598D" w:rsidRDefault="000A598D" w:rsidP="00374024">
      <w:pPr>
        <w:spacing w:after="240" w:line="360" w:lineRule="auto"/>
        <w:jc w:val="both"/>
        <w:rPr>
          <w:rFonts w:ascii="Times New Roman" w:hAnsi="Times New Roman"/>
          <w:b/>
          <w:sz w:val="24"/>
          <w:szCs w:val="24"/>
        </w:rPr>
      </w:pPr>
      <w:r w:rsidRPr="000A598D">
        <w:rPr>
          <w:rFonts w:ascii="Times New Roman" w:hAnsi="Times New Roman"/>
          <w:b/>
          <w:sz w:val="24"/>
          <w:szCs w:val="24"/>
        </w:rPr>
        <w:t>Endnotes</w:t>
      </w:r>
    </w:p>
    <w:sectPr w:rsidR="000A598D" w:rsidRPr="000A598D" w:rsidSect="00D611E0">
      <w:footerReference w:type="even" r:id="rId15"/>
      <w:footerReference w:type="default" r:id="rId16"/>
      <w:endnotePr>
        <w:numFmt w:val="decimal"/>
      </w:endnotePr>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6C0" w:rsidRDefault="00C506C0" w:rsidP="00765101">
      <w:r>
        <w:separator/>
      </w:r>
    </w:p>
  </w:endnote>
  <w:endnote w:type="continuationSeparator" w:id="0">
    <w:p w:rsidR="00C506C0" w:rsidRDefault="00C506C0" w:rsidP="00765101">
      <w:r>
        <w:continuationSeparator/>
      </w:r>
    </w:p>
  </w:endnote>
  <w:endnote w:id="1">
    <w:p w:rsidR="000A598D" w:rsidRPr="009E4DCC" w:rsidRDefault="000A598D" w:rsidP="00724CA6">
      <w:pPr>
        <w:spacing w:after="120"/>
        <w:rPr>
          <w:rFonts w:ascii="Times New Roman" w:eastAsia="Times New Roman" w:hAnsi="Times New Roman"/>
          <w:color w:val="FF0000"/>
          <w:sz w:val="20"/>
          <w:szCs w:val="20"/>
          <w:lang w:val="en-GB"/>
        </w:rPr>
      </w:pPr>
      <w:r w:rsidRPr="009E4DCC">
        <w:rPr>
          <w:rStyle w:val="EndnoteReference"/>
          <w:rFonts w:ascii="Times New Roman" w:hAnsi="Times New Roman"/>
          <w:sz w:val="20"/>
          <w:szCs w:val="20"/>
        </w:rPr>
        <w:endnoteRef/>
      </w:r>
      <w:r w:rsidRPr="009E4DCC">
        <w:rPr>
          <w:rFonts w:ascii="Times New Roman" w:hAnsi="Times New Roman"/>
          <w:sz w:val="20"/>
          <w:szCs w:val="20"/>
        </w:rPr>
        <w:t xml:space="preserve"> For the role of insecurity in the region and the broader conflict in the Eastern Mediterranean see Heraclides (2001, 2010). </w:t>
      </w:r>
    </w:p>
  </w:endnote>
  <w:endnote w:id="2">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rPr>
        <w:t xml:space="preserve"> Various first author’s communications with Achilleas Demetriades 2016-2018.</w:t>
      </w:r>
    </w:p>
  </w:endnote>
  <w:endnote w:id="3">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rPr>
        <w:t xml:space="preserve"> For exceptions but focusing more specifically on ethnic mobilization see Alptekin (2017)</w:t>
      </w:r>
    </w:p>
  </w:endnote>
  <w:endnote w:id="4">
    <w:p w:rsidR="000A598D" w:rsidRPr="009E4DCC" w:rsidRDefault="000A598D" w:rsidP="00724CA6">
      <w:pPr>
        <w:pStyle w:val="EndnoteText"/>
        <w:spacing w:after="120"/>
        <w:rPr>
          <w:rFonts w:ascii="Times New Roman" w:hAnsi="Times New Roman"/>
          <w:lang w:val="en-GB"/>
        </w:rPr>
      </w:pPr>
      <w:r w:rsidRPr="009E4DCC">
        <w:rPr>
          <w:rStyle w:val="EndnoteReference"/>
          <w:rFonts w:ascii="Times New Roman" w:hAnsi="Times New Roman"/>
        </w:rPr>
        <w:endnoteRef/>
      </w:r>
      <w:r w:rsidRPr="009E4DCC">
        <w:rPr>
          <w:rFonts w:ascii="Times New Roman" w:eastAsia="Yu Mincho" w:hAnsi="Times New Roman"/>
          <w:lang w:val="en-GB"/>
        </w:rPr>
        <w:t>Iskra</w:t>
      </w:r>
      <w:r w:rsidR="00147C1E">
        <w:rPr>
          <w:rFonts w:ascii="Times New Roman" w:eastAsia="Yu Mincho" w:hAnsi="Times New Roman"/>
          <w:lang w:val="en-GB"/>
        </w:rPr>
        <w:t xml:space="preserve"> </w:t>
      </w:r>
      <w:r w:rsidRPr="009E4DCC">
        <w:rPr>
          <w:rFonts w:ascii="Times New Roman" w:eastAsia="Yu Mincho" w:hAnsi="Times New Roman"/>
          <w:lang w:val="en-GB"/>
        </w:rPr>
        <w:t>Baeva (Professor, Department of History, Sofia University ‘St Kliment</w:t>
      </w:r>
      <w:r w:rsidR="00CE2C27">
        <w:rPr>
          <w:rFonts w:ascii="Times New Roman" w:eastAsia="Yu Mincho" w:hAnsi="Times New Roman"/>
          <w:lang w:val="en-GB"/>
        </w:rPr>
        <w:t xml:space="preserve"> </w:t>
      </w:r>
      <w:r w:rsidRPr="009E4DCC">
        <w:rPr>
          <w:rFonts w:ascii="Times New Roman" w:eastAsia="Yu Mincho" w:hAnsi="Times New Roman"/>
          <w:lang w:val="en-GB"/>
        </w:rPr>
        <w:t>Ohridski’) and Evgenia Kalinova (Professor, Department of History, Sofia University ‘St Kliment</w:t>
      </w:r>
      <w:r w:rsidR="00CE2C27">
        <w:rPr>
          <w:rFonts w:ascii="Times New Roman" w:eastAsia="Yu Mincho" w:hAnsi="Times New Roman"/>
          <w:lang w:val="en-GB"/>
        </w:rPr>
        <w:t xml:space="preserve"> </w:t>
      </w:r>
      <w:r w:rsidRPr="009E4DCC">
        <w:rPr>
          <w:rFonts w:ascii="Times New Roman" w:eastAsia="Yu Mincho" w:hAnsi="Times New Roman"/>
          <w:lang w:val="en-GB"/>
        </w:rPr>
        <w:t>Ohridski’), interview by the second author, March 22, 2016. Also see Baeva and Kalinova (2012).</w:t>
      </w:r>
    </w:p>
  </w:endnote>
  <w:endnote w:id="5">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rPr>
        <w:t>Bakalova (2006: 234) says the number was approximately 850,000. Yet according to an official letter of the Bulgarian Ministry of the Interior on 27 May 1989, the names of 1,306,000 people were altered in 1984. T. Bobev prepared the document and First Deputy Minister General GrigorŞopov signed it (Ministry of the Interior, Republic of Bulgaria, 1989).</w:t>
      </w:r>
    </w:p>
  </w:endnote>
  <w:endnote w:id="6">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rPr>
        <w:t xml:space="preserve"> For an autobiographical account of the protests in Kardzhali region, see Yusuf Türkoğlu (2013).</w:t>
      </w:r>
    </w:p>
  </w:endnote>
  <w:endnote w:id="7">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lang w:val="en-GB"/>
        </w:rPr>
        <w:t>It is hard to get exact figures for the number of Turkish minority members taken to Belene camp because of the lack of official documents and contradictory numbers provided by secondary sources. These numbers are based on the second author’s interview with Mehmet Niyazi, Secretary General of BAHAD – the Association of Justice, Rights, Culture and Solidarity of Belene Camp Victims, on 28 March 2015 in Bursa, Turkey. The interviews were conducted as part of the JUSTICE 2.0 Project (2015).</w:t>
      </w:r>
    </w:p>
  </w:endnote>
  <w:endnote w:id="8">
    <w:p w:rsidR="000A598D" w:rsidRPr="009E4DCC" w:rsidRDefault="000A598D" w:rsidP="00724CA6">
      <w:pPr>
        <w:pStyle w:val="EndnoteText"/>
        <w:spacing w:after="120"/>
        <w:rPr>
          <w:rFonts w:ascii="Times New Roman" w:hAnsi="Times New Roman"/>
          <w:lang w:val="en-GB"/>
        </w:rPr>
      </w:pPr>
      <w:r w:rsidRPr="009E4DCC">
        <w:rPr>
          <w:rStyle w:val="EndnoteReference"/>
          <w:rFonts w:ascii="Times New Roman" w:hAnsi="Times New Roman"/>
        </w:rPr>
        <w:endnoteRef/>
      </w:r>
      <w:r w:rsidRPr="009E4DCC">
        <w:rPr>
          <w:rFonts w:ascii="Times New Roman" w:hAnsi="Times New Roman"/>
        </w:rPr>
        <w:t xml:space="preserve"> On 10 November 1989, Todov</w:t>
      </w:r>
      <w:r w:rsidR="00147C1E">
        <w:rPr>
          <w:rFonts w:ascii="Times New Roman" w:hAnsi="Times New Roman"/>
        </w:rPr>
        <w:t xml:space="preserve"> </w:t>
      </w:r>
      <w:r w:rsidRPr="009E4DCC">
        <w:rPr>
          <w:rFonts w:ascii="Times New Roman" w:hAnsi="Times New Roman"/>
        </w:rPr>
        <w:t xml:space="preserve">Zhivkov was forced to leave because of a palace coup. The political developments that brought him down were unlike the popular revolts in other Central and Eastern European countries. It was a ‘coup’ within the Communist Party itself. For a detailed account, see Baeva (2004); Bakalova (2006). </w:t>
      </w:r>
    </w:p>
  </w:endnote>
  <w:endnote w:id="9">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rPr>
        <w:t xml:space="preserve"> http://www.nsd.uib.no/european_election_database/country/bulgaria/electoral_system.html</w:t>
      </w:r>
    </w:p>
  </w:endnote>
  <w:endnote w:id="10">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rPr>
        <w:t>ZhelyuZhelev (the leader of UDF and first democratically elected President of Bulgaria, 1990-1997), interview by the second author, on 21 May 2010 and 30 October 2012.</w:t>
      </w:r>
    </w:p>
  </w:endnote>
  <w:endnote w:id="11">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rPr>
        <w:t>Mihail Ivanov (Professor at New Bulgarian University and adviser to President ZhelyuZhelev on minorities and inter-ethnic issues), interview by the second author, 23 and 27 March 2016.</w:t>
      </w:r>
    </w:p>
  </w:endnote>
  <w:endnote w:id="12">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rPr>
        <w:t xml:space="preserve"> Ahmed Hussein (DOST Party member February 2016-present; former MRF deputy and the Assembly of Religious Studies Commission Vice-President at the Bulgarian Parliament), interview by the second author, 10 May 2010.</w:t>
      </w:r>
    </w:p>
  </w:endnote>
  <w:endnote w:id="13">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rPr>
        <w:t xml:space="preserve"> Ivanov Interview. </w:t>
      </w:r>
    </w:p>
  </w:endnote>
  <w:endnote w:id="14">
    <w:p w:rsidR="000A598D" w:rsidRPr="009E4DCC" w:rsidRDefault="000A598D" w:rsidP="00724CA6">
      <w:pPr>
        <w:pStyle w:val="EndnoteText"/>
        <w:spacing w:after="120"/>
        <w:rPr>
          <w:rFonts w:ascii="Times New Roman" w:hAnsi="Times New Roman"/>
          <w:lang w:val="en-GB"/>
        </w:rPr>
      </w:pPr>
      <w:r w:rsidRPr="009E4DCC">
        <w:rPr>
          <w:rStyle w:val="EndnoteReference"/>
          <w:rFonts w:ascii="Times New Roman" w:hAnsi="Times New Roman"/>
        </w:rPr>
        <w:endnoteRef/>
      </w:r>
      <w:r w:rsidRPr="009E4DCC">
        <w:rPr>
          <w:rFonts w:ascii="Times New Roman" w:hAnsi="Times New Roman"/>
          <w:bCs/>
        </w:rPr>
        <w:t>Kutlu</w:t>
      </w:r>
      <w:r w:rsidRPr="009E4DCC">
        <w:rPr>
          <w:rFonts w:ascii="Times New Roman" w:hAnsi="Times New Roman"/>
        </w:rPr>
        <w:t xml:space="preserve">Adali, </w:t>
      </w:r>
      <w:r w:rsidRPr="009E4DCC">
        <w:rPr>
          <w:rFonts w:ascii="Times New Roman" w:hAnsi="Times New Roman"/>
          <w:bCs/>
        </w:rPr>
        <w:t>Uludağ’s brother-in-law,</w:t>
      </w:r>
      <w:r w:rsidRPr="009E4DCC">
        <w:rPr>
          <w:rFonts w:ascii="Times New Roman" w:hAnsi="Times New Roman"/>
        </w:rPr>
        <w:t xml:space="preserve"> opposed the Denktaş regime on several occasions. He was assassinated in 1996, likely by Turkish ultra-nationalists or criminal groups associated with the deep state in Ankara. There has been no arrest for his murder and according to a landmark ECtHR decision, no</w:t>
      </w:r>
      <w:r w:rsidRPr="009E4DCC">
        <w:rPr>
          <w:rFonts w:ascii="Times New Roman" w:hAnsi="Times New Roman"/>
          <w:lang w:val="en-GB"/>
        </w:rPr>
        <w:t xml:space="preserve"> ‘effective investigation into the killing’ by Turkey or the Turkish Cypriot authorities </w:t>
      </w:r>
      <w:r w:rsidRPr="009E4DCC">
        <w:rPr>
          <w:rFonts w:ascii="Times New Roman" w:hAnsi="Times New Roman"/>
        </w:rPr>
        <w:t>(ECtHR 2005).</w:t>
      </w:r>
    </w:p>
  </w:endnote>
  <w:endnote w:id="15">
    <w:p w:rsidR="000A598D" w:rsidRPr="009E4DCC" w:rsidRDefault="000A598D" w:rsidP="00724CA6">
      <w:pPr>
        <w:pStyle w:val="EndnoteText"/>
        <w:spacing w:after="120"/>
        <w:rPr>
          <w:rFonts w:ascii="Times New Roman" w:hAnsi="Times New Roman"/>
        </w:rPr>
      </w:pPr>
      <w:r w:rsidRPr="009E4DCC">
        <w:rPr>
          <w:rStyle w:val="EndnoteReference"/>
          <w:rFonts w:ascii="Times New Roman" w:hAnsi="Times New Roman"/>
        </w:rPr>
        <w:endnoteRef/>
      </w:r>
      <w:r w:rsidRPr="009E4DCC">
        <w:rPr>
          <w:rFonts w:ascii="Times New Roman" w:hAnsi="Times New Roman"/>
        </w:rPr>
        <w:t xml:space="preserve"> http://www.kathimerini.com.cy/gr/politiki/koino-mnimeio-kai-imera-mnimis-gia-e-k-kai-t-k-agnooymenoys-zitoyn-politika-kommata</w:t>
      </w:r>
    </w:p>
  </w:endnote>
  <w:endnote w:id="16">
    <w:p w:rsidR="000A598D" w:rsidRPr="009E4DCC" w:rsidRDefault="000A598D" w:rsidP="00724CA6">
      <w:pPr>
        <w:pStyle w:val="EndnoteText"/>
        <w:spacing w:after="120"/>
        <w:jc w:val="both"/>
        <w:rPr>
          <w:rFonts w:ascii="Times New Roman" w:hAnsi="Times New Roman"/>
          <w:lang w:val="en-GB"/>
        </w:rPr>
      </w:pPr>
      <w:r w:rsidRPr="009E4DCC">
        <w:rPr>
          <w:rStyle w:val="EndnoteReference"/>
          <w:rFonts w:ascii="Times New Roman" w:hAnsi="Times New Roman"/>
        </w:rPr>
        <w:endnoteRef/>
      </w:r>
      <w:r w:rsidRPr="009E4DCC">
        <w:rPr>
          <w:rFonts w:ascii="Times New Roman" w:hAnsi="Times New Roman"/>
          <w:lang w:val="en-GB"/>
        </w:rPr>
        <w:t xml:space="preserve">For a full list see </w:t>
      </w:r>
      <w:hyperlink r:id="rId1" w:history="1">
        <w:r w:rsidRPr="009E4DCC">
          <w:rPr>
            <w:rStyle w:val="Hyperlink"/>
            <w:rFonts w:ascii="Times New Roman" w:hAnsi="Times New Roman"/>
            <w:lang w:val="en-GB"/>
          </w:rPr>
          <w:t>https://kktcb.org/en/technical-committees)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
    <w:altName w:val="MS Mincho"/>
    <w:panose1 w:val="020B0604020202020204"/>
    <w:charset w:val="80"/>
    <w:family w:val="auto"/>
    <w:notTrueType/>
    <w:pitch w:val="variable"/>
    <w:sig w:usb0="00000001" w:usb1="08070000" w:usb2="00000010" w:usb3="00000000" w:csb0="00020000" w:csb1="00000000"/>
  </w:font>
  <w:font w:name="Segoe UI">
    <w:altName w:val="Calibri"/>
    <w:panose1 w:val="020B0604020202020204"/>
    <w:charset w:val="00"/>
    <w:family w:val="swiss"/>
    <w:pitch w:val="variable"/>
    <w:sig w:usb0="E10022FF" w:usb1="C000E47F" w:usb2="00000029" w:usb3="00000000" w:csb0="000001D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EB" w:rsidRDefault="000650D7" w:rsidP="00D611E0">
    <w:pPr>
      <w:pStyle w:val="Footer"/>
      <w:framePr w:wrap="around" w:vAnchor="text" w:hAnchor="margin" w:xAlign="right" w:y="1"/>
      <w:rPr>
        <w:rStyle w:val="PageNumber"/>
      </w:rPr>
    </w:pPr>
    <w:r>
      <w:rPr>
        <w:rStyle w:val="PageNumber"/>
      </w:rPr>
      <w:fldChar w:fldCharType="begin"/>
    </w:r>
    <w:r w:rsidR="006516EB">
      <w:rPr>
        <w:rStyle w:val="PageNumber"/>
      </w:rPr>
      <w:instrText xml:space="preserve">PAGE  </w:instrText>
    </w:r>
    <w:r>
      <w:rPr>
        <w:rStyle w:val="PageNumber"/>
      </w:rPr>
      <w:fldChar w:fldCharType="end"/>
    </w:r>
  </w:p>
  <w:p w:rsidR="006516EB" w:rsidRDefault="006516EB" w:rsidP="00C860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EB" w:rsidRDefault="000650D7" w:rsidP="00D611E0">
    <w:pPr>
      <w:pStyle w:val="Footer"/>
      <w:framePr w:wrap="around" w:vAnchor="text" w:hAnchor="margin" w:xAlign="right" w:y="1"/>
      <w:rPr>
        <w:rStyle w:val="PageNumber"/>
      </w:rPr>
    </w:pPr>
    <w:r>
      <w:rPr>
        <w:rStyle w:val="PageNumber"/>
      </w:rPr>
      <w:fldChar w:fldCharType="begin"/>
    </w:r>
    <w:r w:rsidR="006516EB">
      <w:rPr>
        <w:rStyle w:val="PageNumber"/>
      </w:rPr>
      <w:instrText xml:space="preserve">PAGE  </w:instrText>
    </w:r>
    <w:r>
      <w:rPr>
        <w:rStyle w:val="PageNumber"/>
      </w:rPr>
      <w:fldChar w:fldCharType="separate"/>
    </w:r>
    <w:r w:rsidR="00F201CE">
      <w:rPr>
        <w:rStyle w:val="PageNumber"/>
        <w:noProof/>
      </w:rPr>
      <w:t>3</w:t>
    </w:r>
    <w:r>
      <w:rPr>
        <w:rStyle w:val="PageNumber"/>
      </w:rPr>
      <w:fldChar w:fldCharType="end"/>
    </w:r>
  </w:p>
  <w:p w:rsidR="006516EB" w:rsidRDefault="006516EB" w:rsidP="00C860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6C0" w:rsidRDefault="00C506C0" w:rsidP="00765101">
      <w:r>
        <w:separator/>
      </w:r>
    </w:p>
  </w:footnote>
  <w:footnote w:type="continuationSeparator" w:id="0">
    <w:p w:rsidR="00C506C0" w:rsidRDefault="00C506C0" w:rsidP="00765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1823"/>
    <w:multiLevelType w:val="hybridMultilevel"/>
    <w:tmpl w:val="5E58E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E1354F"/>
    <w:multiLevelType w:val="hybridMultilevel"/>
    <w:tmpl w:val="8DCC4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01"/>
    <w:rsid w:val="00004D36"/>
    <w:rsid w:val="0002000B"/>
    <w:rsid w:val="0002101B"/>
    <w:rsid w:val="00022F76"/>
    <w:rsid w:val="00027D1E"/>
    <w:rsid w:val="00034CE4"/>
    <w:rsid w:val="000650D7"/>
    <w:rsid w:val="000678E2"/>
    <w:rsid w:val="00074568"/>
    <w:rsid w:val="000919D9"/>
    <w:rsid w:val="00092B50"/>
    <w:rsid w:val="00097484"/>
    <w:rsid w:val="000A1809"/>
    <w:rsid w:val="000A598D"/>
    <w:rsid w:val="000B60F9"/>
    <w:rsid w:val="000C2FA0"/>
    <w:rsid w:val="001144B3"/>
    <w:rsid w:val="00123962"/>
    <w:rsid w:val="0012647B"/>
    <w:rsid w:val="00134587"/>
    <w:rsid w:val="0013549B"/>
    <w:rsid w:val="00136B11"/>
    <w:rsid w:val="001429EA"/>
    <w:rsid w:val="00147C1E"/>
    <w:rsid w:val="001851A4"/>
    <w:rsid w:val="00192DB0"/>
    <w:rsid w:val="001B6354"/>
    <w:rsid w:val="001B7474"/>
    <w:rsid w:val="001C5098"/>
    <w:rsid w:val="001E7F50"/>
    <w:rsid w:val="00217389"/>
    <w:rsid w:val="00225BDF"/>
    <w:rsid w:val="00226CE4"/>
    <w:rsid w:val="0022792F"/>
    <w:rsid w:val="00250CCB"/>
    <w:rsid w:val="0025216E"/>
    <w:rsid w:val="00253AD6"/>
    <w:rsid w:val="00275AB4"/>
    <w:rsid w:val="00280607"/>
    <w:rsid w:val="00282090"/>
    <w:rsid w:val="00283190"/>
    <w:rsid w:val="002971A5"/>
    <w:rsid w:val="002A137A"/>
    <w:rsid w:val="002A62E5"/>
    <w:rsid w:val="002C5481"/>
    <w:rsid w:val="002E06D1"/>
    <w:rsid w:val="002E7EDE"/>
    <w:rsid w:val="002F0A3F"/>
    <w:rsid w:val="002F3D4A"/>
    <w:rsid w:val="002F44AE"/>
    <w:rsid w:val="002F5254"/>
    <w:rsid w:val="00311606"/>
    <w:rsid w:val="00330A18"/>
    <w:rsid w:val="003509CA"/>
    <w:rsid w:val="0035710F"/>
    <w:rsid w:val="003701AE"/>
    <w:rsid w:val="00374024"/>
    <w:rsid w:val="0039254F"/>
    <w:rsid w:val="003A2E43"/>
    <w:rsid w:val="003A303C"/>
    <w:rsid w:val="003A5D32"/>
    <w:rsid w:val="003C1898"/>
    <w:rsid w:val="003C586C"/>
    <w:rsid w:val="003C6B0D"/>
    <w:rsid w:val="003D0E61"/>
    <w:rsid w:val="003E1579"/>
    <w:rsid w:val="003F2733"/>
    <w:rsid w:val="003F6BD5"/>
    <w:rsid w:val="004243E0"/>
    <w:rsid w:val="00424D31"/>
    <w:rsid w:val="00463BCA"/>
    <w:rsid w:val="00465D8B"/>
    <w:rsid w:val="004721C4"/>
    <w:rsid w:val="004725DD"/>
    <w:rsid w:val="004A63DA"/>
    <w:rsid w:val="004B4220"/>
    <w:rsid w:val="004B7B76"/>
    <w:rsid w:val="004D05CA"/>
    <w:rsid w:val="004E5C35"/>
    <w:rsid w:val="00531E57"/>
    <w:rsid w:val="005435D8"/>
    <w:rsid w:val="00545253"/>
    <w:rsid w:val="005541F8"/>
    <w:rsid w:val="00556E17"/>
    <w:rsid w:val="005760BD"/>
    <w:rsid w:val="00590029"/>
    <w:rsid w:val="00593390"/>
    <w:rsid w:val="005A325D"/>
    <w:rsid w:val="005A34D3"/>
    <w:rsid w:val="005C0E6B"/>
    <w:rsid w:val="005C6932"/>
    <w:rsid w:val="005E354B"/>
    <w:rsid w:val="005E3A19"/>
    <w:rsid w:val="005E4410"/>
    <w:rsid w:val="005E5EBA"/>
    <w:rsid w:val="005F4E08"/>
    <w:rsid w:val="005F69C7"/>
    <w:rsid w:val="00617823"/>
    <w:rsid w:val="00632EA9"/>
    <w:rsid w:val="00634AA6"/>
    <w:rsid w:val="00637EC0"/>
    <w:rsid w:val="006417AC"/>
    <w:rsid w:val="006448A1"/>
    <w:rsid w:val="006516EB"/>
    <w:rsid w:val="006538EF"/>
    <w:rsid w:val="0065678F"/>
    <w:rsid w:val="0066066C"/>
    <w:rsid w:val="006647EB"/>
    <w:rsid w:val="0067032A"/>
    <w:rsid w:val="00677E8E"/>
    <w:rsid w:val="006869C1"/>
    <w:rsid w:val="00691B2E"/>
    <w:rsid w:val="00692381"/>
    <w:rsid w:val="00697401"/>
    <w:rsid w:val="006A4949"/>
    <w:rsid w:val="006B2A40"/>
    <w:rsid w:val="006B4A2D"/>
    <w:rsid w:val="006B5E71"/>
    <w:rsid w:val="006D0384"/>
    <w:rsid w:val="006E47A1"/>
    <w:rsid w:val="006E58A0"/>
    <w:rsid w:val="00702FC2"/>
    <w:rsid w:val="007237CD"/>
    <w:rsid w:val="00724CA6"/>
    <w:rsid w:val="00732D85"/>
    <w:rsid w:val="007348B1"/>
    <w:rsid w:val="0074018E"/>
    <w:rsid w:val="00743459"/>
    <w:rsid w:val="0074696C"/>
    <w:rsid w:val="007470C6"/>
    <w:rsid w:val="00765101"/>
    <w:rsid w:val="007818B1"/>
    <w:rsid w:val="007D39A7"/>
    <w:rsid w:val="007D4BED"/>
    <w:rsid w:val="007E4B88"/>
    <w:rsid w:val="007E4D69"/>
    <w:rsid w:val="00800352"/>
    <w:rsid w:val="00821A82"/>
    <w:rsid w:val="00852739"/>
    <w:rsid w:val="00882C5C"/>
    <w:rsid w:val="008A4827"/>
    <w:rsid w:val="008A5B8E"/>
    <w:rsid w:val="008C0DA5"/>
    <w:rsid w:val="008C722E"/>
    <w:rsid w:val="008F0CFC"/>
    <w:rsid w:val="008F3E29"/>
    <w:rsid w:val="008F6A62"/>
    <w:rsid w:val="008F7092"/>
    <w:rsid w:val="00915ECF"/>
    <w:rsid w:val="00923C9A"/>
    <w:rsid w:val="00936C18"/>
    <w:rsid w:val="009517F0"/>
    <w:rsid w:val="00965539"/>
    <w:rsid w:val="0097314F"/>
    <w:rsid w:val="009A405A"/>
    <w:rsid w:val="009B23FF"/>
    <w:rsid w:val="009C74F9"/>
    <w:rsid w:val="009E4DCC"/>
    <w:rsid w:val="00A176CD"/>
    <w:rsid w:val="00A275F4"/>
    <w:rsid w:val="00A2783A"/>
    <w:rsid w:val="00A33A22"/>
    <w:rsid w:val="00A436AE"/>
    <w:rsid w:val="00A46032"/>
    <w:rsid w:val="00A6149D"/>
    <w:rsid w:val="00A67EAE"/>
    <w:rsid w:val="00A77C5B"/>
    <w:rsid w:val="00A8378C"/>
    <w:rsid w:val="00A846C8"/>
    <w:rsid w:val="00A93A29"/>
    <w:rsid w:val="00AA43C7"/>
    <w:rsid w:val="00AB5FE5"/>
    <w:rsid w:val="00AF2B18"/>
    <w:rsid w:val="00AF4FD4"/>
    <w:rsid w:val="00B22801"/>
    <w:rsid w:val="00B320D8"/>
    <w:rsid w:val="00B40F66"/>
    <w:rsid w:val="00B7638F"/>
    <w:rsid w:val="00B91C66"/>
    <w:rsid w:val="00B967C8"/>
    <w:rsid w:val="00BA7F5C"/>
    <w:rsid w:val="00BB047F"/>
    <w:rsid w:val="00BB11C2"/>
    <w:rsid w:val="00BB44F9"/>
    <w:rsid w:val="00BB74E5"/>
    <w:rsid w:val="00BC7307"/>
    <w:rsid w:val="00BD3F31"/>
    <w:rsid w:val="00BF06AB"/>
    <w:rsid w:val="00BF184D"/>
    <w:rsid w:val="00BF4224"/>
    <w:rsid w:val="00BF4C1B"/>
    <w:rsid w:val="00C12381"/>
    <w:rsid w:val="00C21552"/>
    <w:rsid w:val="00C506C0"/>
    <w:rsid w:val="00C61DBD"/>
    <w:rsid w:val="00C71418"/>
    <w:rsid w:val="00C860B4"/>
    <w:rsid w:val="00C87159"/>
    <w:rsid w:val="00C8758B"/>
    <w:rsid w:val="00C90332"/>
    <w:rsid w:val="00C91E86"/>
    <w:rsid w:val="00C92A46"/>
    <w:rsid w:val="00CA1487"/>
    <w:rsid w:val="00CA5F50"/>
    <w:rsid w:val="00CB13C3"/>
    <w:rsid w:val="00CC3A52"/>
    <w:rsid w:val="00CC578B"/>
    <w:rsid w:val="00CC582B"/>
    <w:rsid w:val="00CD50B8"/>
    <w:rsid w:val="00CE2C27"/>
    <w:rsid w:val="00CE68BD"/>
    <w:rsid w:val="00D05939"/>
    <w:rsid w:val="00D2020E"/>
    <w:rsid w:val="00D36848"/>
    <w:rsid w:val="00D36EE3"/>
    <w:rsid w:val="00D50443"/>
    <w:rsid w:val="00D509DD"/>
    <w:rsid w:val="00D5733C"/>
    <w:rsid w:val="00D611E0"/>
    <w:rsid w:val="00D90E20"/>
    <w:rsid w:val="00D93AFE"/>
    <w:rsid w:val="00DA6E95"/>
    <w:rsid w:val="00DB19B2"/>
    <w:rsid w:val="00DB33FE"/>
    <w:rsid w:val="00DC2369"/>
    <w:rsid w:val="00DE108D"/>
    <w:rsid w:val="00E051F5"/>
    <w:rsid w:val="00E06B54"/>
    <w:rsid w:val="00E109B5"/>
    <w:rsid w:val="00E122F7"/>
    <w:rsid w:val="00E12BEF"/>
    <w:rsid w:val="00E13FBE"/>
    <w:rsid w:val="00E20306"/>
    <w:rsid w:val="00E214D2"/>
    <w:rsid w:val="00E25E60"/>
    <w:rsid w:val="00E25FF9"/>
    <w:rsid w:val="00E33072"/>
    <w:rsid w:val="00E35527"/>
    <w:rsid w:val="00E5424F"/>
    <w:rsid w:val="00E620E6"/>
    <w:rsid w:val="00E77C67"/>
    <w:rsid w:val="00E83527"/>
    <w:rsid w:val="00E83A5A"/>
    <w:rsid w:val="00E83A84"/>
    <w:rsid w:val="00E8708A"/>
    <w:rsid w:val="00E91149"/>
    <w:rsid w:val="00EE3F70"/>
    <w:rsid w:val="00EE679F"/>
    <w:rsid w:val="00EF3128"/>
    <w:rsid w:val="00F01296"/>
    <w:rsid w:val="00F12EEE"/>
    <w:rsid w:val="00F14FD3"/>
    <w:rsid w:val="00F201CE"/>
    <w:rsid w:val="00F23F2C"/>
    <w:rsid w:val="00F3285C"/>
    <w:rsid w:val="00F32B6F"/>
    <w:rsid w:val="00F331C2"/>
    <w:rsid w:val="00F41EE9"/>
    <w:rsid w:val="00F47C7B"/>
    <w:rsid w:val="00F633DB"/>
    <w:rsid w:val="00F74D8B"/>
    <w:rsid w:val="00F750B0"/>
    <w:rsid w:val="00F80384"/>
    <w:rsid w:val="00F8646C"/>
    <w:rsid w:val="00F8768C"/>
    <w:rsid w:val="00F87C89"/>
    <w:rsid w:val="00F95DCF"/>
    <w:rsid w:val="00FD4F9B"/>
    <w:rsid w:val="00FE25F7"/>
    <w:rsid w:val="00FE6045"/>
    <w:rsid w:val="00FE7A9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B952B"/>
  <w15:docId w15:val="{2DB5C738-596F-CF4B-A52E-CC3CDEAB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101"/>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link w:val="EndnoteText"/>
    <w:uiPriority w:val="99"/>
    <w:rsid w:val="00765101"/>
    <w:rPr>
      <w:rFonts w:ascii="Calibri" w:eastAsia="Calibri" w:hAnsi="Calibri" w:cs="Times New Roman"/>
      <w:sz w:val="20"/>
      <w:szCs w:val="20"/>
    </w:rPr>
  </w:style>
  <w:style w:type="paragraph" w:styleId="EndnoteText">
    <w:name w:val="endnote text"/>
    <w:basedOn w:val="Normal"/>
    <w:link w:val="EndnoteTextChar"/>
    <w:unhideWhenUsed/>
    <w:rsid w:val="00765101"/>
    <w:rPr>
      <w:sz w:val="20"/>
      <w:szCs w:val="20"/>
    </w:rPr>
  </w:style>
  <w:style w:type="character" w:customStyle="1" w:styleId="EndnoteTextChar1">
    <w:name w:val="Endnote Text Char1"/>
    <w:uiPriority w:val="99"/>
    <w:semiHidden/>
    <w:rsid w:val="00765101"/>
    <w:rPr>
      <w:rFonts w:ascii="Calibri" w:eastAsia="Calibri" w:hAnsi="Calibri" w:cs="Times New Roman"/>
    </w:rPr>
  </w:style>
  <w:style w:type="character" w:styleId="EndnoteReference">
    <w:name w:val="endnote reference"/>
    <w:unhideWhenUsed/>
    <w:rsid w:val="00765101"/>
    <w:rPr>
      <w:vertAlign w:val="superscript"/>
    </w:rPr>
  </w:style>
  <w:style w:type="character" w:styleId="Emphasis">
    <w:name w:val="Emphasis"/>
    <w:uiPriority w:val="20"/>
    <w:qFormat/>
    <w:rsid w:val="00765101"/>
    <w:rPr>
      <w:i/>
      <w:iCs/>
    </w:rPr>
  </w:style>
  <w:style w:type="character" w:customStyle="1" w:styleId="gsctc">
    <w:name w:val="gs_ctc"/>
    <w:rsid w:val="00765101"/>
  </w:style>
  <w:style w:type="character" w:customStyle="1" w:styleId="st">
    <w:name w:val="st"/>
    <w:basedOn w:val="DefaultParagraphFont"/>
    <w:rsid w:val="00765101"/>
  </w:style>
  <w:style w:type="paragraph" w:styleId="Footer">
    <w:name w:val="footer"/>
    <w:basedOn w:val="Normal"/>
    <w:link w:val="FooterChar"/>
    <w:uiPriority w:val="99"/>
    <w:unhideWhenUsed/>
    <w:rsid w:val="00C860B4"/>
    <w:pPr>
      <w:tabs>
        <w:tab w:val="center" w:pos="4320"/>
        <w:tab w:val="right" w:pos="8640"/>
      </w:tabs>
    </w:pPr>
  </w:style>
  <w:style w:type="character" w:customStyle="1" w:styleId="FooterChar">
    <w:name w:val="Footer Char"/>
    <w:link w:val="Footer"/>
    <w:uiPriority w:val="99"/>
    <w:rsid w:val="00C860B4"/>
    <w:rPr>
      <w:rFonts w:ascii="Calibri" w:eastAsia="Calibri" w:hAnsi="Calibri" w:cs="Times New Roman"/>
      <w:sz w:val="22"/>
      <w:szCs w:val="22"/>
    </w:rPr>
  </w:style>
  <w:style w:type="character" w:styleId="PageNumber">
    <w:name w:val="page number"/>
    <w:basedOn w:val="DefaultParagraphFont"/>
    <w:uiPriority w:val="99"/>
    <w:semiHidden/>
    <w:unhideWhenUsed/>
    <w:rsid w:val="00C860B4"/>
  </w:style>
  <w:style w:type="paragraph" w:styleId="FootnoteText">
    <w:name w:val="footnote text"/>
    <w:basedOn w:val="Normal"/>
    <w:link w:val="FootnoteTextChar"/>
    <w:unhideWhenUsed/>
    <w:rsid w:val="00B320D8"/>
    <w:rPr>
      <w:sz w:val="24"/>
      <w:szCs w:val="24"/>
    </w:rPr>
  </w:style>
  <w:style w:type="character" w:customStyle="1" w:styleId="FootnoteTextChar">
    <w:name w:val="Footnote Text Char"/>
    <w:link w:val="FootnoteText"/>
    <w:uiPriority w:val="99"/>
    <w:rsid w:val="00B320D8"/>
    <w:rPr>
      <w:rFonts w:ascii="Calibri" w:eastAsia="Calibri" w:hAnsi="Calibri" w:cs="Times New Roman"/>
    </w:rPr>
  </w:style>
  <w:style w:type="character" w:styleId="FootnoteReference">
    <w:name w:val="footnote reference"/>
    <w:unhideWhenUsed/>
    <w:rsid w:val="00B320D8"/>
    <w:rPr>
      <w:vertAlign w:val="superscript"/>
    </w:rPr>
  </w:style>
  <w:style w:type="paragraph" w:customStyle="1" w:styleId="ColorfulList-Accent11">
    <w:name w:val="Colorful List - Accent 11"/>
    <w:basedOn w:val="Normal"/>
    <w:uiPriority w:val="34"/>
    <w:qFormat/>
    <w:rsid w:val="00531E57"/>
    <w:pPr>
      <w:ind w:left="720"/>
      <w:contextualSpacing/>
    </w:pPr>
    <w:rPr>
      <w:rFonts w:ascii="Cambria" w:eastAsia="MS ??" w:hAnsi="Cambria"/>
      <w:sz w:val="24"/>
      <w:szCs w:val="24"/>
    </w:rPr>
  </w:style>
  <w:style w:type="character" w:styleId="Hyperlink">
    <w:name w:val="Hyperlink"/>
    <w:uiPriority w:val="99"/>
    <w:unhideWhenUsed/>
    <w:rsid w:val="00F87C89"/>
    <w:rPr>
      <w:color w:val="0000FF"/>
      <w:u w:val="single"/>
    </w:rPr>
  </w:style>
  <w:style w:type="paragraph" w:styleId="NormalWeb">
    <w:name w:val="Normal (Web)"/>
    <w:basedOn w:val="Normal"/>
    <w:uiPriority w:val="99"/>
    <w:unhideWhenUsed/>
    <w:rsid w:val="00E620E6"/>
    <w:pPr>
      <w:spacing w:before="100" w:beforeAutospacing="1" w:after="100" w:afterAutospacing="1"/>
    </w:pPr>
    <w:rPr>
      <w:rFonts w:ascii="Times New Roman" w:eastAsia="Times New Roman" w:hAnsi="Times New Roman"/>
      <w:sz w:val="24"/>
      <w:szCs w:val="24"/>
      <w:lang w:val="en-GB"/>
    </w:rPr>
  </w:style>
  <w:style w:type="character" w:styleId="Strong">
    <w:name w:val="Strong"/>
    <w:uiPriority w:val="22"/>
    <w:qFormat/>
    <w:rsid w:val="00E620E6"/>
    <w:rPr>
      <w:b/>
      <w:bCs/>
    </w:rPr>
  </w:style>
  <w:style w:type="character" w:customStyle="1" w:styleId="apple-converted-space">
    <w:name w:val="apple-converted-space"/>
    <w:basedOn w:val="DefaultParagraphFont"/>
    <w:rsid w:val="00E620E6"/>
  </w:style>
  <w:style w:type="paragraph" w:styleId="Header">
    <w:name w:val="header"/>
    <w:basedOn w:val="Normal"/>
    <w:link w:val="HeaderChar"/>
    <w:uiPriority w:val="99"/>
    <w:unhideWhenUsed/>
    <w:rsid w:val="005C6932"/>
    <w:pPr>
      <w:tabs>
        <w:tab w:val="center" w:pos="4680"/>
        <w:tab w:val="right" w:pos="9360"/>
      </w:tabs>
    </w:pPr>
  </w:style>
  <w:style w:type="character" w:customStyle="1" w:styleId="HeaderChar">
    <w:name w:val="Header Char"/>
    <w:link w:val="Header"/>
    <w:uiPriority w:val="99"/>
    <w:rsid w:val="005C6932"/>
    <w:rPr>
      <w:rFonts w:ascii="Calibri" w:eastAsia="Calibri" w:hAnsi="Calibri" w:cs="Times New Roman"/>
      <w:sz w:val="22"/>
      <w:szCs w:val="22"/>
    </w:rPr>
  </w:style>
  <w:style w:type="character" w:styleId="FollowedHyperlink">
    <w:name w:val="FollowedHyperlink"/>
    <w:uiPriority w:val="99"/>
    <w:semiHidden/>
    <w:unhideWhenUsed/>
    <w:rsid w:val="005E3A19"/>
    <w:rPr>
      <w:color w:val="800080"/>
      <w:u w:val="single"/>
    </w:rPr>
  </w:style>
  <w:style w:type="character" w:customStyle="1" w:styleId="UnresolvedMention1">
    <w:name w:val="Unresolved Mention1"/>
    <w:uiPriority w:val="99"/>
    <w:rsid w:val="00A846C8"/>
    <w:rPr>
      <w:color w:val="605E5C"/>
      <w:shd w:val="clear" w:color="auto" w:fill="E1DFDD"/>
    </w:rPr>
  </w:style>
  <w:style w:type="character" w:styleId="CommentReference">
    <w:name w:val="annotation reference"/>
    <w:uiPriority w:val="99"/>
    <w:semiHidden/>
    <w:unhideWhenUsed/>
    <w:rsid w:val="00637EC0"/>
    <w:rPr>
      <w:sz w:val="16"/>
      <w:szCs w:val="16"/>
    </w:rPr>
  </w:style>
  <w:style w:type="paragraph" w:styleId="CommentText">
    <w:name w:val="annotation text"/>
    <w:basedOn w:val="Normal"/>
    <w:link w:val="CommentTextChar"/>
    <w:uiPriority w:val="99"/>
    <w:semiHidden/>
    <w:unhideWhenUsed/>
    <w:rsid w:val="00637EC0"/>
    <w:rPr>
      <w:sz w:val="20"/>
      <w:szCs w:val="20"/>
    </w:rPr>
  </w:style>
  <w:style w:type="character" w:customStyle="1" w:styleId="CommentTextChar">
    <w:name w:val="Comment Text Char"/>
    <w:link w:val="CommentText"/>
    <w:uiPriority w:val="99"/>
    <w:semiHidden/>
    <w:rsid w:val="00637EC0"/>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637EC0"/>
    <w:rPr>
      <w:b/>
      <w:bCs/>
    </w:rPr>
  </w:style>
  <w:style w:type="character" w:customStyle="1" w:styleId="CommentSubjectChar">
    <w:name w:val="Comment Subject Char"/>
    <w:link w:val="CommentSubject"/>
    <w:uiPriority w:val="99"/>
    <w:semiHidden/>
    <w:rsid w:val="00637EC0"/>
    <w:rPr>
      <w:rFonts w:ascii="Calibri" w:eastAsia="Calibri" w:hAnsi="Calibri"/>
      <w:b/>
      <w:bCs/>
      <w:lang w:val="en-US" w:eastAsia="en-US"/>
    </w:rPr>
  </w:style>
  <w:style w:type="paragraph" w:styleId="Revision">
    <w:name w:val="Revision"/>
    <w:hidden/>
    <w:uiPriority w:val="71"/>
    <w:rsid w:val="00637EC0"/>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637EC0"/>
    <w:rPr>
      <w:rFonts w:ascii="Segoe UI" w:hAnsi="Segoe UI" w:cs="Segoe UI"/>
      <w:sz w:val="18"/>
      <w:szCs w:val="18"/>
    </w:rPr>
  </w:style>
  <w:style w:type="character" w:customStyle="1" w:styleId="BalloonTextChar">
    <w:name w:val="Balloon Text Char"/>
    <w:link w:val="BalloonText"/>
    <w:uiPriority w:val="99"/>
    <w:semiHidden/>
    <w:rsid w:val="00637EC0"/>
    <w:rPr>
      <w:rFonts w:ascii="Segoe UI" w:eastAsia="Calibri" w:hAnsi="Segoe UI" w:cs="Segoe UI"/>
      <w:sz w:val="18"/>
      <w:szCs w:val="18"/>
      <w:lang w:val="en-US" w:eastAsia="en-US"/>
    </w:rPr>
  </w:style>
  <w:style w:type="character" w:customStyle="1" w:styleId="citation">
    <w:name w:val="citation"/>
    <w:basedOn w:val="DefaultParagraphFont"/>
    <w:rsid w:val="006B4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9323">
      <w:bodyDiv w:val="1"/>
      <w:marLeft w:val="0"/>
      <w:marRight w:val="0"/>
      <w:marTop w:val="0"/>
      <w:marBottom w:val="0"/>
      <w:divBdr>
        <w:top w:val="none" w:sz="0" w:space="0" w:color="auto"/>
        <w:left w:val="none" w:sz="0" w:space="0" w:color="auto"/>
        <w:bottom w:val="none" w:sz="0" w:space="0" w:color="auto"/>
        <w:right w:val="none" w:sz="0" w:space="0" w:color="auto"/>
      </w:divBdr>
    </w:div>
    <w:div w:id="354161406">
      <w:bodyDiv w:val="1"/>
      <w:marLeft w:val="0"/>
      <w:marRight w:val="0"/>
      <w:marTop w:val="0"/>
      <w:marBottom w:val="0"/>
      <w:divBdr>
        <w:top w:val="none" w:sz="0" w:space="0" w:color="auto"/>
        <w:left w:val="none" w:sz="0" w:space="0" w:color="auto"/>
        <w:bottom w:val="none" w:sz="0" w:space="0" w:color="auto"/>
        <w:right w:val="none" w:sz="0" w:space="0" w:color="auto"/>
      </w:divBdr>
    </w:div>
    <w:div w:id="796605632">
      <w:bodyDiv w:val="1"/>
      <w:marLeft w:val="0"/>
      <w:marRight w:val="0"/>
      <w:marTop w:val="0"/>
      <w:marBottom w:val="0"/>
      <w:divBdr>
        <w:top w:val="none" w:sz="0" w:space="0" w:color="auto"/>
        <w:left w:val="none" w:sz="0" w:space="0" w:color="auto"/>
        <w:bottom w:val="none" w:sz="0" w:space="0" w:color="auto"/>
        <w:right w:val="none" w:sz="0" w:space="0" w:color="auto"/>
      </w:divBdr>
    </w:div>
    <w:div w:id="1305622818">
      <w:bodyDiv w:val="1"/>
      <w:marLeft w:val="0"/>
      <w:marRight w:val="0"/>
      <w:marTop w:val="0"/>
      <w:marBottom w:val="0"/>
      <w:divBdr>
        <w:top w:val="none" w:sz="0" w:space="0" w:color="auto"/>
        <w:left w:val="none" w:sz="0" w:space="0" w:color="auto"/>
        <w:bottom w:val="none" w:sz="0" w:space="0" w:color="auto"/>
        <w:right w:val="none" w:sz="0" w:space="0" w:color="auto"/>
      </w:divBdr>
    </w:div>
    <w:div w:id="1765564474">
      <w:bodyDiv w:val="1"/>
      <w:marLeft w:val="0"/>
      <w:marRight w:val="0"/>
      <w:marTop w:val="0"/>
      <w:marBottom w:val="0"/>
      <w:divBdr>
        <w:top w:val="none" w:sz="0" w:space="0" w:color="auto"/>
        <w:left w:val="none" w:sz="0" w:space="0" w:color="auto"/>
        <w:bottom w:val="none" w:sz="0" w:space="0" w:color="auto"/>
        <w:right w:val="none" w:sz="0" w:space="0" w:color="auto"/>
      </w:divBdr>
    </w:div>
    <w:div w:id="2053336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yprus-mail.com/2014/05/11/exhuming-the-diplomats-graveyard/" TargetMode="External"/><Relationship Id="rId13" Type="http://schemas.openxmlformats.org/officeDocument/2006/relationships/hyperlink" Target="https://www.tbmm.gov.tr/tutanaklar/TUTANAK/TBMM/d20/%20c032/tbmm2003212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asiareview.com/15012012-historical-decision-of-bulgarian-parliament-ope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moryandconscience.eu/just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neighbourhood-enlargement/sites/near/files/pdf/financial_assistance/phare/evaluation/2015/20150806-phare-ex-post-evaluation-final-report.pdf" TargetMode="External"/><Relationship Id="rId4" Type="http://schemas.openxmlformats.org/officeDocument/2006/relationships/settings" Target="settings.xml"/><Relationship Id="rId9" Type="http://schemas.openxmlformats.org/officeDocument/2006/relationships/hyperlink" Target="http://www.echr.coe.int/eng/Press/2005/March/ChamberjudgmentAdalivTurkey310305.htm" TargetMode="External"/><Relationship Id="rId14" Type="http://schemas.openxmlformats.org/officeDocument/2006/relationships/hyperlink" Target="http://www.parliament.bg/en/const"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kktcb.org/en/technical-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5B6CF6-1B05-F447-82C4-DD065024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5576</Words>
  <Characters>31784</Characters>
  <Application>Microsoft Office Word</Application>
  <DocSecurity>0</DocSecurity>
  <Lines>264</Lines>
  <Paragraphs>74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University of Kent</Company>
  <LinksUpToDate>false</LinksUpToDate>
  <CharactersWithSpaces>37286</CharactersWithSpaces>
  <SharedDoc>false</SharedDoc>
  <HLinks>
    <vt:vector size="6" baseType="variant">
      <vt:variant>
        <vt:i4>2949175</vt:i4>
      </vt:variant>
      <vt:variant>
        <vt:i4>0</vt:i4>
      </vt:variant>
      <vt:variant>
        <vt:i4>0</vt:i4>
      </vt:variant>
      <vt:variant>
        <vt:i4>5</vt:i4>
      </vt:variant>
      <vt:variant>
        <vt:lpwstr>https://kktcb.org/en/technical-committees)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Neophytos Loizides</dc:creator>
  <cp:lastModifiedBy>Microsoft Office User</cp:lastModifiedBy>
  <cp:revision>3</cp:revision>
  <dcterms:created xsi:type="dcterms:W3CDTF">2018-12-07T16:43:00Z</dcterms:created>
  <dcterms:modified xsi:type="dcterms:W3CDTF">2018-12-07T16:43:00Z</dcterms:modified>
</cp:coreProperties>
</file>