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E0F9B" w14:textId="77777777" w:rsidR="00593E51" w:rsidRPr="00593E51" w:rsidRDefault="00593E51" w:rsidP="00593E51">
      <w:pPr>
        <w:jc w:val="center"/>
        <w:rPr>
          <w:rFonts w:ascii="Times New Roman" w:hAnsi="Times New Roman" w:cs="Times New Roman"/>
          <w:b/>
          <w:sz w:val="28"/>
          <w:szCs w:val="32"/>
        </w:rPr>
      </w:pPr>
      <w:r w:rsidRPr="00593E51">
        <w:rPr>
          <w:rFonts w:ascii="Times New Roman" w:hAnsi="Times New Roman" w:cs="Times New Roman"/>
          <w:b/>
          <w:sz w:val="28"/>
          <w:szCs w:val="32"/>
        </w:rPr>
        <w:t>Does Corporate Social Responsibility Impact Firms' Innovation Capacity? The Indirect Link between Environmental &amp; Social Governance Implementation and Innovation Performance</w:t>
      </w:r>
    </w:p>
    <w:p w14:paraId="0D18B4B6" w14:textId="68C3D562" w:rsidR="00593E51" w:rsidRPr="00593E51" w:rsidRDefault="00593E51" w:rsidP="00593E51">
      <w:pPr>
        <w:jc w:val="center"/>
        <w:rPr>
          <w:rFonts w:ascii="Times New Roman" w:hAnsi="Times New Roman" w:cs="Times New Roman"/>
          <w:b/>
          <w:sz w:val="28"/>
          <w:szCs w:val="32"/>
        </w:rPr>
      </w:pPr>
    </w:p>
    <w:p w14:paraId="07D96E88" w14:textId="77777777" w:rsidR="00593E51" w:rsidRPr="00593E51" w:rsidRDefault="00593E51" w:rsidP="00593E51">
      <w:pPr>
        <w:jc w:val="center"/>
        <w:rPr>
          <w:rFonts w:ascii="Times New Roman" w:hAnsi="Times New Roman" w:cs="Times New Roman"/>
          <w:bCs/>
          <w:szCs w:val="24"/>
        </w:rPr>
      </w:pPr>
      <w:r w:rsidRPr="00593E51">
        <w:rPr>
          <w:rFonts w:ascii="Times New Roman" w:hAnsi="Times New Roman" w:cs="Times New Roman"/>
          <w:sz w:val="24"/>
          <w:szCs w:val="26"/>
        </w:rPr>
        <w:t>David C. Broadstock</w:t>
      </w:r>
      <w:r w:rsidRPr="00593E51">
        <w:rPr>
          <w:rFonts w:ascii="Times New Roman" w:hAnsi="Times New Roman" w:cs="Times New Roman"/>
          <w:sz w:val="24"/>
          <w:szCs w:val="26"/>
          <w:vertAlign w:val="superscript"/>
        </w:rPr>
        <w:t xml:space="preserve">1, </w:t>
      </w:r>
      <w:r w:rsidRPr="00593E51">
        <w:rPr>
          <w:rFonts w:ascii="Times New Roman" w:hAnsi="Times New Roman" w:cs="Times New Roman"/>
          <w:sz w:val="24"/>
          <w:szCs w:val="26"/>
        </w:rPr>
        <w:t>Roman Matousek</w:t>
      </w:r>
      <w:r w:rsidRPr="00593E51">
        <w:rPr>
          <w:rFonts w:ascii="Times New Roman" w:hAnsi="Times New Roman" w:cs="Times New Roman"/>
          <w:sz w:val="24"/>
          <w:szCs w:val="26"/>
          <w:vertAlign w:val="superscript"/>
        </w:rPr>
        <w:t>2</w:t>
      </w:r>
      <w:r w:rsidRPr="00593E51">
        <w:rPr>
          <w:rFonts w:ascii="Times New Roman" w:hAnsi="Times New Roman" w:cs="Times New Roman"/>
          <w:sz w:val="24"/>
          <w:szCs w:val="26"/>
        </w:rPr>
        <w:t>, Martin Meyer</w:t>
      </w:r>
      <w:r w:rsidRPr="00593E51">
        <w:rPr>
          <w:rFonts w:ascii="Times New Roman" w:hAnsi="Times New Roman" w:cs="Times New Roman"/>
          <w:bCs/>
          <w:sz w:val="24"/>
          <w:szCs w:val="26"/>
          <w:vertAlign w:val="superscript"/>
        </w:rPr>
        <w:t>3*</w:t>
      </w:r>
      <w:r w:rsidRPr="00593E51">
        <w:rPr>
          <w:rFonts w:ascii="Times New Roman" w:hAnsi="Times New Roman" w:cs="Times New Roman"/>
          <w:bCs/>
          <w:sz w:val="24"/>
          <w:szCs w:val="26"/>
        </w:rPr>
        <w:t>, Nickolaos G. Tzeremes</w:t>
      </w:r>
      <w:r w:rsidRPr="00593E51">
        <w:rPr>
          <w:rFonts w:ascii="Times New Roman" w:hAnsi="Times New Roman" w:cs="Times New Roman"/>
          <w:bCs/>
          <w:sz w:val="24"/>
          <w:szCs w:val="26"/>
          <w:vertAlign w:val="superscript"/>
        </w:rPr>
        <w:t>4</w:t>
      </w:r>
    </w:p>
    <w:p w14:paraId="3B7204AA" w14:textId="77777777" w:rsidR="00593E51" w:rsidRPr="00E9191B" w:rsidRDefault="00593E51" w:rsidP="00593E51">
      <w:pPr>
        <w:jc w:val="center"/>
        <w:rPr>
          <w:rFonts w:ascii="Times New Roman" w:hAnsi="Times New Roman" w:cs="Times New Roman"/>
          <w:bCs/>
        </w:rPr>
      </w:pPr>
    </w:p>
    <w:p w14:paraId="2029BC82" w14:textId="77777777" w:rsidR="00593E51" w:rsidRPr="00593E51" w:rsidRDefault="00593E51" w:rsidP="00593E51">
      <w:pPr>
        <w:jc w:val="center"/>
        <w:rPr>
          <w:rStyle w:val="Hyperlink"/>
          <w:rFonts w:ascii="Times New Roman" w:hAnsi="Times New Roman" w:cs="Times New Roman"/>
          <w:i/>
          <w:color w:val="000000" w:themeColor="text1"/>
          <w:sz w:val="20"/>
          <w:szCs w:val="24"/>
          <w:u w:val="none"/>
        </w:rPr>
      </w:pPr>
      <w:r w:rsidRPr="00593E51">
        <w:rPr>
          <w:rFonts w:ascii="Times New Roman" w:hAnsi="Times New Roman" w:cs="Times New Roman"/>
          <w:i/>
          <w:sz w:val="20"/>
          <w:szCs w:val="24"/>
          <w:vertAlign w:val="superscript"/>
        </w:rPr>
        <w:t>1</w:t>
      </w:r>
      <w:r w:rsidRPr="00593E51">
        <w:rPr>
          <w:rFonts w:ascii="Times New Roman" w:hAnsi="Times New Roman" w:cs="Times New Roman"/>
          <w:bCs/>
          <w:i/>
          <w:sz w:val="20"/>
          <w:szCs w:val="24"/>
        </w:rPr>
        <w:t xml:space="preserve">School of Accounting and Finance, </w:t>
      </w:r>
      <w:r w:rsidRPr="00593E51">
        <w:rPr>
          <w:rFonts w:ascii="Times New Roman" w:hAnsi="Times New Roman" w:cs="Times New Roman"/>
          <w:i/>
          <w:sz w:val="20"/>
          <w:szCs w:val="24"/>
        </w:rPr>
        <w:t xml:space="preserve">Center for Economic Sustainability and Entrepreneurial Finance, The Hong Kong Polytechnic University, Hung Hom, Kowloon, Hong Kong. Email: </w:t>
      </w:r>
      <w:hyperlink r:id="rId8" w:history="1">
        <w:r w:rsidRPr="00593E51">
          <w:rPr>
            <w:rStyle w:val="Hyperlink"/>
            <w:rFonts w:ascii="Times New Roman" w:hAnsi="Times New Roman" w:cs="Times New Roman"/>
            <w:i/>
            <w:sz w:val="20"/>
            <w:szCs w:val="24"/>
          </w:rPr>
          <w:t>david.broadstock@polyu.edu.hk</w:t>
        </w:r>
      </w:hyperlink>
    </w:p>
    <w:p w14:paraId="7C319D64" w14:textId="77777777" w:rsidR="00593E51" w:rsidRPr="00593E51" w:rsidRDefault="00593E51" w:rsidP="00593E51">
      <w:pPr>
        <w:jc w:val="center"/>
        <w:rPr>
          <w:i/>
          <w:sz w:val="18"/>
        </w:rPr>
      </w:pPr>
      <w:r w:rsidRPr="00593E51">
        <w:rPr>
          <w:rFonts w:ascii="Times New Roman" w:hAnsi="Times New Roman" w:cs="Times New Roman"/>
          <w:i/>
          <w:sz w:val="20"/>
          <w:szCs w:val="24"/>
          <w:vertAlign w:val="superscript"/>
        </w:rPr>
        <w:t xml:space="preserve">2 </w:t>
      </w:r>
      <w:r w:rsidRPr="00593E51">
        <w:rPr>
          <w:rFonts w:ascii="Times New Roman" w:hAnsi="Times New Roman" w:cs="Times New Roman"/>
          <w:i/>
          <w:sz w:val="20"/>
          <w:szCs w:val="24"/>
        </w:rPr>
        <w:t xml:space="preserve">Nottingham University Business School, Jubilee Campus, Nottingham NG8 1BB, UK. Email: </w:t>
      </w:r>
      <w:hyperlink r:id="rId9" w:history="1">
        <w:r w:rsidRPr="00593E51">
          <w:rPr>
            <w:rStyle w:val="Hyperlink"/>
            <w:rFonts w:ascii="Times New Roman" w:hAnsi="Times New Roman" w:cs="Times New Roman"/>
            <w:i/>
            <w:sz w:val="20"/>
            <w:szCs w:val="24"/>
          </w:rPr>
          <w:t>Roman.Matousek@nottingham.ac.uk</w:t>
        </w:r>
      </w:hyperlink>
      <w:r w:rsidRPr="00593E51">
        <w:rPr>
          <w:rFonts w:ascii="Times New Roman" w:hAnsi="Times New Roman" w:cs="Times New Roman"/>
          <w:i/>
          <w:sz w:val="20"/>
          <w:szCs w:val="24"/>
        </w:rPr>
        <w:t xml:space="preserve"> </w:t>
      </w:r>
    </w:p>
    <w:p w14:paraId="16700130" w14:textId="77777777" w:rsidR="00593E51" w:rsidRPr="00593E51" w:rsidRDefault="00593E51" w:rsidP="00593E51">
      <w:pPr>
        <w:jc w:val="center"/>
        <w:rPr>
          <w:rFonts w:ascii="Times New Roman" w:hAnsi="Times New Roman" w:cs="Times New Roman"/>
          <w:i/>
          <w:sz w:val="20"/>
          <w:szCs w:val="24"/>
        </w:rPr>
      </w:pPr>
      <w:r w:rsidRPr="00593E51">
        <w:rPr>
          <w:rFonts w:ascii="Times New Roman" w:hAnsi="Times New Roman" w:cs="Times New Roman"/>
          <w:i/>
          <w:sz w:val="20"/>
          <w:szCs w:val="24"/>
          <w:vertAlign w:val="superscript"/>
        </w:rPr>
        <w:t>3*</w:t>
      </w:r>
      <w:r w:rsidRPr="00593E51">
        <w:rPr>
          <w:rFonts w:ascii="Times New Roman" w:hAnsi="Times New Roman" w:cs="Times New Roman"/>
          <w:i/>
          <w:sz w:val="20"/>
          <w:szCs w:val="24"/>
        </w:rPr>
        <w:t xml:space="preserve">Kent Business School, University of Kent, Canterbury, Kent, CT2 7FS, UK. Email: </w:t>
      </w:r>
      <w:hyperlink r:id="rId10" w:history="1">
        <w:r w:rsidRPr="00593E51">
          <w:rPr>
            <w:rStyle w:val="Hyperlink"/>
            <w:rFonts w:ascii="Times New Roman" w:hAnsi="Times New Roman" w:cs="Times New Roman"/>
            <w:i/>
            <w:sz w:val="20"/>
            <w:szCs w:val="24"/>
          </w:rPr>
          <w:t>M.S.Meyer@kent.ac.uk</w:t>
        </w:r>
      </w:hyperlink>
      <w:r w:rsidRPr="00593E51">
        <w:rPr>
          <w:rFonts w:ascii="Times New Roman" w:hAnsi="Times New Roman" w:cs="Times New Roman"/>
          <w:i/>
          <w:sz w:val="20"/>
          <w:szCs w:val="24"/>
        </w:rPr>
        <w:t xml:space="preserve"> (Corresponding author)</w:t>
      </w:r>
    </w:p>
    <w:p w14:paraId="61EA4BA7" w14:textId="77777777" w:rsidR="00593E51" w:rsidRPr="00593E51" w:rsidRDefault="00593E51" w:rsidP="00593E51">
      <w:pPr>
        <w:jc w:val="center"/>
        <w:rPr>
          <w:rFonts w:ascii="Times New Roman" w:hAnsi="Times New Roman" w:cs="Times New Roman"/>
          <w:i/>
          <w:sz w:val="20"/>
          <w:szCs w:val="24"/>
        </w:rPr>
      </w:pPr>
      <w:r w:rsidRPr="00593E51">
        <w:rPr>
          <w:rFonts w:ascii="Times New Roman" w:hAnsi="Times New Roman" w:cs="Times New Roman"/>
          <w:i/>
          <w:sz w:val="20"/>
          <w:szCs w:val="24"/>
          <w:vertAlign w:val="superscript"/>
        </w:rPr>
        <w:t>4</w:t>
      </w:r>
      <w:r w:rsidRPr="00593E51">
        <w:rPr>
          <w:rFonts w:ascii="Times New Roman" w:hAnsi="Times New Roman" w:cs="Times New Roman"/>
          <w:i/>
          <w:sz w:val="20"/>
          <w:szCs w:val="24"/>
        </w:rPr>
        <w:t xml:space="preserve">Department of Economics, University of Thessaly, 28th October street, 78, 38333, Volos, Greece. Email: </w:t>
      </w:r>
      <w:hyperlink r:id="rId11" w:history="1">
        <w:r w:rsidRPr="00593E51">
          <w:rPr>
            <w:rStyle w:val="Hyperlink"/>
            <w:rFonts w:ascii="Times New Roman" w:hAnsi="Times New Roman" w:cs="Times New Roman"/>
            <w:i/>
            <w:sz w:val="20"/>
            <w:szCs w:val="24"/>
          </w:rPr>
          <w:t>bus9nt@econ.uth.gr</w:t>
        </w:r>
      </w:hyperlink>
    </w:p>
    <w:p w14:paraId="735C1EEF" w14:textId="3C4A6530" w:rsidR="00593E51" w:rsidRPr="002C24A8" w:rsidRDefault="00593E51" w:rsidP="00593E51">
      <w:pPr>
        <w:jc w:val="center"/>
        <w:rPr>
          <w:rFonts w:ascii="Times New Roman" w:hAnsi="Times New Roman" w:cs="Times New Roman"/>
          <w:b/>
          <w:sz w:val="32"/>
          <w:szCs w:val="32"/>
          <w:lang w:val="en-US"/>
        </w:rPr>
      </w:pPr>
    </w:p>
    <w:p w14:paraId="0DC4EE89" w14:textId="77777777" w:rsidR="00E9191B" w:rsidRPr="002C24A8" w:rsidRDefault="00E9191B" w:rsidP="00E9191B">
      <w:pPr>
        <w:jc w:val="both"/>
        <w:rPr>
          <w:rFonts w:ascii="Times New Roman" w:hAnsi="Times New Roman" w:cs="Times New Roman"/>
          <w:b/>
          <w:lang w:val="en-US"/>
        </w:rPr>
      </w:pPr>
      <w:r w:rsidRPr="002C24A8">
        <w:rPr>
          <w:rFonts w:ascii="Times New Roman" w:hAnsi="Times New Roman" w:cs="Times New Roman"/>
          <w:b/>
          <w:lang w:val="en-US"/>
        </w:rPr>
        <w:t>Abstract</w:t>
      </w:r>
    </w:p>
    <w:p w14:paraId="56FFAC86" w14:textId="37600A49" w:rsidR="00E9191B" w:rsidRPr="002C24A8" w:rsidRDefault="00E07C4C" w:rsidP="00813020">
      <w:pPr>
        <w:jc w:val="both"/>
        <w:rPr>
          <w:rFonts w:ascii="Times New Roman" w:hAnsi="Times New Roman" w:cs="Times New Roman"/>
          <w:b/>
          <w:lang w:val="en-US"/>
        </w:rPr>
      </w:pPr>
      <w:r w:rsidRPr="002C24A8">
        <w:rPr>
          <w:rFonts w:ascii="Times New Roman" w:hAnsi="Times New Roman" w:cs="Times New Roman"/>
          <w:sz w:val="24"/>
          <w:szCs w:val="24"/>
          <w:lang w:val="en-US"/>
        </w:rPr>
        <w:t xml:space="preserve">Firms’ choices on corporate social responsibility (CSR) and on environmental, social and governance (ESG) implementation strategies </w:t>
      </w:r>
      <w:r w:rsidR="00424643" w:rsidRPr="002C24A8">
        <w:rPr>
          <w:rFonts w:ascii="Times New Roman" w:hAnsi="Times New Roman" w:cs="Times New Roman"/>
          <w:sz w:val="24"/>
          <w:szCs w:val="24"/>
          <w:lang w:val="en-US"/>
        </w:rPr>
        <w:t xml:space="preserve">can arguably </w:t>
      </w:r>
      <w:r w:rsidR="00163BB9" w:rsidRPr="002C24A8">
        <w:rPr>
          <w:rFonts w:ascii="Times New Roman" w:hAnsi="Times New Roman" w:cs="Times New Roman"/>
          <w:sz w:val="24"/>
          <w:szCs w:val="24"/>
          <w:lang w:val="en-US"/>
        </w:rPr>
        <w:t>have a</w:t>
      </w:r>
      <w:r w:rsidR="00424643" w:rsidRPr="002C24A8">
        <w:rPr>
          <w:rFonts w:ascii="Times New Roman" w:hAnsi="Times New Roman" w:cs="Times New Roman"/>
          <w:sz w:val="24"/>
          <w:szCs w:val="24"/>
          <w:lang w:val="en-US"/>
        </w:rPr>
        <w:t xml:space="preserve"> positive</w:t>
      </w:r>
      <w:r w:rsidR="00163BB9" w:rsidRPr="002C24A8">
        <w:rPr>
          <w:rFonts w:ascii="Times New Roman" w:hAnsi="Times New Roman" w:cs="Times New Roman"/>
          <w:sz w:val="24"/>
          <w:szCs w:val="24"/>
          <w:lang w:val="en-US"/>
        </w:rPr>
        <w:t xml:space="preserve"> </w:t>
      </w:r>
      <w:r w:rsidRPr="002C24A8">
        <w:rPr>
          <w:rFonts w:ascii="Times New Roman" w:hAnsi="Times New Roman" w:cs="Times New Roman"/>
          <w:sz w:val="24"/>
          <w:szCs w:val="24"/>
          <w:lang w:val="en-US"/>
        </w:rPr>
        <w:t xml:space="preserve">impact on their value and performance. </w:t>
      </w:r>
      <w:r w:rsidR="00424643" w:rsidRPr="002C24A8">
        <w:rPr>
          <w:rFonts w:ascii="Times New Roman" w:hAnsi="Times New Roman" w:cs="Times New Roman"/>
          <w:sz w:val="24"/>
          <w:szCs w:val="24"/>
          <w:lang w:val="en-US"/>
        </w:rPr>
        <w:t xml:space="preserve">This </w:t>
      </w:r>
      <w:r w:rsidRPr="002C24A8">
        <w:rPr>
          <w:rFonts w:ascii="Times New Roman" w:hAnsi="Times New Roman" w:cs="Times New Roman"/>
          <w:sz w:val="24"/>
          <w:szCs w:val="24"/>
          <w:lang w:val="en-US"/>
        </w:rPr>
        <w:t>“doing well by doing good” view</w:t>
      </w:r>
      <w:r w:rsidR="00424643" w:rsidRPr="002C24A8">
        <w:rPr>
          <w:rFonts w:ascii="Times New Roman" w:hAnsi="Times New Roman" w:cs="Times New Roman"/>
          <w:sz w:val="24"/>
          <w:szCs w:val="24"/>
          <w:lang w:val="en-US"/>
        </w:rPr>
        <w:t xml:space="preserve"> remains debated in the literature</w:t>
      </w:r>
      <w:r w:rsidRPr="002C24A8">
        <w:rPr>
          <w:rFonts w:ascii="Times New Roman" w:hAnsi="Times New Roman" w:cs="Times New Roman"/>
          <w:sz w:val="24"/>
          <w:szCs w:val="24"/>
          <w:lang w:val="en-US"/>
        </w:rPr>
        <w:t>.</w:t>
      </w:r>
      <w:r w:rsidR="00163BB9" w:rsidRPr="002C24A8">
        <w:rPr>
          <w:rFonts w:ascii="Times New Roman" w:hAnsi="Times New Roman" w:cs="Times New Roman"/>
          <w:sz w:val="24"/>
          <w:szCs w:val="24"/>
          <w:lang w:val="en-US"/>
        </w:rPr>
        <w:t xml:space="preserve"> </w:t>
      </w:r>
      <w:r w:rsidR="00C141BD" w:rsidRPr="002C24A8">
        <w:rPr>
          <w:rFonts w:ascii="Times New Roman" w:hAnsi="Times New Roman" w:cs="Times New Roman"/>
          <w:sz w:val="24"/>
          <w:szCs w:val="24"/>
          <w:lang w:val="en-US"/>
        </w:rPr>
        <w:t xml:space="preserve">Our study contributes to this debate by investigating the impact of firms’ engagement on ESG policies on their innovation capacity levels. </w:t>
      </w:r>
      <w:r w:rsidR="00F9404C" w:rsidRPr="002C24A8">
        <w:rPr>
          <w:rFonts w:ascii="Times New Roman" w:hAnsi="Times New Roman" w:cs="Times New Roman"/>
          <w:sz w:val="24"/>
          <w:szCs w:val="24"/>
          <w:lang w:val="en-US"/>
        </w:rPr>
        <w:t>More specifically, we apply</w:t>
      </w:r>
      <w:r w:rsidR="00C141BD" w:rsidRPr="002C24A8">
        <w:rPr>
          <w:rFonts w:ascii="Times New Roman" w:hAnsi="Times New Roman" w:cs="Times New Roman"/>
          <w:sz w:val="24"/>
          <w:szCs w:val="24"/>
          <w:lang w:val="en-US"/>
        </w:rPr>
        <w:t xml:space="preserve"> a nonparametric frontier analysis framework to a sample of 320 Japanese fir</w:t>
      </w:r>
      <w:r w:rsidR="00F9404C" w:rsidRPr="002C24A8">
        <w:rPr>
          <w:rFonts w:ascii="Times New Roman" w:hAnsi="Times New Roman" w:cs="Times New Roman"/>
          <w:sz w:val="24"/>
          <w:szCs w:val="24"/>
          <w:lang w:val="en-US"/>
        </w:rPr>
        <w:t xml:space="preserve">ms over the period 2008-2016. Our study </w:t>
      </w:r>
      <w:r w:rsidR="00C141BD" w:rsidRPr="002C24A8">
        <w:rPr>
          <w:rFonts w:ascii="Times New Roman" w:hAnsi="Times New Roman" w:cs="Times New Roman"/>
          <w:sz w:val="24"/>
          <w:szCs w:val="24"/>
          <w:lang w:val="en-US"/>
        </w:rPr>
        <w:t>provide</w:t>
      </w:r>
      <w:r w:rsidR="00F9404C" w:rsidRPr="002C24A8">
        <w:rPr>
          <w:rFonts w:ascii="Times New Roman" w:hAnsi="Times New Roman" w:cs="Times New Roman"/>
          <w:sz w:val="24"/>
          <w:szCs w:val="24"/>
          <w:lang w:val="en-US"/>
        </w:rPr>
        <w:t>s</w:t>
      </w:r>
      <w:r w:rsidR="00C141BD" w:rsidRPr="002C24A8">
        <w:rPr>
          <w:rFonts w:ascii="Times New Roman" w:hAnsi="Times New Roman" w:cs="Times New Roman"/>
          <w:sz w:val="24"/>
          <w:szCs w:val="24"/>
          <w:lang w:val="en-US"/>
        </w:rPr>
        <w:t xml:space="preserve"> evidence of a nonlinear </w:t>
      </w:r>
      <w:r w:rsidR="00F9404C" w:rsidRPr="002C24A8">
        <w:rPr>
          <w:rFonts w:ascii="Times New Roman" w:hAnsi="Times New Roman" w:cs="Times New Roman"/>
          <w:sz w:val="24"/>
          <w:szCs w:val="24"/>
          <w:lang w:val="en-US"/>
        </w:rPr>
        <w:t xml:space="preserve">relationship </w:t>
      </w:r>
      <w:r w:rsidR="00C141BD" w:rsidRPr="002C24A8">
        <w:rPr>
          <w:rFonts w:ascii="Times New Roman" w:hAnsi="Times New Roman" w:cs="Times New Roman"/>
          <w:sz w:val="24"/>
          <w:szCs w:val="24"/>
          <w:lang w:val="en-US"/>
        </w:rPr>
        <w:t xml:space="preserve">between ESG </w:t>
      </w:r>
      <w:r w:rsidR="00B3339B" w:rsidRPr="002C24A8">
        <w:rPr>
          <w:rFonts w:ascii="Times New Roman" w:hAnsi="Times New Roman" w:cs="Times New Roman"/>
          <w:sz w:val="24"/>
          <w:szCs w:val="24"/>
          <w:lang w:val="en-US"/>
        </w:rPr>
        <w:t xml:space="preserve">policy </w:t>
      </w:r>
      <w:r w:rsidR="00C141BD" w:rsidRPr="002C24A8">
        <w:rPr>
          <w:rFonts w:ascii="Times New Roman" w:hAnsi="Times New Roman" w:cs="Times New Roman"/>
          <w:sz w:val="24"/>
          <w:szCs w:val="24"/>
          <w:lang w:val="en-US"/>
        </w:rPr>
        <w:t>adoption and firms’ innovation capacity</w:t>
      </w:r>
      <w:r w:rsidR="003D3A65" w:rsidRPr="002C24A8">
        <w:rPr>
          <w:rFonts w:ascii="Times New Roman" w:hAnsi="Times New Roman" w:cs="Times New Roman"/>
          <w:sz w:val="24"/>
          <w:szCs w:val="24"/>
          <w:lang w:val="en-US"/>
        </w:rPr>
        <w:t>. In other words</w:t>
      </w:r>
      <w:r w:rsidR="00B3339B" w:rsidRPr="002C24A8">
        <w:rPr>
          <w:rFonts w:ascii="Times New Roman" w:hAnsi="Times New Roman" w:cs="Times New Roman"/>
          <w:sz w:val="24"/>
          <w:szCs w:val="24"/>
          <w:lang w:val="en-US"/>
        </w:rPr>
        <w:t>,</w:t>
      </w:r>
      <w:r w:rsidRPr="002C24A8">
        <w:rPr>
          <w:rFonts w:ascii="Times New Roman" w:hAnsi="Times New Roman" w:cs="Times New Roman"/>
          <w:sz w:val="24"/>
          <w:szCs w:val="24"/>
          <w:lang w:val="en-US"/>
        </w:rPr>
        <w:t xml:space="preserve"> </w:t>
      </w:r>
      <w:r w:rsidR="003D3A65" w:rsidRPr="002C24A8">
        <w:rPr>
          <w:rFonts w:ascii="Times New Roman" w:hAnsi="Times New Roman" w:cs="Times New Roman"/>
          <w:sz w:val="24"/>
          <w:szCs w:val="24"/>
          <w:lang w:val="en-US"/>
        </w:rPr>
        <w:t xml:space="preserve">our findings </w:t>
      </w:r>
      <w:r w:rsidR="00A021F2" w:rsidRPr="002C24A8">
        <w:rPr>
          <w:rFonts w:ascii="Times New Roman" w:hAnsi="Times New Roman" w:cs="Times New Roman"/>
          <w:sz w:val="24"/>
          <w:szCs w:val="24"/>
          <w:lang w:val="en-US"/>
        </w:rPr>
        <w:t xml:space="preserve">are consistent with a process of “indirect value-creation” </w:t>
      </w:r>
      <w:r w:rsidRPr="002C24A8">
        <w:rPr>
          <w:rFonts w:ascii="Times New Roman" w:hAnsi="Times New Roman" w:cs="Times New Roman"/>
          <w:sz w:val="24"/>
          <w:szCs w:val="24"/>
          <w:lang w:val="en-US"/>
        </w:rPr>
        <w:t xml:space="preserve">under which </w:t>
      </w:r>
      <w:r w:rsidR="00813020" w:rsidRPr="002C24A8">
        <w:rPr>
          <w:rFonts w:ascii="Times New Roman" w:hAnsi="Times New Roman" w:cs="Times New Roman"/>
          <w:sz w:val="24"/>
          <w:szCs w:val="24"/>
          <w:lang w:val="en-US"/>
        </w:rPr>
        <w:t xml:space="preserve">firms’ </w:t>
      </w:r>
      <w:r w:rsidRPr="002C24A8">
        <w:rPr>
          <w:rFonts w:ascii="Times New Roman" w:hAnsi="Times New Roman" w:cs="Times New Roman"/>
          <w:sz w:val="24"/>
          <w:szCs w:val="24"/>
          <w:lang w:val="en-US"/>
        </w:rPr>
        <w:t xml:space="preserve">CSR/ESG policy adoption </w:t>
      </w:r>
      <w:r w:rsidR="003D3A65" w:rsidRPr="002C24A8">
        <w:rPr>
          <w:rFonts w:ascii="Times New Roman" w:hAnsi="Times New Roman" w:cs="Times New Roman"/>
          <w:sz w:val="24"/>
          <w:szCs w:val="24"/>
          <w:lang w:val="en-US"/>
        </w:rPr>
        <w:t xml:space="preserve">initially enhances </w:t>
      </w:r>
      <w:r w:rsidR="00813020" w:rsidRPr="002C24A8">
        <w:rPr>
          <w:rFonts w:ascii="Times New Roman" w:hAnsi="Times New Roman" w:cs="Times New Roman"/>
          <w:sz w:val="24"/>
          <w:szCs w:val="24"/>
          <w:lang w:val="en-US"/>
        </w:rPr>
        <w:t xml:space="preserve">their </w:t>
      </w:r>
      <w:r w:rsidRPr="002C24A8">
        <w:rPr>
          <w:rFonts w:ascii="Times New Roman" w:hAnsi="Times New Roman" w:cs="Times New Roman"/>
          <w:sz w:val="24"/>
          <w:szCs w:val="24"/>
          <w:lang w:val="en-US"/>
        </w:rPr>
        <w:t>ability to pursue innovation activities</w:t>
      </w:r>
      <w:r w:rsidR="003D3A65" w:rsidRPr="002C24A8">
        <w:rPr>
          <w:rFonts w:ascii="Times New Roman" w:hAnsi="Times New Roman" w:cs="Times New Roman"/>
          <w:sz w:val="24"/>
          <w:szCs w:val="24"/>
          <w:lang w:val="en-US"/>
        </w:rPr>
        <w:t xml:space="preserve"> and</w:t>
      </w:r>
      <w:r w:rsidR="00813020" w:rsidRPr="002C24A8">
        <w:rPr>
          <w:rFonts w:ascii="Times New Roman" w:hAnsi="Times New Roman" w:cs="Times New Roman"/>
          <w:sz w:val="24"/>
          <w:szCs w:val="24"/>
          <w:lang w:val="en-US"/>
        </w:rPr>
        <w:t>,</w:t>
      </w:r>
      <w:r w:rsidR="00163BB9" w:rsidRPr="002C24A8">
        <w:rPr>
          <w:rFonts w:ascii="Times New Roman" w:hAnsi="Times New Roman" w:cs="Times New Roman"/>
          <w:sz w:val="24"/>
          <w:szCs w:val="24"/>
          <w:lang w:val="en-US"/>
        </w:rPr>
        <w:t xml:space="preserve"> </w:t>
      </w:r>
      <w:r w:rsidR="003D3A65" w:rsidRPr="002C24A8">
        <w:rPr>
          <w:rFonts w:ascii="Times New Roman" w:hAnsi="Times New Roman" w:cs="Times New Roman"/>
          <w:sz w:val="24"/>
          <w:szCs w:val="24"/>
          <w:lang w:val="en-US"/>
        </w:rPr>
        <w:t>t</w:t>
      </w:r>
      <w:r w:rsidR="00163BB9" w:rsidRPr="002C24A8">
        <w:rPr>
          <w:rFonts w:ascii="Times New Roman" w:hAnsi="Times New Roman" w:cs="Times New Roman"/>
          <w:sz w:val="24"/>
          <w:szCs w:val="24"/>
          <w:lang w:val="en-US"/>
        </w:rPr>
        <w:t>hen</w:t>
      </w:r>
      <w:r w:rsidR="003D3A65" w:rsidRPr="002C24A8">
        <w:rPr>
          <w:rFonts w:ascii="Times New Roman" w:hAnsi="Times New Roman" w:cs="Times New Roman"/>
          <w:sz w:val="24"/>
          <w:szCs w:val="24"/>
          <w:lang w:val="en-US"/>
        </w:rPr>
        <w:t xml:space="preserve">, </w:t>
      </w:r>
      <w:r w:rsidRPr="002C24A8">
        <w:rPr>
          <w:rFonts w:ascii="Times New Roman" w:hAnsi="Times New Roman" w:cs="Times New Roman"/>
          <w:sz w:val="24"/>
          <w:szCs w:val="24"/>
          <w:lang w:val="en-US"/>
        </w:rPr>
        <w:t>eventually affects positiv</w:t>
      </w:r>
      <w:r w:rsidR="00163BB9" w:rsidRPr="002C24A8">
        <w:rPr>
          <w:rFonts w:ascii="Times New Roman" w:hAnsi="Times New Roman" w:cs="Times New Roman"/>
          <w:sz w:val="24"/>
          <w:szCs w:val="24"/>
          <w:lang w:val="en-US"/>
        </w:rPr>
        <w:t xml:space="preserve">ely </w:t>
      </w:r>
      <w:r w:rsidRPr="002C24A8">
        <w:rPr>
          <w:rFonts w:ascii="Times New Roman" w:hAnsi="Times New Roman" w:cs="Times New Roman"/>
          <w:sz w:val="24"/>
          <w:szCs w:val="24"/>
          <w:lang w:val="en-US"/>
        </w:rPr>
        <w:t xml:space="preserve">their value creation and financial/operational performance. </w:t>
      </w:r>
    </w:p>
    <w:p w14:paraId="298A77B5" w14:textId="72CA521C" w:rsidR="00E9191B" w:rsidRPr="002C24A8" w:rsidRDefault="00E9191B" w:rsidP="00E9191B">
      <w:pPr>
        <w:jc w:val="both"/>
        <w:rPr>
          <w:rFonts w:ascii="Times New Roman" w:hAnsi="Times New Roman" w:cs="Times New Roman"/>
          <w:lang w:val="en-US"/>
        </w:rPr>
      </w:pPr>
      <w:r w:rsidRPr="002C24A8">
        <w:rPr>
          <w:rFonts w:ascii="Times New Roman" w:hAnsi="Times New Roman" w:cs="Times New Roman"/>
          <w:b/>
          <w:lang w:val="en-US"/>
        </w:rPr>
        <w:t>Keywords:</w:t>
      </w:r>
      <w:r w:rsidR="00A00C7E" w:rsidRPr="002C24A8">
        <w:rPr>
          <w:rFonts w:ascii="Times New Roman" w:hAnsi="Times New Roman" w:cs="Times New Roman"/>
          <w:b/>
          <w:lang w:val="en-US"/>
        </w:rPr>
        <w:t xml:space="preserve"> </w:t>
      </w:r>
      <w:r w:rsidR="00A00C7E" w:rsidRPr="002C24A8">
        <w:rPr>
          <w:rFonts w:ascii="Times New Roman" w:hAnsi="Times New Roman" w:cs="Times New Roman"/>
          <w:lang w:val="en-US"/>
        </w:rPr>
        <w:t xml:space="preserve">Corporate </w:t>
      </w:r>
      <w:r w:rsidR="009F6865" w:rsidRPr="002C24A8">
        <w:rPr>
          <w:rFonts w:ascii="Times New Roman" w:hAnsi="Times New Roman" w:cs="Times New Roman"/>
          <w:lang w:val="en-US"/>
        </w:rPr>
        <w:t>S</w:t>
      </w:r>
      <w:r w:rsidR="00A00C7E" w:rsidRPr="002C24A8">
        <w:rPr>
          <w:rFonts w:ascii="Times New Roman" w:hAnsi="Times New Roman" w:cs="Times New Roman"/>
          <w:lang w:val="en-US"/>
        </w:rPr>
        <w:t xml:space="preserve">ocial </w:t>
      </w:r>
      <w:r w:rsidR="009F6865" w:rsidRPr="002C24A8">
        <w:rPr>
          <w:rFonts w:ascii="Times New Roman" w:hAnsi="Times New Roman" w:cs="Times New Roman"/>
          <w:lang w:val="en-US"/>
        </w:rPr>
        <w:t>R</w:t>
      </w:r>
      <w:r w:rsidR="00A00C7E" w:rsidRPr="002C24A8">
        <w:rPr>
          <w:rFonts w:ascii="Times New Roman" w:hAnsi="Times New Roman" w:cs="Times New Roman"/>
          <w:lang w:val="en-US"/>
        </w:rPr>
        <w:t>esponsibility</w:t>
      </w:r>
      <w:r w:rsidR="003D428F" w:rsidRPr="002C24A8">
        <w:rPr>
          <w:rFonts w:ascii="Times New Roman" w:hAnsi="Times New Roman" w:cs="Times New Roman"/>
          <w:lang w:val="en-US"/>
        </w:rPr>
        <w:t xml:space="preserve"> (CSR)</w:t>
      </w:r>
      <w:r w:rsidR="00A00C7E" w:rsidRPr="002C24A8">
        <w:rPr>
          <w:rFonts w:ascii="Times New Roman" w:hAnsi="Times New Roman" w:cs="Times New Roman"/>
          <w:lang w:val="en-US"/>
        </w:rPr>
        <w:t xml:space="preserve">; </w:t>
      </w:r>
      <w:r w:rsidR="003D428F" w:rsidRPr="002C24A8">
        <w:rPr>
          <w:rFonts w:ascii="Times New Roman" w:hAnsi="Times New Roman" w:cs="Times New Roman"/>
          <w:lang w:val="en-US"/>
        </w:rPr>
        <w:t xml:space="preserve">Environmental and Social Governance (ESG); </w:t>
      </w:r>
      <w:r w:rsidR="0082470A" w:rsidRPr="002C24A8">
        <w:rPr>
          <w:rFonts w:ascii="Times New Roman" w:hAnsi="Times New Roman" w:cs="Times New Roman"/>
          <w:lang w:val="en-US"/>
        </w:rPr>
        <w:t>Co</w:t>
      </w:r>
      <w:r w:rsidR="00424643" w:rsidRPr="002C24A8">
        <w:rPr>
          <w:rFonts w:ascii="Times New Roman" w:hAnsi="Times New Roman" w:cs="Times New Roman"/>
          <w:lang w:val="en-US"/>
        </w:rPr>
        <w:t>r</w:t>
      </w:r>
      <w:r w:rsidR="0082470A" w:rsidRPr="002C24A8">
        <w:rPr>
          <w:rFonts w:ascii="Times New Roman" w:hAnsi="Times New Roman" w:cs="Times New Roman"/>
          <w:lang w:val="en-US"/>
        </w:rPr>
        <w:t>po</w:t>
      </w:r>
      <w:r w:rsidR="00424643" w:rsidRPr="002C24A8">
        <w:rPr>
          <w:rFonts w:ascii="Times New Roman" w:hAnsi="Times New Roman" w:cs="Times New Roman"/>
          <w:lang w:val="en-US"/>
        </w:rPr>
        <w:t>r</w:t>
      </w:r>
      <w:r w:rsidR="0082470A" w:rsidRPr="002C24A8">
        <w:rPr>
          <w:rFonts w:ascii="Times New Roman" w:hAnsi="Times New Roman" w:cs="Times New Roman"/>
          <w:lang w:val="en-US"/>
        </w:rPr>
        <w:t xml:space="preserve">ate Social Performance (CSP); </w:t>
      </w:r>
      <w:r w:rsidR="00A00C7E" w:rsidRPr="002C24A8">
        <w:rPr>
          <w:rFonts w:ascii="Times New Roman" w:hAnsi="Times New Roman" w:cs="Times New Roman"/>
          <w:lang w:val="en-US"/>
        </w:rPr>
        <w:t>Innovation capacity; Efficiency and Productivity; Nonparametric Analysis</w:t>
      </w:r>
      <w:r w:rsidR="003D428F" w:rsidRPr="002C24A8">
        <w:rPr>
          <w:rFonts w:ascii="Times New Roman" w:hAnsi="Times New Roman" w:cs="Times New Roman"/>
          <w:lang w:val="en-US"/>
        </w:rPr>
        <w:t>.</w:t>
      </w:r>
    </w:p>
    <w:p w14:paraId="401F2B3A" w14:textId="372AC50D" w:rsidR="00E9191B" w:rsidRPr="002C24A8" w:rsidRDefault="00E9191B" w:rsidP="00A00C7E">
      <w:pPr>
        <w:jc w:val="both"/>
        <w:rPr>
          <w:rFonts w:ascii="Times New Roman" w:hAnsi="Times New Roman" w:cs="Times New Roman"/>
          <w:lang w:val="en-US"/>
        </w:rPr>
      </w:pPr>
      <w:r w:rsidRPr="002C24A8">
        <w:rPr>
          <w:rFonts w:ascii="Times New Roman" w:hAnsi="Times New Roman" w:cs="Times New Roman"/>
          <w:b/>
          <w:i/>
          <w:lang w:val="en-US"/>
        </w:rPr>
        <w:t>JEL Classification:</w:t>
      </w:r>
      <w:r w:rsidR="00A00C7E" w:rsidRPr="002C24A8">
        <w:rPr>
          <w:rFonts w:ascii="Times New Roman" w:hAnsi="Times New Roman" w:cs="Times New Roman"/>
          <w:lang w:val="en-US"/>
        </w:rPr>
        <w:t xml:space="preserve"> C14; D24; M14; O3</w:t>
      </w:r>
    </w:p>
    <w:p w14:paraId="7ED65371" w14:textId="16382C8F" w:rsidR="00813020" w:rsidRPr="002C24A8" w:rsidRDefault="00813020" w:rsidP="00A00C7E">
      <w:pPr>
        <w:jc w:val="both"/>
        <w:rPr>
          <w:rFonts w:ascii="Times New Roman" w:hAnsi="Times New Roman" w:cs="Times New Roman"/>
          <w:lang w:val="en-US"/>
        </w:rPr>
      </w:pPr>
    </w:p>
    <w:p w14:paraId="041238A1" w14:textId="77777777" w:rsidR="00813020" w:rsidRPr="002C24A8" w:rsidRDefault="00813020" w:rsidP="00A00C7E">
      <w:pPr>
        <w:jc w:val="both"/>
        <w:rPr>
          <w:rFonts w:ascii="Times New Roman" w:hAnsi="Times New Roman" w:cs="Times New Roman"/>
          <w:lang w:val="en-US"/>
        </w:rPr>
      </w:pPr>
    </w:p>
    <w:p w14:paraId="74E3365D" w14:textId="77777777" w:rsidR="00593E51" w:rsidRDefault="00593E51">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06CA2D0F" w14:textId="51098294" w:rsidR="009E4189" w:rsidRPr="002C24A8" w:rsidRDefault="00D631B3" w:rsidP="00D631B3">
      <w:pPr>
        <w:spacing w:line="480" w:lineRule="auto"/>
        <w:jc w:val="both"/>
        <w:rPr>
          <w:rFonts w:ascii="Times New Roman" w:hAnsi="Times New Roman" w:cs="Times New Roman"/>
          <w:b/>
          <w:sz w:val="24"/>
          <w:szCs w:val="24"/>
          <w:lang w:val="en-US"/>
        </w:rPr>
      </w:pPr>
      <w:r w:rsidRPr="002C24A8">
        <w:rPr>
          <w:rFonts w:ascii="Times New Roman" w:hAnsi="Times New Roman" w:cs="Times New Roman"/>
          <w:b/>
          <w:sz w:val="24"/>
          <w:szCs w:val="24"/>
          <w:lang w:val="en-US"/>
        </w:rPr>
        <w:lastRenderedPageBreak/>
        <w:t>1. Introduction</w:t>
      </w:r>
    </w:p>
    <w:p w14:paraId="152F5BE3" w14:textId="20AC1C34" w:rsidR="002D2644" w:rsidRPr="002C24A8" w:rsidRDefault="001B4FCE" w:rsidP="001E6CF0">
      <w:pPr>
        <w:spacing w:line="480" w:lineRule="auto"/>
        <w:ind w:firstLine="72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The Berle-Dodd debate </w:t>
      </w:r>
      <w:r w:rsidR="006C3E1E" w:rsidRPr="002C24A8">
        <w:rPr>
          <w:rFonts w:ascii="Times New Roman" w:hAnsi="Times New Roman" w:cs="Times New Roman"/>
          <w:sz w:val="24"/>
          <w:szCs w:val="24"/>
          <w:lang w:val="en-US"/>
        </w:rPr>
        <w:t xml:space="preserve">challenges </w:t>
      </w:r>
      <w:r w:rsidRPr="002C24A8">
        <w:rPr>
          <w:rFonts w:ascii="Times New Roman" w:hAnsi="Times New Roman" w:cs="Times New Roman"/>
          <w:sz w:val="24"/>
          <w:szCs w:val="24"/>
          <w:lang w:val="en-US"/>
        </w:rPr>
        <w:t>whether there is an</w:t>
      </w:r>
      <w:r w:rsidR="006C3E1E" w:rsidRPr="002C24A8">
        <w:rPr>
          <w:rFonts w:ascii="Times New Roman" w:hAnsi="Times New Roman" w:cs="Times New Roman"/>
          <w:sz w:val="24"/>
          <w:szCs w:val="24"/>
          <w:lang w:val="en-US"/>
        </w:rPr>
        <w:t>y</w:t>
      </w:r>
      <w:r w:rsidRPr="002C24A8">
        <w:rPr>
          <w:rFonts w:ascii="Times New Roman" w:hAnsi="Times New Roman" w:cs="Times New Roman"/>
          <w:sz w:val="24"/>
          <w:szCs w:val="24"/>
          <w:lang w:val="en-US"/>
        </w:rPr>
        <w:t xml:space="preserve"> impact of firms’ engagement </w:t>
      </w:r>
      <w:r w:rsidR="006C3E1E" w:rsidRPr="002C24A8">
        <w:rPr>
          <w:rFonts w:ascii="Times New Roman" w:hAnsi="Times New Roman" w:cs="Times New Roman"/>
          <w:sz w:val="24"/>
          <w:szCs w:val="24"/>
          <w:lang w:val="en-US"/>
        </w:rPr>
        <w:t>i</w:t>
      </w:r>
      <w:r w:rsidRPr="002C24A8">
        <w:rPr>
          <w:rFonts w:ascii="Times New Roman" w:hAnsi="Times New Roman" w:cs="Times New Roman"/>
          <w:sz w:val="24"/>
          <w:szCs w:val="24"/>
          <w:lang w:val="en-US"/>
        </w:rPr>
        <w:t xml:space="preserve">n corporate social responsibility (CSR) activities </w:t>
      </w:r>
      <w:r w:rsidR="006C3E1E" w:rsidRPr="002C24A8">
        <w:rPr>
          <w:rFonts w:ascii="Times New Roman" w:hAnsi="Times New Roman" w:cs="Times New Roman"/>
          <w:sz w:val="24"/>
          <w:szCs w:val="24"/>
          <w:lang w:val="en-US"/>
        </w:rPr>
        <w:t>t</w:t>
      </w:r>
      <w:r w:rsidRPr="002C24A8">
        <w:rPr>
          <w:rFonts w:ascii="Times New Roman" w:hAnsi="Times New Roman" w:cs="Times New Roman"/>
          <w:sz w:val="24"/>
          <w:szCs w:val="24"/>
          <w:lang w:val="en-US"/>
        </w:rPr>
        <w:t>o shareholder</w:t>
      </w:r>
      <w:r w:rsidR="006C3E1E" w:rsidRPr="002C24A8">
        <w:rPr>
          <w:rFonts w:ascii="Times New Roman" w:hAnsi="Times New Roman" w:cs="Times New Roman"/>
          <w:sz w:val="24"/>
          <w:szCs w:val="24"/>
          <w:lang w:val="en-US"/>
        </w:rPr>
        <w:t xml:space="preserve"> valuation</w:t>
      </w:r>
      <w:r w:rsidRPr="002C24A8">
        <w:rPr>
          <w:rFonts w:ascii="Times New Roman" w:hAnsi="Times New Roman" w:cs="Times New Roman"/>
          <w:sz w:val="24"/>
          <w:szCs w:val="24"/>
          <w:lang w:val="en-US"/>
        </w:rPr>
        <w:t xml:space="preserve"> and firms’ performance</w:t>
      </w:r>
      <w:r w:rsidR="006C3E1E" w:rsidRPr="002C24A8">
        <w:rPr>
          <w:rFonts w:ascii="Times New Roman" w:hAnsi="Times New Roman" w:cs="Times New Roman"/>
          <w:sz w:val="24"/>
          <w:szCs w:val="24"/>
          <w:lang w:val="en-US"/>
        </w:rPr>
        <w:t xml:space="preserve">, and </w:t>
      </w:r>
      <w:r w:rsidRPr="002C24A8">
        <w:rPr>
          <w:rFonts w:ascii="Times New Roman" w:hAnsi="Times New Roman" w:cs="Times New Roman"/>
          <w:sz w:val="24"/>
          <w:szCs w:val="24"/>
          <w:lang w:val="en-US"/>
        </w:rPr>
        <w:t xml:space="preserve">is </w:t>
      </w:r>
      <w:r w:rsidR="006C3E1E" w:rsidRPr="002C24A8">
        <w:rPr>
          <w:rFonts w:ascii="Times New Roman" w:hAnsi="Times New Roman" w:cs="Times New Roman"/>
          <w:sz w:val="24"/>
          <w:szCs w:val="24"/>
          <w:lang w:val="en-US"/>
        </w:rPr>
        <w:t xml:space="preserve">the basis of </w:t>
      </w:r>
      <w:r w:rsidRPr="002C24A8">
        <w:rPr>
          <w:rFonts w:ascii="Times New Roman" w:hAnsi="Times New Roman" w:cs="Times New Roman"/>
          <w:sz w:val="24"/>
          <w:szCs w:val="24"/>
          <w:lang w:val="en-US"/>
        </w:rPr>
        <w:t xml:space="preserve">an ongoing research </w:t>
      </w:r>
      <w:r w:rsidR="006C3E1E" w:rsidRPr="002C24A8">
        <w:rPr>
          <w:rFonts w:ascii="Times New Roman" w:hAnsi="Times New Roman" w:cs="Times New Roman"/>
          <w:sz w:val="24"/>
          <w:szCs w:val="24"/>
          <w:lang w:val="en-US"/>
        </w:rPr>
        <w:t xml:space="preserve">agenda </w:t>
      </w:r>
      <w:r w:rsidRPr="002C24A8">
        <w:rPr>
          <w:rFonts w:ascii="Times New Roman" w:hAnsi="Times New Roman" w:cs="Times New Roman"/>
          <w:sz w:val="24"/>
          <w:szCs w:val="24"/>
          <w:lang w:val="en-US"/>
        </w:rPr>
        <w:t xml:space="preserve">(Ferrell et al. 2016). Specifically, Berle’s view is that firms should be </w:t>
      </w:r>
      <w:r w:rsidR="00AB0A5B" w:rsidRPr="002C24A8">
        <w:rPr>
          <w:rFonts w:ascii="Times New Roman" w:hAnsi="Times New Roman" w:cs="Times New Roman"/>
          <w:sz w:val="24"/>
          <w:szCs w:val="24"/>
          <w:lang w:val="en-US"/>
        </w:rPr>
        <w:t xml:space="preserve">seen </w:t>
      </w:r>
      <w:r w:rsidRPr="002C24A8">
        <w:rPr>
          <w:rFonts w:ascii="Times New Roman" w:hAnsi="Times New Roman" w:cs="Times New Roman"/>
          <w:sz w:val="24"/>
          <w:szCs w:val="24"/>
          <w:lang w:val="en-US"/>
        </w:rPr>
        <w:t>only</w:t>
      </w:r>
      <w:r w:rsidR="00AB0A5B" w:rsidRPr="002C24A8">
        <w:rPr>
          <w:rFonts w:ascii="Times New Roman" w:hAnsi="Times New Roman" w:cs="Times New Roman"/>
          <w:sz w:val="24"/>
          <w:szCs w:val="24"/>
          <w:lang w:val="en-US"/>
        </w:rPr>
        <w:t xml:space="preserve"> as the maximisers of </w:t>
      </w:r>
      <w:r w:rsidRPr="002C24A8">
        <w:rPr>
          <w:rFonts w:ascii="Times New Roman" w:hAnsi="Times New Roman" w:cs="Times New Roman"/>
          <w:sz w:val="24"/>
          <w:szCs w:val="24"/>
          <w:lang w:val="en-US"/>
        </w:rPr>
        <w:t>shareholders’</w:t>
      </w:r>
      <w:r w:rsidR="00AB0A5B" w:rsidRPr="002C24A8">
        <w:rPr>
          <w:rFonts w:ascii="Times New Roman" w:hAnsi="Times New Roman" w:cs="Times New Roman"/>
          <w:sz w:val="24"/>
          <w:szCs w:val="24"/>
          <w:lang w:val="en-US"/>
        </w:rPr>
        <w:t xml:space="preserve"> value. </w:t>
      </w:r>
      <w:r w:rsidRPr="002C24A8">
        <w:rPr>
          <w:rFonts w:ascii="Times New Roman" w:hAnsi="Times New Roman" w:cs="Times New Roman"/>
          <w:sz w:val="24"/>
          <w:szCs w:val="24"/>
          <w:lang w:val="en-US"/>
        </w:rPr>
        <w:t>Dodd’s view supports</w:t>
      </w:r>
      <w:r w:rsidR="00AB0A5B" w:rsidRPr="002C24A8">
        <w:rPr>
          <w:rFonts w:ascii="Times New Roman" w:hAnsi="Times New Roman" w:cs="Times New Roman"/>
          <w:sz w:val="24"/>
          <w:szCs w:val="24"/>
          <w:lang w:val="en-US"/>
        </w:rPr>
        <w:t xml:space="preserve"> the notion that </w:t>
      </w:r>
      <w:r w:rsidRPr="002C24A8">
        <w:rPr>
          <w:rFonts w:ascii="Times New Roman" w:hAnsi="Times New Roman" w:cs="Times New Roman"/>
          <w:sz w:val="24"/>
          <w:szCs w:val="24"/>
          <w:lang w:val="en-US"/>
        </w:rPr>
        <w:t>firm</w:t>
      </w:r>
      <w:r w:rsidR="00AB0A5B" w:rsidRPr="002C24A8">
        <w:rPr>
          <w:rFonts w:ascii="Times New Roman" w:hAnsi="Times New Roman" w:cs="Times New Roman"/>
          <w:sz w:val="24"/>
          <w:szCs w:val="24"/>
          <w:lang w:val="en-US"/>
        </w:rPr>
        <w:t>s</w:t>
      </w:r>
      <w:r w:rsidRPr="002C24A8">
        <w:rPr>
          <w:rFonts w:ascii="Times New Roman" w:hAnsi="Times New Roman" w:cs="Times New Roman"/>
          <w:sz w:val="24"/>
          <w:szCs w:val="24"/>
          <w:lang w:val="en-US"/>
        </w:rPr>
        <w:t xml:space="preserve"> </w:t>
      </w:r>
      <w:r w:rsidR="00AB0A5B" w:rsidRPr="002C24A8">
        <w:rPr>
          <w:rFonts w:ascii="Times New Roman" w:hAnsi="Times New Roman" w:cs="Times New Roman"/>
          <w:sz w:val="24"/>
          <w:szCs w:val="24"/>
          <w:lang w:val="en-US"/>
        </w:rPr>
        <w:t xml:space="preserve">should be accountable to </w:t>
      </w:r>
      <w:r w:rsidRPr="002C24A8">
        <w:rPr>
          <w:rFonts w:ascii="Times New Roman" w:hAnsi="Times New Roman" w:cs="Times New Roman"/>
          <w:sz w:val="24"/>
          <w:szCs w:val="24"/>
          <w:lang w:val="en-US"/>
        </w:rPr>
        <w:t>stakeholders and general</w:t>
      </w:r>
      <w:r w:rsidR="00AB0A5B" w:rsidRPr="002C24A8">
        <w:rPr>
          <w:rFonts w:ascii="Times New Roman" w:hAnsi="Times New Roman" w:cs="Times New Roman"/>
          <w:sz w:val="24"/>
          <w:szCs w:val="24"/>
          <w:lang w:val="en-US"/>
        </w:rPr>
        <w:t xml:space="preserve"> public. </w:t>
      </w:r>
      <w:r w:rsidRPr="002C24A8">
        <w:rPr>
          <w:rFonts w:ascii="Times New Roman" w:hAnsi="Times New Roman" w:cs="Times New Roman"/>
          <w:sz w:val="24"/>
          <w:szCs w:val="24"/>
          <w:lang w:val="en-US"/>
        </w:rPr>
        <w:t xml:space="preserve">Deng et al. (2013) assert that when firms are well governed </w:t>
      </w:r>
      <w:r w:rsidR="00AB0A5B" w:rsidRPr="002C24A8">
        <w:rPr>
          <w:rFonts w:ascii="Times New Roman" w:hAnsi="Times New Roman" w:cs="Times New Roman"/>
          <w:sz w:val="24"/>
          <w:szCs w:val="24"/>
          <w:lang w:val="en-US"/>
        </w:rPr>
        <w:t>the</w:t>
      </w:r>
      <w:r w:rsidR="006C3E1E" w:rsidRPr="002C24A8">
        <w:rPr>
          <w:rFonts w:ascii="Times New Roman" w:hAnsi="Times New Roman" w:cs="Times New Roman"/>
          <w:sz w:val="24"/>
          <w:szCs w:val="24"/>
          <w:lang w:val="en-US"/>
        </w:rPr>
        <w:t>y</w:t>
      </w:r>
      <w:r w:rsidR="00AB0A5B" w:rsidRPr="002C24A8">
        <w:rPr>
          <w:rFonts w:ascii="Times New Roman" w:hAnsi="Times New Roman" w:cs="Times New Roman"/>
          <w:sz w:val="24"/>
          <w:szCs w:val="24"/>
          <w:lang w:val="en-US"/>
        </w:rPr>
        <w:t xml:space="preserve"> are </w:t>
      </w:r>
      <w:r w:rsidRPr="002C24A8">
        <w:rPr>
          <w:rFonts w:ascii="Times New Roman" w:hAnsi="Times New Roman" w:cs="Times New Roman"/>
          <w:sz w:val="24"/>
          <w:szCs w:val="24"/>
          <w:lang w:val="en-US"/>
        </w:rPr>
        <w:t>able to be both social</w:t>
      </w:r>
      <w:r w:rsidR="00994104" w:rsidRPr="002C24A8">
        <w:rPr>
          <w:rFonts w:ascii="Times New Roman" w:hAnsi="Times New Roman" w:cs="Times New Roman"/>
          <w:sz w:val="24"/>
          <w:szCs w:val="24"/>
          <w:lang w:val="en-US"/>
        </w:rPr>
        <w:t>ly</w:t>
      </w:r>
      <w:r w:rsidRPr="002C24A8">
        <w:rPr>
          <w:rFonts w:ascii="Times New Roman" w:hAnsi="Times New Roman" w:cs="Times New Roman"/>
          <w:sz w:val="24"/>
          <w:szCs w:val="24"/>
          <w:lang w:val="en-US"/>
        </w:rPr>
        <w:t xml:space="preserve"> responsible and of higher performance, maximizing also shareholders’ value. However, the opposing view suggests that </w:t>
      </w:r>
      <w:r w:rsidR="00AB0A5B" w:rsidRPr="002C24A8">
        <w:rPr>
          <w:rFonts w:ascii="Times New Roman" w:hAnsi="Times New Roman" w:cs="Times New Roman"/>
          <w:sz w:val="24"/>
          <w:szCs w:val="24"/>
          <w:lang w:val="en-US"/>
        </w:rPr>
        <w:t>firms’</w:t>
      </w:r>
      <w:r w:rsidR="00163BB9" w:rsidRPr="002C24A8">
        <w:rPr>
          <w:rFonts w:ascii="Times New Roman" w:hAnsi="Times New Roman" w:cs="Times New Roman"/>
          <w:sz w:val="24"/>
          <w:szCs w:val="24"/>
          <w:lang w:val="en-US"/>
        </w:rPr>
        <w:t xml:space="preserve"> </w:t>
      </w:r>
      <w:r w:rsidR="00AB0A5B" w:rsidRPr="002C24A8">
        <w:rPr>
          <w:rFonts w:ascii="Times New Roman" w:hAnsi="Times New Roman" w:cs="Times New Roman"/>
          <w:sz w:val="24"/>
          <w:szCs w:val="24"/>
          <w:lang w:val="en-US"/>
        </w:rPr>
        <w:t xml:space="preserve">objective functions are </w:t>
      </w:r>
      <w:r w:rsidRPr="002C24A8">
        <w:rPr>
          <w:rFonts w:ascii="Times New Roman" w:hAnsi="Times New Roman" w:cs="Times New Roman"/>
          <w:sz w:val="24"/>
          <w:szCs w:val="24"/>
          <w:lang w:val="en-US"/>
        </w:rPr>
        <w:t>to generate</w:t>
      </w:r>
      <w:r w:rsidR="008A0430" w:rsidRPr="002C24A8">
        <w:rPr>
          <w:rFonts w:ascii="Times New Roman" w:hAnsi="Times New Roman" w:cs="Times New Roman"/>
          <w:sz w:val="24"/>
          <w:szCs w:val="24"/>
          <w:lang w:val="en-US"/>
        </w:rPr>
        <w:t xml:space="preserve"> profits and any </w:t>
      </w:r>
      <w:r w:rsidR="002D2644" w:rsidRPr="002C24A8">
        <w:rPr>
          <w:rFonts w:ascii="Times New Roman" w:hAnsi="Times New Roman" w:cs="Times New Roman"/>
          <w:sz w:val="24"/>
          <w:szCs w:val="24"/>
          <w:lang w:val="en-US"/>
        </w:rPr>
        <w:t xml:space="preserve">managerial </w:t>
      </w:r>
      <w:r w:rsidR="008A0430" w:rsidRPr="002C24A8">
        <w:rPr>
          <w:rFonts w:ascii="Times New Roman" w:hAnsi="Times New Roman" w:cs="Times New Roman"/>
          <w:sz w:val="24"/>
          <w:szCs w:val="24"/>
          <w:lang w:val="en-US"/>
        </w:rPr>
        <w:t xml:space="preserve">involvement </w:t>
      </w:r>
      <w:r w:rsidR="002D2644" w:rsidRPr="002C24A8">
        <w:rPr>
          <w:rFonts w:ascii="Times New Roman" w:hAnsi="Times New Roman" w:cs="Times New Roman"/>
          <w:sz w:val="24"/>
          <w:szCs w:val="24"/>
          <w:lang w:val="en-US"/>
        </w:rPr>
        <w:t>i</w:t>
      </w:r>
      <w:r w:rsidR="008A0430" w:rsidRPr="002C24A8">
        <w:rPr>
          <w:rFonts w:ascii="Times New Roman" w:hAnsi="Times New Roman" w:cs="Times New Roman"/>
          <w:sz w:val="24"/>
          <w:szCs w:val="24"/>
          <w:lang w:val="en-US"/>
        </w:rPr>
        <w:t xml:space="preserve">n CSR activities </w:t>
      </w:r>
      <w:r w:rsidR="002D2644" w:rsidRPr="002C24A8">
        <w:rPr>
          <w:rFonts w:ascii="Times New Roman" w:hAnsi="Times New Roman" w:cs="Times New Roman"/>
          <w:sz w:val="24"/>
          <w:szCs w:val="24"/>
          <w:lang w:val="en-US"/>
        </w:rPr>
        <w:t xml:space="preserve">is rather </w:t>
      </w:r>
      <w:r w:rsidR="008A0430" w:rsidRPr="002C24A8">
        <w:rPr>
          <w:rFonts w:ascii="Times New Roman" w:hAnsi="Times New Roman" w:cs="Times New Roman"/>
          <w:sz w:val="24"/>
          <w:szCs w:val="24"/>
          <w:lang w:val="en-US"/>
        </w:rPr>
        <w:t xml:space="preserve">a barrier to the accomplishment of the profit maximizing purpose (Cheng et al., 2013). There has been a </w:t>
      </w:r>
      <w:r w:rsidR="002D2644" w:rsidRPr="002C24A8">
        <w:rPr>
          <w:rFonts w:ascii="Times New Roman" w:hAnsi="Times New Roman" w:cs="Times New Roman"/>
          <w:sz w:val="24"/>
          <w:szCs w:val="24"/>
          <w:lang w:val="en-US"/>
        </w:rPr>
        <w:t xml:space="preserve">large number </w:t>
      </w:r>
      <w:r w:rsidR="008A0430" w:rsidRPr="002C24A8">
        <w:rPr>
          <w:rFonts w:ascii="Times New Roman" w:hAnsi="Times New Roman" w:cs="Times New Roman"/>
          <w:sz w:val="24"/>
          <w:szCs w:val="24"/>
          <w:lang w:val="en-US"/>
        </w:rPr>
        <w:t xml:space="preserve">of empirical </w:t>
      </w:r>
      <w:r w:rsidR="002D2644" w:rsidRPr="002C24A8">
        <w:rPr>
          <w:rFonts w:ascii="Times New Roman" w:hAnsi="Times New Roman" w:cs="Times New Roman"/>
          <w:sz w:val="24"/>
          <w:szCs w:val="24"/>
          <w:lang w:val="en-US"/>
        </w:rPr>
        <w:t>studies that</w:t>
      </w:r>
      <w:r w:rsidR="008A0430" w:rsidRPr="002C24A8">
        <w:rPr>
          <w:rFonts w:ascii="Times New Roman" w:hAnsi="Times New Roman" w:cs="Times New Roman"/>
          <w:sz w:val="24"/>
          <w:szCs w:val="24"/>
          <w:lang w:val="en-US"/>
        </w:rPr>
        <w:t xml:space="preserve"> support both the positive and negative effect of </w:t>
      </w:r>
      <w:r w:rsidR="00163BB9" w:rsidRPr="002C24A8">
        <w:rPr>
          <w:rFonts w:ascii="Times New Roman" w:hAnsi="Times New Roman" w:cs="Times New Roman"/>
          <w:sz w:val="24"/>
          <w:szCs w:val="24"/>
          <w:lang w:val="en-US"/>
        </w:rPr>
        <w:t>CSR activities</w:t>
      </w:r>
      <w:r w:rsidR="002D2644" w:rsidRPr="002C24A8">
        <w:rPr>
          <w:rFonts w:ascii="Times New Roman" w:hAnsi="Times New Roman" w:cs="Times New Roman"/>
          <w:sz w:val="24"/>
          <w:szCs w:val="24"/>
          <w:lang w:val="en-US"/>
        </w:rPr>
        <w:t xml:space="preserve"> o</w:t>
      </w:r>
      <w:r w:rsidR="008A0430" w:rsidRPr="002C24A8">
        <w:rPr>
          <w:rFonts w:ascii="Times New Roman" w:hAnsi="Times New Roman" w:cs="Times New Roman"/>
          <w:sz w:val="24"/>
          <w:szCs w:val="24"/>
          <w:lang w:val="en-US"/>
        </w:rPr>
        <w:t>n firm’s performance</w:t>
      </w:r>
      <w:r w:rsidR="008A0430" w:rsidRPr="002C24A8">
        <w:rPr>
          <w:lang w:val="en-US"/>
        </w:rPr>
        <w:t xml:space="preserve"> (</w:t>
      </w:r>
      <w:r w:rsidR="008A0430" w:rsidRPr="002C24A8">
        <w:rPr>
          <w:rFonts w:ascii="Times New Roman" w:hAnsi="Times New Roman" w:cs="Times New Roman"/>
          <w:sz w:val="24"/>
          <w:szCs w:val="24"/>
          <w:lang w:val="en-US"/>
        </w:rPr>
        <w:t xml:space="preserve">Jawahar et al., 2001; Jensen, 2001; Freeman et al. 2004; Surroca and Tribo, 2008; Cronqvist et al., 2009). </w:t>
      </w:r>
    </w:p>
    <w:p w14:paraId="54E4D939" w14:textId="6CD94E1D" w:rsidR="008340DE" w:rsidRPr="002C24A8" w:rsidRDefault="008A0430" w:rsidP="001E6CF0">
      <w:pPr>
        <w:spacing w:line="480" w:lineRule="auto"/>
        <w:ind w:firstLine="72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However, empirical </w:t>
      </w:r>
      <w:r w:rsidR="002D2644" w:rsidRPr="002C24A8">
        <w:rPr>
          <w:rFonts w:ascii="Times New Roman" w:hAnsi="Times New Roman" w:cs="Times New Roman"/>
          <w:sz w:val="24"/>
          <w:szCs w:val="24"/>
          <w:lang w:val="en-US"/>
        </w:rPr>
        <w:t xml:space="preserve">studies that </w:t>
      </w:r>
      <w:r w:rsidRPr="002C24A8">
        <w:rPr>
          <w:rFonts w:ascii="Times New Roman" w:hAnsi="Times New Roman" w:cs="Times New Roman"/>
          <w:sz w:val="24"/>
          <w:szCs w:val="24"/>
          <w:lang w:val="en-US"/>
        </w:rPr>
        <w:t>test</w:t>
      </w:r>
      <w:r w:rsidR="002D2644" w:rsidRPr="002C24A8">
        <w:rPr>
          <w:rFonts w:ascii="Times New Roman" w:hAnsi="Times New Roman" w:cs="Times New Roman"/>
          <w:sz w:val="24"/>
          <w:szCs w:val="24"/>
          <w:lang w:val="en-US"/>
        </w:rPr>
        <w:t xml:space="preserve"> </w:t>
      </w:r>
      <w:r w:rsidR="00735305" w:rsidRPr="002C24A8">
        <w:rPr>
          <w:rFonts w:ascii="Times New Roman" w:hAnsi="Times New Roman" w:cs="Times New Roman"/>
          <w:sz w:val="24"/>
          <w:szCs w:val="24"/>
          <w:lang w:val="en-US"/>
        </w:rPr>
        <w:t xml:space="preserve">the </w:t>
      </w:r>
      <w:r w:rsidRPr="002C24A8">
        <w:rPr>
          <w:rFonts w:ascii="Times New Roman" w:hAnsi="Times New Roman" w:cs="Times New Roman"/>
          <w:sz w:val="24"/>
          <w:szCs w:val="24"/>
          <w:lang w:val="en-US"/>
        </w:rPr>
        <w:t xml:space="preserve">“doing well by doing good” </w:t>
      </w:r>
      <w:r w:rsidR="002D2644" w:rsidRPr="002C24A8">
        <w:rPr>
          <w:rFonts w:ascii="Times New Roman" w:hAnsi="Times New Roman" w:cs="Times New Roman"/>
          <w:sz w:val="24"/>
          <w:szCs w:val="24"/>
          <w:lang w:val="en-US"/>
        </w:rPr>
        <w:t xml:space="preserve">hypothesis </w:t>
      </w:r>
      <w:r w:rsidRPr="002C24A8">
        <w:rPr>
          <w:lang w:val="en-US"/>
        </w:rPr>
        <w:t>(</w:t>
      </w:r>
      <w:r w:rsidRPr="002C24A8">
        <w:rPr>
          <w:rFonts w:ascii="Times New Roman" w:hAnsi="Times New Roman" w:cs="Times New Roman"/>
          <w:sz w:val="24"/>
          <w:szCs w:val="24"/>
          <w:lang w:val="en-US"/>
        </w:rPr>
        <w:t>Bénabou and Tirole, 2010; Krüger, 2015)</w:t>
      </w:r>
      <w:r w:rsidR="002D2644" w:rsidRPr="002C24A8">
        <w:rPr>
          <w:rFonts w:ascii="Times New Roman" w:hAnsi="Times New Roman" w:cs="Times New Roman"/>
          <w:sz w:val="24"/>
          <w:szCs w:val="24"/>
          <w:lang w:val="en-US"/>
        </w:rPr>
        <w:t xml:space="preserve"> are rather </w:t>
      </w:r>
      <w:r w:rsidRPr="002C24A8">
        <w:rPr>
          <w:rFonts w:ascii="Times New Roman" w:hAnsi="Times New Roman" w:cs="Times New Roman"/>
          <w:sz w:val="24"/>
          <w:szCs w:val="24"/>
          <w:lang w:val="en-US"/>
        </w:rPr>
        <w:t>inconclusive and conflicting</w:t>
      </w:r>
      <w:r w:rsidR="002D2644" w:rsidRPr="002C24A8">
        <w:rPr>
          <w:rFonts w:ascii="Times New Roman" w:hAnsi="Times New Roman" w:cs="Times New Roman"/>
          <w:sz w:val="24"/>
          <w:szCs w:val="24"/>
          <w:lang w:val="en-US"/>
        </w:rPr>
        <w:t xml:space="preserve">. </w:t>
      </w:r>
      <w:r w:rsidR="006C3E1E" w:rsidRPr="002C24A8">
        <w:rPr>
          <w:rFonts w:ascii="Times New Roman" w:hAnsi="Times New Roman" w:cs="Times New Roman"/>
          <w:sz w:val="24"/>
          <w:szCs w:val="24"/>
          <w:lang w:val="en-US"/>
        </w:rPr>
        <w:t xml:space="preserve">Factors which </w:t>
      </w:r>
      <w:r w:rsidR="00C81B6C" w:rsidRPr="002C24A8">
        <w:rPr>
          <w:rFonts w:ascii="Times New Roman" w:hAnsi="Times New Roman" w:cs="Times New Roman"/>
          <w:sz w:val="24"/>
          <w:szCs w:val="24"/>
          <w:lang w:val="en-US"/>
        </w:rPr>
        <w:t>contribute</w:t>
      </w:r>
      <w:r w:rsidR="006C3E1E" w:rsidRPr="002C24A8">
        <w:rPr>
          <w:rFonts w:ascii="Times New Roman" w:hAnsi="Times New Roman" w:cs="Times New Roman"/>
          <w:sz w:val="24"/>
          <w:szCs w:val="24"/>
          <w:lang w:val="en-US"/>
        </w:rPr>
        <w:t xml:space="preserve"> to this myriad of findings include</w:t>
      </w:r>
      <w:r w:rsidR="002D2644" w:rsidRPr="002C24A8">
        <w:rPr>
          <w:rFonts w:ascii="Times New Roman" w:hAnsi="Times New Roman" w:cs="Times New Roman"/>
          <w:sz w:val="24"/>
          <w:szCs w:val="24"/>
          <w:lang w:val="en-US"/>
        </w:rPr>
        <w:t xml:space="preserve"> applying </w:t>
      </w:r>
      <w:r w:rsidR="00735305" w:rsidRPr="002C24A8">
        <w:rPr>
          <w:rFonts w:ascii="Times New Roman" w:hAnsi="Times New Roman" w:cs="Times New Roman"/>
          <w:sz w:val="24"/>
          <w:szCs w:val="24"/>
          <w:lang w:val="en-US"/>
        </w:rPr>
        <w:t xml:space="preserve">different methods, </w:t>
      </w:r>
      <w:r w:rsidRPr="002C24A8">
        <w:rPr>
          <w:rFonts w:ascii="Times New Roman" w:hAnsi="Times New Roman" w:cs="Times New Roman"/>
          <w:sz w:val="24"/>
          <w:szCs w:val="24"/>
          <w:lang w:val="en-US"/>
        </w:rPr>
        <w:t xml:space="preserve">sample sizes and </w:t>
      </w:r>
      <w:r w:rsidR="00C81B6C" w:rsidRPr="002C24A8">
        <w:rPr>
          <w:rFonts w:ascii="Times New Roman" w:hAnsi="Times New Roman" w:cs="Times New Roman"/>
          <w:sz w:val="24"/>
          <w:szCs w:val="24"/>
          <w:lang w:val="en-US"/>
        </w:rPr>
        <w:t xml:space="preserve">using </w:t>
      </w:r>
      <w:r w:rsidR="00735305" w:rsidRPr="002C24A8">
        <w:rPr>
          <w:rFonts w:ascii="Times New Roman" w:hAnsi="Times New Roman" w:cs="Times New Roman"/>
          <w:sz w:val="24"/>
          <w:szCs w:val="24"/>
          <w:lang w:val="en-US"/>
        </w:rPr>
        <w:t xml:space="preserve">different </w:t>
      </w:r>
      <w:r w:rsidRPr="002C24A8">
        <w:rPr>
          <w:rFonts w:ascii="Times New Roman" w:hAnsi="Times New Roman" w:cs="Times New Roman"/>
          <w:sz w:val="24"/>
          <w:szCs w:val="24"/>
          <w:lang w:val="en-US"/>
        </w:rPr>
        <w:t xml:space="preserve">proxies of CSR </w:t>
      </w:r>
      <w:r w:rsidR="00C81B6C" w:rsidRPr="002C24A8">
        <w:rPr>
          <w:rFonts w:ascii="Times New Roman" w:hAnsi="Times New Roman" w:cs="Times New Roman"/>
          <w:sz w:val="24"/>
          <w:szCs w:val="24"/>
          <w:lang w:val="en-US"/>
        </w:rPr>
        <w:t xml:space="preserve">activity/performance </w:t>
      </w:r>
      <w:r w:rsidR="00735305" w:rsidRPr="002C24A8">
        <w:rPr>
          <w:rFonts w:ascii="Times New Roman" w:hAnsi="Times New Roman" w:cs="Times New Roman"/>
          <w:sz w:val="24"/>
          <w:szCs w:val="24"/>
          <w:lang w:val="en-US"/>
        </w:rPr>
        <w:t>(Margolis and Walsh, 2003; Wang et al., 2016).</w:t>
      </w:r>
      <w:r w:rsidR="00604E1C" w:rsidRPr="002C24A8">
        <w:rPr>
          <w:rFonts w:ascii="Times New Roman" w:hAnsi="Times New Roman" w:cs="Times New Roman"/>
          <w:sz w:val="24"/>
          <w:szCs w:val="24"/>
          <w:lang w:val="en-US"/>
        </w:rPr>
        <w:t xml:space="preserve"> </w:t>
      </w:r>
      <w:r w:rsidR="002D2644" w:rsidRPr="002C24A8">
        <w:rPr>
          <w:rFonts w:ascii="Times New Roman" w:hAnsi="Times New Roman" w:cs="Times New Roman"/>
          <w:sz w:val="24"/>
          <w:szCs w:val="24"/>
          <w:lang w:val="en-US"/>
        </w:rPr>
        <w:t>T</w:t>
      </w:r>
      <w:r w:rsidR="001E6CF0" w:rsidRPr="002C24A8">
        <w:rPr>
          <w:rFonts w:ascii="Times New Roman" w:hAnsi="Times New Roman" w:cs="Times New Roman"/>
          <w:sz w:val="24"/>
          <w:szCs w:val="24"/>
          <w:lang w:val="en-US"/>
        </w:rPr>
        <w:t>he phenomenon of conflicting results may</w:t>
      </w:r>
      <w:r w:rsidR="002D2644" w:rsidRPr="002C24A8">
        <w:rPr>
          <w:rFonts w:ascii="Times New Roman" w:hAnsi="Times New Roman" w:cs="Times New Roman"/>
          <w:sz w:val="24"/>
          <w:szCs w:val="24"/>
          <w:lang w:val="en-US"/>
        </w:rPr>
        <w:t xml:space="preserve"> </w:t>
      </w:r>
      <w:r w:rsidR="00C81B6C" w:rsidRPr="002C24A8">
        <w:rPr>
          <w:rFonts w:ascii="Times New Roman" w:hAnsi="Times New Roman" w:cs="Times New Roman"/>
          <w:sz w:val="24"/>
          <w:szCs w:val="24"/>
          <w:lang w:val="en-US"/>
        </w:rPr>
        <w:t xml:space="preserve">however also </w:t>
      </w:r>
      <w:r w:rsidR="001E6CF0" w:rsidRPr="002C24A8">
        <w:rPr>
          <w:rFonts w:ascii="Times New Roman" w:hAnsi="Times New Roman" w:cs="Times New Roman"/>
          <w:sz w:val="24"/>
          <w:szCs w:val="24"/>
          <w:lang w:val="en-US"/>
        </w:rPr>
        <w:t xml:space="preserve">be attributed to the fact that there are </w:t>
      </w:r>
      <w:r w:rsidR="002D2644" w:rsidRPr="002C24A8">
        <w:rPr>
          <w:rFonts w:ascii="Times New Roman" w:hAnsi="Times New Roman" w:cs="Times New Roman"/>
          <w:sz w:val="24"/>
          <w:szCs w:val="24"/>
          <w:lang w:val="en-US"/>
        </w:rPr>
        <w:t>missing</w:t>
      </w:r>
      <w:r w:rsidR="00163BB9" w:rsidRPr="002C24A8">
        <w:rPr>
          <w:rFonts w:ascii="Times New Roman" w:hAnsi="Times New Roman" w:cs="Times New Roman"/>
          <w:sz w:val="24"/>
          <w:szCs w:val="24"/>
          <w:lang w:val="en-US"/>
        </w:rPr>
        <w:t xml:space="preserve"> </w:t>
      </w:r>
      <w:r w:rsidR="001E6CF0" w:rsidRPr="002C24A8">
        <w:rPr>
          <w:rFonts w:ascii="Times New Roman" w:hAnsi="Times New Roman" w:cs="Times New Roman"/>
          <w:sz w:val="24"/>
          <w:szCs w:val="24"/>
          <w:lang w:val="en-US"/>
        </w:rPr>
        <w:t>links between CSR activities and firms’ performance which have</w:t>
      </w:r>
      <w:r w:rsidR="006D52D6" w:rsidRPr="002C24A8">
        <w:rPr>
          <w:rFonts w:ascii="Times New Roman" w:hAnsi="Times New Roman" w:cs="Times New Roman"/>
          <w:sz w:val="24"/>
          <w:szCs w:val="24"/>
          <w:lang w:val="en-US"/>
        </w:rPr>
        <w:t xml:space="preserve"> </w:t>
      </w:r>
      <w:r w:rsidR="001E6CF0" w:rsidRPr="002C24A8">
        <w:rPr>
          <w:rFonts w:ascii="Times New Roman" w:hAnsi="Times New Roman" w:cs="Times New Roman"/>
          <w:sz w:val="24"/>
          <w:szCs w:val="24"/>
          <w:lang w:val="en-US"/>
        </w:rPr>
        <w:t>n</w:t>
      </w:r>
      <w:r w:rsidR="006D52D6" w:rsidRPr="002C24A8">
        <w:rPr>
          <w:rFonts w:ascii="Times New Roman" w:hAnsi="Times New Roman" w:cs="Times New Roman"/>
          <w:sz w:val="24"/>
          <w:szCs w:val="24"/>
          <w:lang w:val="en-US"/>
        </w:rPr>
        <w:t>o</w:t>
      </w:r>
      <w:r w:rsidR="001E6CF0" w:rsidRPr="002C24A8">
        <w:rPr>
          <w:rFonts w:ascii="Times New Roman" w:hAnsi="Times New Roman" w:cs="Times New Roman"/>
          <w:sz w:val="24"/>
          <w:szCs w:val="24"/>
          <w:lang w:val="en-US"/>
        </w:rPr>
        <w:t>t been thoroughly parameterized, analyzed and explained (</w:t>
      </w:r>
      <w:r w:rsidR="00E164B7" w:rsidRPr="002C24A8">
        <w:rPr>
          <w:rFonts w:ascii="Times New Roman" w:hAnsi="Times New Roman" w:cs="Times New Roman"/>
          <w:sz w:val="24"/>
          <w:szCs w:val="24"/>
          <w:lang w:val="en-US"/>
        </w:rPr>
        <w:t xml:space="preserve">Isaksson and Woodside, 2016; Bhardwaj </w:t>
      </w:r>
      <w:r w:rsidR="001E6CF0" w:rsidRPr="002C24A8">
        <w:rPr>
          <w:rFonts w:ascii="Times New Roman" w:hAnsi="Times New Roman" w:cs="Times New Roman"/>
          <w:sz w:val="24"/>
          <w:szCs w:val="24"/>
          <w:lang w:val="en-US"/>
        </w:rPr>
        <w:t xml:space="preserve">et al. 2018). </w:t>
      </w:r>
      <w:bookmarkStart w:id="0" w:name="_Hlk7333052"/>
      <w:r w:rsidR="001E6CF0" w:rsidRPr="002C24A8">
        <w:rPr>
          <w:rFonts w:ascii="Times New Roman" w:hAnsi="Times New Roman" w:cs="Times New Roman"/>
          <w:sz w:val="24"/>
          <w:szCs w:val="24"/>
          <w:lang w:val="en-US"/>
        </w:rPr>
        <w:t>Lioui and Sharma (2012) refer to th</w:t>
      </w:r>
      <w:r w:rsidR="00C81B6C" w:rsidRPr="002C24A8">
        <w:rPr>
          <w:rFonts w:ascii="Times New Roman" w:hAnsi="Times New Roman" w:cs="Times New Roman"/>
          <w:sz w:val="24"/>
          <w:szCs w:val="24"/>
          <w:lang w:val="en-US"/>
        </w:rPr>
        <w:t>e</w:t>
      </w:r>
      <w:r w:rsidR="001E6CF0" w:rsidRPr="002C24A8">
        <w:rPr>
          <w:rFonts w:ascii="Times New Roman" w:hAnsi="Times New Roman" w:cs="Times New Roman"/>
          <w:sz w:val="24"/>
          <w:szCs w:val="24"/>
          <w:lang w:val="en-US"/>
        </w:rPr>
        <w:t>s</w:t>
      </w:r>
      <w:r w:rsidR="00C81B6C" w:rsidRPr="002C24A8">
        <w:rPr>
          <w:rFonts w:ascii="Times New Roman" w:hAnsi="Times New Roman" w:cs="Times New Roman"/>
          <w:sz w:val="24"/>
          <w:szCs w:val="24"/>
          <w:lang w:val="en-US"/>
        </w:rPr>
        <w:t>e</w:t>
      </w:r>
      <w:r w:rsidR="001E6CF0" w:rsidRPr="002C24A8">
        <w:rPr>
          <w:rFonts w:ascii="Times New Roman" w:hAnsi="Times New Roman" w:cs="Times New Roman"/>
          <w:sz w:val="24"/>
          <w:szCs w:val="24"/>
          <w:lang w:val="en-US"/>
        </w:rPr>
        <w:t xml:space="preserve"> ‘missing link</w:t>
      </w:r>
      <w:r w:rsidR="00C81B6C" w:rsidRPr="002C24A8">
        <w:rPr>
          <w:rFonts w:ascii="Times New Roman" w:hAnsi="Times New Roman" w:cs="Times New Roman"/>
          <w:sz w:val="24"/>
          <w:szCs w:val="24"/>
          <w:lang w:val="en-US"/>
        </w:rPr>
        <w:t>s</w:t>
      </w:r>
      <w:r w:rsidR="001E6CF0" w:rsidRPr="002C24A8">
        <w:rPr>
          <w:rFonts w:ascii="Times New Roman" w:hAnsi="Times New Roman" w:cs="Times New Roman"/>
          <w:sz w:val="24"/>
          <w:szCs w:val="24"/>
          <w:lang w:val="en-US"/>
        </w:rPr>
        <w:t>’ as the indirect effects of CSR on firms’ performance</w:t>
      </w:r>
      <w:r w:rsidR="00C81B6C" w:rsidRPr="002C24A8">
        <w:rPr>
          <w:rFonts w:ascii="Times New Roman" w:hAnsi="Times New Roman" w:cs="Times New Roman"/>
          <w:sz w:val="24"/>
          <w:szCs w:val="24"/>
          <w:lang w:val="en-US"/>
        </w:rPr>
        <w:t>,</w:t>
      </w:r>
      <w:r w:rsidR="001E6CF0" w:rsidRPr="002C24A8">
        <w:rPr>
          <w:rFonts w:ascii="Times New Roman" w:hAnsi="Times New Roman" w:cs="Times New Roman"/>
          <w:sz w:val="24"/>
          <w:szCs w:val="24"/>
          <w:lang w:val="en-US"/>
        </w:rPr>
        <w:t xml:space="preserve"> which </w:t>
      </w:r>
      <w:r w:rsidR="00B01B19" w:rsidRPr="002C24A8">
        <w:rPr>
          <w:rFonts w:ascii="Times New Roman" w:hAnsi="Times New Roman" w:cs="Times New Roman"/>
          <w:sz w:val="24"/>
          <w:szCs w:val="24"/>
          <w:lang w:val="en-US"/>
        </w:rPr>
        <w:t xml:space="preserve">can give rise to </w:t>
      </w:r>
      <w:r w:rsidR="001E6CF0" w:rsidRPr="002C24A8">
        <w:rPr>
          <w:rFonts w:ascii="Times New Roman" w:hAnsi="Times New Roman" w:cs="Times New Roman"/>
          <w:sz w:val="24"/>
          <w:szCs w:val="24"/>
          <w:lang w:val="en-US"/>
        </w:rPr>
        <w:t>indirect value</w:t>
      </w:r>
      <w:r w:rsidR="00B01B19" w:rsidRPr="002C24A8">
        <w:rPr>
          <w:rFonts w:ascii="Times New Roman" w:hAnsi="Times New Roman" w:cs="Times New Roman"/>
          <w:sz w:val="24"/>
          <w:szCs w:val="24"/>
          <w:lang w:val="en-US"/>
        </w:rPr>
        <w:t xml:space="preserve"> </w:t>
      </w:r>
      <w:r w:rsidR="001E6CF0" w:rsidRPr="002C24A8">
        <w:rPr>
          <w:rFonts w:ascii="Times New Roman" w:hAnsi="Times New Roman" w:cs="Times New Roman"/>
          <w:sz w:val="24"/>
          <w:szCs w:val="24"/>
          <w:lang w:val="en-US"/>
        </w:rPr>
        <w:t xml:space="preserve">creation. </w:t>
      </w:r>
      <w:r w:rsidR="00B01B19" w:rsidRPr="002C24A8">
        <w:rPr>
          <w:rFonts w:ascii="Times New Roman" w:hAnsi="Times New Roman" w:cs="Times New Roman"/>
          <w:sz w:val="24"/>
          <w:szCs w:val="24"/>
          <w:lang w:val="en-US"/>
        </w:rPr>
        <w:t xml:space="preserve">Moreover, </w:t>
      </w:r>
      <w:r w:rsidR="001E6CF0" w:rsidRPr="002C24A8">
        <w:rPr>
          <w:rFonts w:ascii="Times New Roman" w:hAnsi="Times New Roman" w:cs="Times New Roman"/>
          <w:sz w:val="24"/>
          <w:szCs w:val="24"/>
          <w:lang w:val="en-US"/>
        </w:rPr>
        <w:t xml:space="preserve">Lioui and Sharma (2012) </w:t>
      </w:r>
      <w:r w:rsidR="00B01B19" w:rsidRPr="002C24A8">
        <w:rPr>
          <w:rFonts w:ascii="Times New Roman" w:hAnsi="Times New Roman" w:cs="Times New Roman"/>
          <w:sz w:val="24"/>
          <w:szCs w:val="24"/>
          <w:lang w:val="en-US"/>
        </w:rPr>
        <w:t xml:space="preserve">contend </w:t>
      </w:r>
      <w:r w:rsidR="001E6CF0" w:rsidRPr="002C24A8">
        <w:rPr>
          <w:rFonts w:ascii="Times New Roman" w:hAnsi="Times New Roman" w:cs="Times New Roman"/>
          <w:sz w:val="24"/>
          <w:szCs w:val="24"/>
          <w:lang w:val="en-US"/>
        </w:rPr>
        <w:t xml:space="preserve">that this indirect effect of CSR activities </w:t>
      </w:r>
      <w:r w:rsidR="00B01B19" w:rsidRPr="002C24A8">
        <w:rPr>
          <w:rFonts w:ascii="Times New Roman" w:hAnsi="Times New Roman" w:cs="Times New Roman"/>
          <w:sz w:val="24"/>
          <w:szCs w:val="24"/>
          <w:lang w:val="en-US"/>
        </w:rPr>
        <w:t>t</w:t>
      </w:r>
      <w:r w:rsidR="001E6CF0" w:rsidRPr="002C24A8">
        <w:rPr>
          <w:rFonts w:ascii="Times New Roman" w:hAnsi="Times New Roman" w:cs="Times New Roman"/>
          <w:sz w:val="24"/>
          <w:szCs w:val="24"/>
          <w:lang w:val="en-US"/>
        </w:rPr>
        <w:t xml:space="preserve">o firms’ performance </w:t>
      </w:r>
      <w:r w:rsidR="00B01B19" w:rsidRPr="002C24A8">
        <w:rPr>
          <w:rFonts w:ascii="Times New Roman" w:hAnsi="Times New Roman" w:cs="Times New Roman"/>
          <w:sz w:val="24"/>
          <w:szCs w:val="24"/>
          <w:lang w:val="en-US"/>
        </w:rPr>
        <w:t xml:space="preserve">comes </w:t>
      </w:r>
      <w:r w:rsidR="001E6CF0" w:rsidRPr="002C24A8">
        <w:rPr>
          <w:rFonts w:ascii="Times New Roman" w:hAnsi="Times New Roman" w:cs="Times New Roman"/>
          <w:sz w:val="24"/>
          <w:szCs w:val="24"/>
          <w:lang w:val="en-US"/>
        </w:rPr>
        <w:t xml:space="preserve">through the </w:t>
      </w:r>
      <w:r w:rsidR="001E6CF0" w:rsidRPr="002C24A8">
        <w:rPr>
          <w:rFonts w:ascii="Times New Roman" w:hAnsi="Times New Roman" w:cs="Times New Roman"/>
          <w:sz w:val="24"/>
          <w:szCs w:val="24"/>
          <w:lang w:val="en-US"/>
        </w:rPr>
        <w:lastRenderedPageBreak/>
        <w:t xml:space="preserve">enhancement of firms’ research and development (R&amp;D) efforts.  </w:t>
      </w:r>
      <w:bookmarkStart w:id="1" w:name="_Hlk7334810"/>
      <w:bookmarkEnd w:id="0"/>
      <w:r w:rsidR="001E6CF0" w:rsidRPr="002C24A8">
        <w:rPr>
          <w:rFonts w:ascii="Times New Roman" w:hAnsi="Times New Roman" w:cs="Times New Roman"/>
          <w:sz w:val="24"/>
          <w:szCs w:val="24"/>
          <w:lang w:val="en-US"/>
        </w:rPr>
        <w:t xml:space="preserve">It is evident </w:t>
      </w:r>
      <w:r w:rsidR="00163BB9" w:rsidRPr="002C24A8">
        <w:rPr>
          <w:rFonts w:ascii="Times New Roman" w:hAnsi="Times New Roman" w:cs="Times New Roman"/>
          <w:sz w:val="24"/>
          <w:szCs w:val="24"/>
          <w:lang w:val="en-US"/>
        </w:rPr>
        <w:t>that there</w:t>
      </w:r>
      <w:r w:rsidR="007D67CE" w:rsidRPr="002C24A8">
        <w:rPr>
          <w:rFonts w:ascii="Times New Roman" w:hAnsi="Times New Roman" w:cs="Times New Roman"/>
          <w:sz w:val="24"/>
          <w:szCs w:val="24"/>
          <w:lang w:val="en-US"/>
        </w:rPr>
        <w:t xml:space="preserve"> </w:t>
      </w:r>
      <w:r w:rsidR="002D2644" w:rsidRPr="002C24A8">
        <w:rPr>
          <w:rFonts w:ascii="Times New Roman" w:hAnsi="Times New Roman" w:cs="Times New Roman"/>
          <w:sz w:val="24"/>
          <w:szCs w:val="24"/>
          <w:lang w:val="en-US"/>
        </w:rPr>
        <w:t xml:space="preserve">remains </w:t>
      </w:r>
      <w:r w:rsidR="007D67CE" w:rsidRPr="002C24A8">
        <w:rPr>
          <w:rFonts w:ascii="Times New Roman" w:hAnsi="Times New Roman" w:cs="Times New Roman"/>
          <w:sz w:val="24"/>
          <w:szCs w:val="24"/>
          <w:lang w:val="en-US"/>
        </w:rPr>
        <w:t xml:space="preserve">a gap </w:t>
      </w:r>
      <w:r w:rsidR="002D2644" w:rsidRPr="002C24A8">
        <w:rPr>
          <w:rFonts w:ascii="Times New Roman" w:hAnsi="Times New Roman" w:cs="Times New Roman"/>
          <w:sz w:val="24"/>
          <w:szCs w:val="24"/>
          <w:lang w:val="en-US"/>
        </w:rPr>
        <w:t>i</w:t>
      </w:r>
      <w:r w:rsidR="007D67CE" w:rsidRPr="002C24A8">
        <w:rPr>
          <w:rFonts w:ascii="Times New Roman" w:hAnsi="Times New Roman" w:cs="Times New Roman"/>
          <w:sz w:val="24"/>
          <w:szCs w:val="24"/>
          <w:lang w:val="en-US"/>
        </w:rPr>
        <w:t xml:space="preserve">n the literature </w:t>
      </w:r>
      <w:r w:rsidR="00006FB4" w:rsidRPr="002C24A8">
        <w:rPr>
          <w:rFonts w:ascii="Times New Roman" w:hAnsi="Times New Roman" w:cs="Times New Roman"/>
          <w:sz w:val="24"/>
          <w:szCs w:val="24"/>
          <w:lang w:val="en-US"/>
        </w:rPr>
        <w:t>to</w:t>
      </w:r>
      <w:r w:rsidR="002F45F3" w:rsidRPr="002C24A8">
        <w:rPr>
          <w:rFonts w:ascii="Times New Roman" w:hAnsi="Times New Roman" w:cs="Times New Roman"/>
          <w:sz w:val="24"/>
          <w:szCs w:val="24"/>
          <w:lang w:val="en-US"/>
        </w:rPr>
        <w:t xml:space="preserve"> investigat</w:t>
      </w:r>
      <w:r w:rsidR="00006FB4" w:rsidRPr="002C24A8">
        <w:rPr>
          <w:rFonts w:ascii="Times New Roman" w:hAnsi="Times New Roman" w:cs="Times New Roman"/>
          <w:sz w:val="24"/>
          <w:szCs w:val="24"/>
          <w:lang w:val="en-US"/>
        </w:rPr>
        <w:t>e</w:t>
      </w:r>
      <w:r w:rsidR="002F45F3" w:rsidRPr="002C24A8">
        <w:rPr>
          <w:rFonts w:ascii="Times New Roman" w:hAnsi="Times New Roman" w:cs="Times New Roman"/>
          <w:sz w:val="24"/>
          <w:szCs w:val="24"/>
          <w:lang w:val="en-US"/>
        </w:rPr>
        <w:t xml:space="preserve"> </w:t>
      </w:r>
      <w:r w:rsidR="00E164B7" w:rsidRPr="002C24A8">
        <w:rPr>
          <w:rFonts w:ascii="Times New Roman" w:hAnsi="Times New Roman" w:cs="Times New Roman"/>
          <w:sz w:val="24"/>
          <w:szCs w:val="24"/>
          <w:lang w:val="en-US"/>
        </w:rPr>
        <w:t xml:space="preserve">the </w:t>
      </w:r>
      <w:r w:rsidR="00CB64AA" w:rsidRPr="002C24A8">
        <w:rPr>
          <w:rFonts w:ascii="Times New Roman" w:hAnsi="Times New Roman" w:cs="Times New Roman"/>
          <w:sz w:val="24"/>
          <w:szCs w:val="24"/>
          <w:lang w:val="en-US"/>
        </w:rPr>
        <w:t>influences</w:t>
      </w:r>
      <w:r w:rsidR="00E164B7" w:rsidRPr="002C24A8">
        <w:rPr>
          <w:rFonts w:ascii="Times New Roman" w:hAnsi="Times New Roman" w:cs="Times New Roman"/>
          <w:sz w:val="24"/>
          <w:szCs w:val="24"/>
          <w:lang w:val="en-US"/>
        </w:rPr>
        <w:t xml:space="preserve"> </w:t>
      </w:r>
      <w:r w:rsidR="007D67CE" w:rsidRPr="002C24A8">
        <w:rPr>
          <w:rFonts w:ascii="Times New Roman" w:hAnsi="Times New Roman" w:cs="Times New Roman"/>
          <w:sz w:val="24"/>
          <w:szCs w:val="24"/>
          <w:lang w:val="en-US"/>
        </w:rPr>
        <w:t>of CSR practices on</w:t>
      </w:r>
      <w:r w:rsidR="001E6CF0" w:rsidRPr="002C24A8">
        <w:rPr>
          <w:rFonts w:ascii="Times New Roman" w:hAnsi="Times New Roman" w:cs="Times New Roman"/>
          <w:sz w:val="24"/>
          <w:szCs w:val="24"/>
          <w:lang w:val="en-US"/>
        </w:rPr>
        <w:t xml:space="preserve"> firms’ performance through </w:t>
      </w:r>
      <w:r w:rsidR="001812EC" w:rsidRPr="002C24A8">
        <w:rPr>
          <w:rFonts w:ascii="Times New Roman" w:hAnsi="Times New Roman" w:cs="Times New Roman"/>
          <w:sz w:val="24"/>
          <w:szCs w:val="24"/>
          <w:lang w:val="en-US"/>
        </w:rPr>
        <w:t>its indirect effect on firms’</w:t>
      </w:r>
      <w:r w:rsidR="007D67CE" w:rsidRPr="002C24A8">
        <w:rPr>
          <w:rFonts w:ascii="Times New Roman" w:hAnsi="Times New Roman" w:cs="Times New Roman"/>
          <w:sz w:val="24"/>
          <w:szCs w:val="24"/>
          <w:lang w:val="en-US"/>
        </w:rPr>
        <w:t xml:space="preserve"> innovation</w:t>
      </w:r>
      <w:r w:rsidR="009E0FC8" w:rsidRPr="002C24A8">
        <w:rPr>
          <w:rFonts w:ascii="Times New Roman" w:hAnsi="Times New Roman" w:cs="Times New Roman"/>
          <w:sz w:val="24"/>
          <w:szCs w:val="24"/>
          <w:lang w:val="en-US"/>
        </w:rPr>
        <w:t xml:space="preserve"> capacity</w:t>
      </w:r>
      <w:bookmarkEnd w:id="1"/>
      <w:r w:rsidR="007D67CE" w:rsidRPr="002C24A8">
        <w:rPr>
          <w:rFonts w:ascii="Times New Roman" w:hAnsi="Times New Roman" w:cs="Times New Roman"/>
          <w:sz w:val="24"/>
          <w:szCs w:val="24"/>
          <w:lang w:val="en-US"/>
        </w:rPr>
        <w:t xml:space="preserve"> (</w:t>
      </w:r>
      <w:r w:rsidR="001E6CF0" w:rsidRPr="002C24A8">
        <w:rPr>
          <w:rFonts w:ascii="Times New Roman" w:hAnsi="Times New Roman" w:cs="Times New Roman"/>
          <w:sz w:val="24"/>
          <w:szCs w:val="24"/>
          <w:lang w:val="en-US"/>
        </w:rPr>
        <w:t xml:space="preserve">McWilliams and Siegel, 2000; Lioui and Sharma, 2012; Hull and Rothenberg, 2008; </w:t>
      </w:r>
      <w:r w:rsidR="007D67CE" w:rsidRPr="002C24A8">
        <w:rPr>
          <w:rFonts w:ascii="Times New Roman" w:hAnsi="Times New Roman" w:cs="Times New Roman"/>
          <w:sz w:val="24"/>
          <w:szCs w:val="24"/>
          <w:lang w:val="en-US"/>
        </w:rPr>
        <w:t>Bocquet et al. 2013</w:t>
      </w:r>
      <w:r w:rsidR="00173B2C" w:rsidRPr="002C24A8">
        <w:rPr>
          <w:rFonts w:ascii="Times New Roman" w:hAnsi="Times New Roman" w:cs="Times New Roman"/>
          <w:sz w:val="24"/>
          <w:szCs w:val="24"/>
          <w:lang w:val="en-US"/>
        </w:rPr>
        <w:t>; Costa et al., 2015)</w:t>
      </w:r>
      <w:r w:rsidR="007D67CE" w:rsidRPr="002C24A8">
        <w:rPr>
          <w:rFonts w:ascii="Times New Roman" w:hAnsi="Times New Roman" w:cs="Times New Roman"/>
          <w:sz w:val="24"/>
          <w:szCs w:val="24"/>
          <w:lang w:val="en-US"/>
        </w:rPr>
        <w:t>.</w:t>
      </w:r>
      <w:r w:rsidR="00173B2C" w:rsidRPr="002C24A8">
        <w:rPr>
          <w:rFonts w:ascii="Times New Roman" w:hAnsi="Times New Roman" w:cs="Times New Roman"/>
          <w:sz w:val="24"/>
          <w:szCs w:val="24"/>
          <w:lang w:val="en-US"/>
        </w:rPr>
        <w:t xml:space="preserve"> </w:t>
      </w:r>
      <w:r w:rsidR="007C567B" w:rsidRPr="002C24A8">
        <w:rPr>
          <w:rFonts w:ascii="Times New Roman" w:hAnsi="Times New Roman" w:cs="Times New Roman"/>
          <w:sz w:val="24"/>
          <w:szCs w:val="24"/>
          <w:lang w:val="en-US"/>
        </w:rPr>
        <w:t xml:space="preserve"> </w:t>
      </w:r>
      <w:bookmarkStart w:id="2" w:name="_Hlk7335733"/>
      <w:r w:rsidR="007C567B" w:rsidRPr="002C24A8">
        <w:rPr>
          <w:rFonts w:ascii="Times New Roman" w:hAnsi="Times New Roman" w:cs="Times New Roman"/>
          <w:sz w:val="24"/>
          <w:szCs w:val="24"/>
          <w:lang w:val="en-US"/>
        </w:rPr>
        <w:t xml:space="preserve">The </w:t>
      </w:r>
      <w:r w:rsidR="007D67CE" w:rsidRPr="002C24A8">
        <w:rPr>
          <w:rFonts w:ascii="Times New Roman" w:hAnsi="Times New Roman" w:cs="Times New Roman"/>
          <w:sz w:val="24"/>
          <w:szCs w:val="24"/>
          <w:lang w:val="en-US"/>
        </w:rPr>
        <w:t xml:space="preserve">European Commission (2011) </w:t>
      </w:r>
      <w:r w:rsidR="001E6CF0" w:rsidRPr="002C24A8">
        <w:rPr>
          <w:rFonts w:ascii="Times New Roman" w:hAnsi="Times New Roman" w:cs="Times New Roman"/>
          <w:sz w:val="24"/>
          <w:szCs w:val="24"/>
          <w:lang w:val="en-US"/>
        </w:rPr>
        <w:t xml:space="preserve">also </w:t>
      </w:r>
      <w:r w:rsidR="007D67CE" w:rsidRPr="002C24A8">
        <w:rPr>
          <w:rFonts w:ascii="Times New Roman" w:hAnsi="Times New Roman" w:cs="Times New Roman"/>
          <w:sz w:val="24"/>
          <w:szCs w:val="24"/>
          <w:lang w:val="en-US"/>
        </w:rPr>
        <w:t>identifies</w:t>
      </w:r>
      <w:r w:rsidR="00E9191B" w:rsidRPr="002C24A8">
        <w:rPr>
          <w:rFonts w:ascii="Times New Roman" w:hAnsi="Times New Roman" w:cs="Times New Roman"/>
          <w:sz w:val="24"/>
          <w:szCs w:val="24"/>
          <w:lang w:val="en-US"/>
        </w:rPr>
        <w:t xml:space="preserve"> </w:t>
      </w:r>
      <w:r w:rsidR="007D67CE" w:rsidRPr="002C24A8">
        <w:rPr>
          <w:rFonts w:ascii="Times New Roman" w:hAnsi="Times New Roman" w:cs="Times New Roman"/>
          <w:sz w:val="24"/>
          <w:szCs w:val="24"/>
          <w:lang w:val="en-US"/>
        </w:rPr>
        <w:t>th</w:t>
      </w:r>
      <w:r w:rsidR="007C567B" w:rsidRPr="002C24A8">
        <w:rPr>
          <w:rFonts w:ascii="Times New Roman" w:hAnsi="Times New Roman" w:cs="Times New Roman"/>
          <w:sz w:val="24"/>
          <w:szCs w:val="24"/>
          <w:lang w:val="en-US"/>
        </w:rPr>
        <w:t>is as a</w:t>
      </w:r>
      <w:r w:rsidR="002F45F3" w:rsidRPr="002C24A8">
        <w:rPr>
          <w:rFonts w:ascii="Times New Roman" w:hAnsi="Times New Roman" w:cs="Times New Roman"/>
          <w:sz w:val="24"/>
          <w:szCs w:val="24"/>
          <w:lang w:val="en-US"/>
        </w:rPr>
        <w:t xml:space="preserve"> </w:t>
      </w:r>
      <w:r w:rsidR="009E0FC8" w:rsidRPr="002C24A8">
        <w:rPr>
          <w:rFonts w:ascii="Times New Roman" w:hAnsi="Times New Roman" w:cs="Times New Roman"/>
          <w:sz w:val="24"/>
          <w:szCs w:val="24"/>
          <w:lang w:val="en-US"/>
        </w:rPr>
        <w:t xml:space="preserve">research </w:t>
      </w:r>
      <w:r w:rsidR="007D67CE" w:rsidRPr="002C24A8">
        <w:rPr>
          <w:rFonts w:ascii="Times New Roman" w:hAnsi="Times New Roman" w:cs="Times New Roman"/>
          <w:sz w:val="24"/>
          <w:szCs w:val="24"/>
          <w:lang w:val="en-US"/>
        </w:rPr>
        <w:t xml:space="preserve">gap </w:t>
      </w:r>
      <w:r w:rsidR="001812EC" w:rsidRPr="002C24A8">
        <w:rPr>
          <w:rFonts w:ascii="Times New Roman" w:hAnsi="Times New Roman" w:cs="Times New Roman"/>
          <w:sz w:val="24"/>
          <w:szCs w:val="24"/>
          <w:lang w:val="en-US"/>
        </w:rPr>
        <w:t xml:space="preserve">and </w:t>
      </w:r>
      <w:r w:rsidR="007C567B" w:rsidRPr="002C24A8">
        <w:rPr>
          <w:rFonts w:ascii="Times New Roman" w:hAnsi="Times New Roman" w:cs="Times New Roman"/>
          <w:sz w:val="24"/>
          <w:szCs w:val="24"/>
          <w:lang w:val="en-US"/>
        </w:rPr>
        <w:t xml:space="preserve">has placed an </w:t>
      </w:r>
      <w:r w:rsidR="001812EC" w:rsidRPr="002C24A8">
        <w:rPr>
          <w:rFonts w:ascii="Times New Roman" w:hAnsi="Times New Roman" w:cs="Times New Roman"/>
          <w:sz w:val="24"/>
          <w:szCs w:val="24"/>
          <w:lang w:val="en-US"/>
        </w:rPr>
        <w:t xml:space="preserve">emphasis </w:t>
      </w:r>
      <w:r w:rsidR="002F45F3" w:rsidRPr="002C24A8">
        <w:rPr>
          <w:rFonts w:ascii="Times New Roman" w:hAnsi="Times New Roman" w:cs="Times New Roman"/>
          <w:sz w:val="24"/>
          <w:szCs w:val="24"/>
          <w:lang w:val="en-US"/>
        </w:rPr>
        <w:t xml:space="preserve">on </w:t>
      </w:r>
      <w:r w:rsidR="001812EC" w:rsidRPr="002C24A8">
        <w:rPr>
          <w:rFonts w:ascii="Times New Roman" w:hAnsi="Times New Roman" w:cs="Times New Roman"/>
          <w:sz w:val="24"/>
          <w:szCs w:val="24"/>
          <w:lang w:val="en-US"/>
        </w:rPr>
        <w:t>the</w:t>
      </w:r>
      <w:r w:rsidR="007C567B" w:rsidRPr="002C24A8">
        <w:rPr>
          <w:rFonts w:ascii="Times New Roman" w:hAnsi="Times New Roman" w:cs="Times New Roman"/>
          <w:sz w:val="24"/>
          <w:szCs w:val="24"/>
          <w:lang w:val="en-US"/>
        </w:rPr>
        <w:t xml:space="preserve"> need to</w:t>
      </w:r>
      <w:r w:rsidR="00A8778E" w:rsidRPr="002C24A8">
        <w:rPr>
          <w:rFonts w:ascii="Times New Roman" w:hAnsi="Times New Roman" w:cs="Times New Roman"/>
          <w:sz w:val="24"/>
          <w:szCs w:val="24"/>
          <w:lang w:val="en-US"/>
        </w:rPr>
        <w:t xml:space="preserve"> </w:t>
      </w:r>
      <w:r w:rsidR="00B9417B" w:rsidRPr="002C24A8">
        <w:rPr>
          <w:rFonts w:ascii="Times New Roman" w:hAnsi="Times New Roman" w:cs="Times New Roman"/>
          <w:sz w:val="24"/>
          <w:szCs w:val="24"/>
          <w:lang w:val="en-US"/>
        </w:rPr>
        <w:t xml:space="preserve">further explore the empirical influences </w:t>
      </w:r>
      <w:r w:rsidR="00E9191B" w:rsidRPr="002C24A8">
        <w:rPr>
          <w:rFonts w:ascii="Times New Roman" w:hAnsi="Times New Roman" w:cs="Times New Roman"/>
          <w:sz w:val="24"/>
          <w:szCs w:val="24"/>
          <w:lang w:val="en-US"/>
        </w:rPr>
        <w:t xml:space="preserve">of CSR </w:t>
      </w:r>
      <w:r w:rsidR="007C567B" w:rsidRPr="002C24A8">
        <w:rPr>
          <w:rFonts w:ascii="Times New Roman" w:hAnsi="Times New Roman" w:cs="Times New Roman"/>
          <w:sz w:val="24"/>
          <w:szCs w:val="24"/>
          <w:lang w:val="en-US"/>
        </w:rPr>
        <w:t>t</w:t>
      </w:r>
      <w:r w:rsidR="001812EC" w:rsidRPr="002C24A8">
        <w:rPr>
          <w:rFonts w:ascii="Times New Roman" w:hAnsi="Times New Roman" w:cs="Times New Roman"/>
          <w:sz w:val="24"/>
          <w:szCs w:val="24"/>
          <w:lang w:val="en-US"/>
        </w:rPr>
        <w:t>o</w:t>
      </w:r>
      <w:r w:rsidR="00A8778E" w:rsidRPr="002C24A8">
        <w:rPr>
          <w:rFonts w:ascii="Times New Roman" w:hAnsi="Times New Roman" w:cs="Times New Roman"/>
          <w:sz w:val="24"/>
          <w:szCs w:val="24"/>
          <w:lang w:val="en-US"/>
        </w:rPr>
        <w:t xml:space="preserve"> economic growth through </w:t>
      </w:r>
      <w:r w:rsidR="007C567B" w:rsidRPr="002C24A8">
        <w:rPr>
          <w:rFonts w:ascii="Times New Roman" w:hAnsi="Times New Roman" w:cs="Times New Roman"/>
          <w:sz w:val="24"/>
          <w:szCs w:val="24"/>
          <w:lang w:val="en-US"/>
        </w:rPr>
        <w:t xml:space="preserve">the process of </w:t>
      </w:r>
      <w:r w:rsidR="00A8778E" w:rsidRPr="002C24A8">
        <w:rPr>
          <w:rFonts w:ascii="Times New Roman" w:hAnsi="Times New Roman" w:cs="Times New Roman"/>
          <w:sz w:val="24"/>
          <w:szCs w:val="24"/>
          <w:lang w:val="en-US"/>
        </w:rPr>
        <w:t>innovation.</w:t>
      </w:r>
      <w:bookmarkEnd w:id="2"/>
    </w:p>
    <w:p w14:paraId="799FD968" w14:textId="67969B41" w:rsidR="00B307A5" w:rsidRPr="002C24A8" w:rsidRDefault="007C567B" w:rsidP="00173B2C">
      <w:pPr>
        <w:spacing w:line="480" w:lineRule="auto"/>
        <w:ind w:firstLine="72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In this paper, given the above identified gap in the literature and set against the backdrop of inst</w:t>
      </w:r>
      <w:r w:rsidR="003449C1" w:rsidRPr="002C24A8">
        <w:rPr>
          <w:rFonts w:ascii="Times New Roman" w:hAnsi="Times New Roman" w:cs="Times New Roman"/>
          <w:sz w:val="24"/>
          <w:szCs w:val="24"/>
          <w:lang w:val="en-US"/>
        </w:rPr>
        <w:t>it</w:t>
      </w:r>
      <w:r w:rsidRPr="002C24A8">
        <w:rPr>
          <w:rFonts w:ascii="Times New Roman" w:hAnsi="Times New Roman" w:cs="Times New Roman"/>
          <w:sz w:val="24"/>
          <w:szCs w:val="24"/>
          <w:lang w:val="en-US"/>
        </w:rPr>
        <w:t>utional relevance</w:t>
      </w:r>
      <w:r w:rsidR="00611E77" w:rsidRPr="002C24A8">
        <w:rPr>
          <w:rFonts w:ascii="Times New Roman" w:hAnsi="Times New Roman" w:cs="Times New Roman"/>
          <w:sz w:val="24"/>
          <w:szCs w:val="24"/>
          <w:lang w:val="en-US"/>
        </w:rPr>
        <w:t xml:space="preserve"> established by the European Commission</w:t>
      </w:r>
      <w:r w:rsidRPr="002C24A8">
        <w:rPr>
          <w:rFonts w:ascii="Times New Roman" w:hAnsi="Times New Roman" w:cs="Times New Roman"/>
          <w:sz w:val="24"/>
          <w:szCs w:val="24"/>
          <w:lang w:val="en-US"/>
        </w:rPr>
        <w:t xml:space="preserve">, we </w:t>
      </w:r>
      <w:r w:rsidR="00242966" w:rsidRPr="002C24A8">
        <w:rPr>
          <w:rFonts w:ascii="Times New Roman" w:hAnsi="Times New Roman" w:cs="Times New Roman"/>
          <w:sz w:val="24"/>
          <w:szCs w:val="24"/>
          <w:lang w:val="en-US"/>
        </w:rPr>
        <w:t xml:space="preserve">explore </w:t>
      </w:r>
      <w:r w:rsidRPr="002C24A8">
        <w:rPr>
          <w:rFonts w:ascii="Times New Roman" w:hAnsi="Times New Roman" w:cs="Times New Roman"/>
          <w:sz w:val="24"/>
          <w:szCs w:val="24"/>
          <w:lang w:val="en-US"/>
        </w:rPr>
        <w:t xml:space="preserve">whether enhanced CSR acts as a stimulant of successful innovation activity. </w:t>
      </w:r>
      <w:r w:rsidR="00A5179F" w:rsidRPr="002C24A8">
        <w:rPr>
          <w:rFonts w:ascii="Times New Roman" w:hAnsi="Times New Roman" w:cs="Times New Roman"/>
          <w:sz w:val="24"/>
          <w:szCs w:val="24"/>
          <w:lang w:val="en-US"/>
        </w:rPr>
        <w:t>Starting out from the premise that CSR ‘needs some sha</w:t>
      </w:r>
      <w:r w:rsidR="006E6D86" w:rsidRPr="002C24A8">
        <w:rPr>
          <w:rFonts w:ascii="Times New Roman" w:hAnsi="Times New Roman" w:cs="Times New Roman"/>
          <w:sz w:val="24"/>
          <w:szCs w:val="24"/>
          <w:lang w:val="en-US"/>
        </w:rPr>
        <w:t>king up’, Mirvis and colleagues</w:t>
      </w:r>
      <w:r w:rsidR="00A5179F" w:rsidRPr="002C24A8">
        <w:rPr>
          <w:rFonts w:ascii="Times New Roman" w:hAnsi="Times New Roman" w:cs="Times New Roman"/>
          <w:sz w:val="24"/>
          <w:szCs w:val="24"/>
          <w:lang w:val="en-US"/>
        </w:rPr>
        <w:t xml:space="preserve"> argue that “successful innovation is about dramatically improving what currently exists or creating something new that is significant and useful. This requires new voices, new ideas, new processes and interactions, and renewed passion to make a difference in the world” (Mirvis et al., n.d.; p. 8). </w:t>
      </w:r>
      <w:r w:rsidR="00994104" w:rsidRPr="002C24A8">
        <w:rPr>
          <w:rFonts w:ascii="Times New Roman" w:hAnsi="Times New Roman" w:cs="Times New Roman"/>
          <w:sz w:val="24"/>
          <w:szCs w:val="24"/>
          <w:lang w:val="en-US"/>
        </w:rPr>
        <w:t>Building on the work of s</w:t>
      </w:r>
      <w:r w:rsidR="0096227F" w:rsidRPr="002C24A8">
        <w:rPr>
          <w:rFonts w:ascii="Times New Roman" w:hAnsi="Times New Roman" w:cs="Times New Roman"/>
          <w:sz w:val="24"/>
          <w:szCs w:val="24"/>
          <w:lang w:val="en-US"/>
        </w:rPr>
        <w:t>takeholder theorists (Freeman, 1984; Donaldson &amp; Preston, 1995; Battacharya &amp; Korschun</w:t>
      </w:r>
      <w:r w:rsidR="0024379C" w:rsidRPr="002C24A8">
        <w:rPr>
          <w:rFonts w:ascii="Times New Roman" w:hAnsi="Times New Roman" w:cs="Times New Roman"/>
          <w:sz w:val="24"/>
          <w:szCs w:val="24"/>
          <w:lang w:val="en-US"/>
        </w:rPr>
        <w:t xml:space="preserve">, 2008; </w:t>
      </w:r>
      <w:r w:rsidR="00303192" w:rsidRPr="002C24A8">
        <w:rPr>
          <w:rFonts w:ascii="Times New Roman" w:hAnsi="Times New Roman" w:cs="Times New Roman"/>
          <w:sz w:val="24"/>
          <w:szCs w:val="24"/>
          <w:lang w:val="en-US"/>
        </w:rPr>
        <w:t xml:space="preserve">Freeman et al., 2010; </w:t>
      </w:r>
      <w:r w:rsidR="009772C4" w:rsidRPr="002C24A8">
        <w:rPr>
          <w:rFonts w:ascii="Times New Roman" w:hAnsi="Times New Roman" w:cs="Times New Roman"/>
          <w:sz w:val="24"/>
          <w:szCs w:val="24"/>
          <w:lang w:val="en-US"/>
        </w:rPr>
        <w:t>Brower &amp; Mahajan, 2013</w:t>
      </w:r>
      <w:r w:rsidR="0096227F" w:rsidRPr="002C24A8">
        <w:rPr>
          <w:rFonts w:ascii="Times New Roman" w:hAnsi="Times New Roman" w:cs="Times New Roman"/>
          <w:sz w:val="24"/>
          <w:szCs w:val="24"/>
          <w:lang w:val="en-US"/>
        </w:rPr>
        <w:t xml:space="preserve">) </w:t>
      </w:r>
      <w:r w:rsidR="00994104" w:rsidRPr="002C24A8">
        <w:rPr>
          <w:rFonts w:ascii="Times New Roman" w:hAnsi="Times New Roman" w:cs="Times New Roman"/>
          <w:sz w:val="24"/>
          <w:szCs w:val="24"/>
          <w:lang w:val="en-US"/>
        </w:rPr>
        <w:t xml:space="preserve">who </w:t>
      </w:r>
      <w:r w:rsidR="0096227F" w:rsidRPr="002C24A8">
        <w:rPr>
          <w:rFonts w:ascii="Times New Roman" w:hAnsi="Times New Roman" w:cs="Times New Roman"/>
          <w:sz w:val="24"/>
          <w:szCs w:val="24"/>
          <w:lang w:val="en-US"/>
        </w:rPr>
        <w:t xml:space="preserve">remind us that managers </w:t>
      </w:r>
      <w:r w:rsidR="00637747" w:rsidRPr="002C24A8">
        <w:rPr>
          <w:rFonts w:ascii="Times New Roman" w:hAnsi="Times New Roman" w:cs="Times New Roman"/>
          <w:sz w:val="24"/>
          <w:szCs w:val="24"/>
          <w:lang w:val="en-US"/>
        </w:rPr>
        <w:t xml:space="preserve">seek </w:t>
      </w:r>
      <w:r w:rsidR="0096227F" w:rsidRPr="002C24A8">
        <w:rPr>
          <w:rFonts w:ascii="Times New Roman" w:hAnsi="Times New Roman" w:cs="Times New Roman"/>
          <w:sz w:val="24"/>
          <w:szCs w:val="24"/>
          <w:lang w:val="en-US"/>
        </w:rPr>
        <w:t>to satisfy a variety of constituents who can influence or are influenced by the firm’s objectives</w:t>
      </w:r>
      <w:r w:rsidR="00994104" w:rsidRPr="002C24A8">
        <w:rPr>
          <w:rFonts w:ascii="Times New Roman" w:hAnsi="Times New Roman" w:cs="Times New Roman"/>
          <w:sz w:val="24"/>
          <w:szCs w:val="24"/>
          <w:lang w:val="en-US"/>
        </w:rPr>
        <w:t xml:space="preserve">, </w:t>
      </w:r>
      <w:r w:rsidR="0024379C" w:rsidRPr="002C24A8">
        <w:rPr>
          <w:rFonts w:ascii="Times New Roman" w:hAnsi="Times New Roman" w:cs="Times New Roman"/>
          <w:sz w:val="24"/>
          <w:szCs w:val="24"/>
          <w:lang w:val="en-US"/>
        </w:rPr>
        <w:t xml:space="preserve">Costa el. (2015) </w:t>
      </w:r>
      <w:r w:rsidR="0096227F" w:rsidRPr="002C24A8">
        <w:rPr>
          <w:rFonts w:ascii="Times New Roman" w:hAnsi="Times New Roman" w:cs="Times New Roman"/>
          <w:sz w:val="24"/>
          <w:szCs w:val="24"/>
          <w:lang w:val="en-US"/>
        </w:rPr>
        <w:t xml:space="preserve">argue </w:t>
      </w:r>
      <w:r w:rsidR="0024379C" w:rsidRPr="002C24A8">
        <w:rPr>
          <w:rFonts w:ascii="Times New Roman" w:hAnsi="Times New Roman" w:cs="Times New Roman"/>
          <w:sz w:val="24"/>
          <w:szCs w:val="24"/>
          <w:lang w:val="en-US"/>
        </w:rPr>
        <w:t xml:space="preserve">that </w:t>
      </w:r>
      <w:r w:rsidR="0096227F" w:rsidRPr="002C24A8">
        <w:rPr>
          <w:rFonts w:ascii="Times New Roman" w:hAnsi="Times New Roman" w:cs="Times New Roman"/>
          <w:sz w:val="24"/>
          <w:szCs w:val="24"/>
          <w:lang w:val="en-US"/>
        </w:rPr>
        <w:t xml:space="preserve">satisfying their organization’s stakeholders depends on managers’ ability to learn </w:t>
      </w:r>
      <w:r w:rsidR="009772C4" w:rsidRPr="002C24A8">
        <w:rPr>
          <w:rFonts w:ascii="Times New Roman" w:hAnsi="Times New Roman" w:cs="Times New Roman"/>
          <w:sz w:val="24"/>
          <w:szCs w:val="24"/>
          <w:lang w:val="en-US"/>
        </w:rPr>
        <w:t xml:space="preserve">about the stakeholder landscape, </w:t>
      </w:r>
      <w:r w:rsidR="0096227F" w:rsidRPr="002C24A8">
        <w:rPr>
          <w:rFonts w:ascii="Times New Roman" w:hAnsi="Times New Roman" w:cs="Times New Roman"/>
          <w:sz w:val="24"/>
          <w:szCs w:val="24"/>
          <w:lang w:val="en-US"/>
        </w:rPr>
        <w:t>develop a good understanding of and effectively incorporate this</w:t>
      </w:r>
      <w:r w:rsidR="00637747" w:rsidRPr="002C24A8">
        <w:rPr>
          <w:rFonts w:ascii="Times New Roman" w:hAnsi="Times New Roman" w:cs="Times New Roman"/>
          <w:sz w:val="24"/>
          <w:szCs w:val="24"/>
          <w:lang w:val="en-US"/>
        </w:rPr>
        <w:t xml:space="preserve"> wide range of interests</w:t>
      </w:r>
      <w:r w:rsidR="0096227F" w:rsidRPr="002C24A8">
        <w:rPr>
          <w:rFonts w:ascii="Times New Roman" w:hAnsi="Times New Roman" w:cs="Times New Roman"/>
          <w:sz w:val="24"/>
          <w:szCs w:val="24"/>
          <w:lang w:val="en-US"/>
        </w:rPr>
        <w:t xml:space="preserve">. </w:t>
      </w:r>
      <w:r w:rsidR="00637747" w:rsidRPr="002C24A8">
        <w:rPr>
          <w:rFonts w:ascii="Times New Roman" w:hAnsi="Times New Roman" w:cs="Times New Roman"/>
          <w:sz w:val="24"/>
          <w:szCs w:val="24"/>
          <w:lang w:val="en-US"/>
        </w:rPr>
        <w:t>Establishing and maintaining g</w:t>
      </w:r>
      <w:r w:rsidR="0096227F" w:rsidRPr="002C24A8">
        <w:rPr>
          <w:rFonts w:ascii="Times New Roman" w:hAnsi="Times New Roman" w:cs="Times New Roman"/>
          <w:sz w:val="24"/>
          <w:szCs w:val="24"/>
          <w:lang w:val="en-US"/>
        </w:rPr>
        <w:t xml:space="preserve">ood external stakeholder relations </w:t>
      </w:r>
      <w:r w:rsidR="00637747" w:rsidRPr="002C24A8">
        <w:rPr>
          <w:rFonts w:ascii="Times New Roman" w:hAnsi="Times New Roman" w:cs="Times New Roman"/>
          <w:sz w:val="24"/>
          <w:szCs w:val="24"/>
          <w:lang w:val="en-US"/>
        </w:rPr>
        <w:t xml:space="preserve">in this framework can </w:t>
      </w:r>
      <w:r w:rsidR="0096227F" w:rsidRPr="002C24A8">
        <w:rPr>
          <w:rFonts w:ascii="Times New Roman" w:hAnsi="Times New Roman" w:cs="Times New Roman"/>
          <w:sz w:val="24"/>
          <w:szCs w:val="24"/>
          <w:lang w:val="en-US"/>
        </w:rPr>
        <w:t xml:space="preserve">enable the firm to access diverse external knowledge and information (Choi &amp; Wang, 2009; Costa et al.; 2015) and thereby increase its absorptive capacity as well as grow its innovation related knowledge, encouraging higher levels of innovation activity </w:t>
      </w:r>
      <w:r w:rsidR="00637747" w:rsidRPr="002C24A8">
        <w:rPr>
          <w:rFonts w:ascii="Times New Roman" w:hAnsi="Times New Roman" w:cs="Times New Roman"/>
          <w:sz w:val="24"/>
          <w:szCs w:val="24"/>
          <w:lang w:val="en-US"/>
        </w:rPr>
        <w:t xml:space="preserve">and capacity </w:t>
      </w:r>
      <w:r w:rsidR="0096227F" w:rsidRPr="002C24A8">
        <w:rPr>
          <w:rFonts w:ascii="Times New Roman" w:hAnsi="Times New Roman" w:cs="Times New Roman"/>
          <w:sz w:val="24"/>
          <w:szCs w:val="24"/>
          <w:lang w:val="en-US"/>
        </w:rPr>
        <w:lastRenderedPageBreak/>
        <w:t xml:space="preserve">(McWilliams &amp; Siegel, 2000). </w:t>
      </w:r>
      <w:r w:rsidR="00637747" w:rsidRPr="002C24A8">
        <w:rPr>
          <w:rFonts w:ascii="Times New Roman" w:hAnsi="Times New Roman" w:cs="Times New Roman"/>
          <w:sz w:val="24"/>
          <w:szCs w:val="24"/>
          <w:lang w:val="en-US"/>
        </w:rPr>
        <w:t xml:space="preserve">Some authors </w:t>
      </w:r>
      <w:r w:rsidR="006E6D86" w:rsidRPr="002C24A8">
        <w:rPr>
          <w:rFonts w:ascii="Times New Roman" w:hAnsi="Times New Roman" w:cs="Times New Roman"/>
          <w:sz w:val="24"/>
          <w:szCs w:val="24"/>
          <w:lang w:val="en-US"/>
        </w:rPr>
        <w:t xml:space="preserve">go so far as to suggest </w:t>
      </w:r>
      <w:r w:rsidR="0096227F" w:rsidRPr="002C24A8">
        <w:rPr>
          <w:rFonts w:ascii="Times New Roman" w:hAnsi="Times New Roman" w:cs="Times New Roman"/>
          <w:sz w:val="24"/>
          <w:szCs w:val="24"/>
          <w:lang w:val="en-US"/>
        </w:rPr>
        <w:t xml:space="preserve">that companies which do not take CSR into account, may not survive as they may </w:t>
      </w:r>
      <w:r w:rsidR="00637747" w:rsidRPr="002C24A8">
        <w:rPr>
          <w:rFonts w:ascii="Times New Roman" w:hAnsi="Times New Roman" w:cs="Times New Roman"/>
          <w:sz w:val="24"/>
          <w:szCs w:val="24"/>
          <w:lang w:val="en-US"/>
        </w:rPr>
        <w:t xml:space="preserve">struggle </w:t>
      </w:r>
      <w:r w:rsidR="0096227F" w:rsidRPr="002C24A8">
        <w:rPr>
          <w:rFonts w:ascii="Times New Roman" w:hAnsi="Times New Roman" w:cs="Times New Roman"/>
          <w:sz w:val="24"/>
          <w:szCs w:val="24"/>
          <w:lang w:val="en-US"/>
        </w:rPr>
        <w:t>to innovate (</w:t>
      </w:r>
      <w:r w:rsidR="00637747" w:rsidRPr="002C24A8">
        <w:rPr>
          <w:rFonts w:ascii="Times New Roman" w:hAnsi="Times New Roman" w:cs="Times New Roman"/>
          <w:sz w:val="24"/>
          <w:szCs w:val="24"/>
          <w:lang w:val="en-US"/>
        </w:rPr>
        <w:t xml:space="preserve">see, e.g., MacGregor et al., 2007; </w:t>
      </w:r>
      <w:r w:rsidR="0096227F" w:rsidRPr="002C24A8">
        <w:rPr>
          <w:rFonts w:ascii="Times New Roman" w:hAnsi="Times New Roman" w:cs="Times New Roman"/>
          <w:sz w:val="24"/>
          <w:szCs w:val="24"/>
          <w:lang w:val="en-US"/>
        </w:rPr>
        <w:t>Mahlouji &amp; Anaraki, 2009).</w:t>
      </w:r>
      <w:r w:rsidR="0024379C" w:rsidRPr="002C24A8">
        <w:rPr>
          <w:rFonts w:ascii="Times New Roman" w:hAnsi="Times New Roman" w:cs="Times New Roman"/>
          <w:sz w:val="24"/>
          <w:szCs w:val="24"/>
          <w:lang w:val="en-US"/>
        </w:rPr>
        <w:t xml:space="preserve"> </w:t>
      </w:r>
      <w:r w:rsidR="008338F8" w:rsidRPr="002C24A8">
        <w:rPr>
          <w:rFonts w:ascii="Times New Roman" w:hAnsi="Times New Roman" w:cs="Times New Roman"/>
          <w:sz w:val="24"/>
          <w:szCs w:val="24"/>
          <w:lang w:val="en-US"/>
        </w:rPr>
        <w:t xml:space="preserve">While not </w:t>
      </w:r>
      <w:r w:rsidR="009772C4" w:rsidRPr="002C24A8">
        <w:rPr>
          <w:rFonts w:ascii="Times New Roman" w:hAnsi="Times New Roman" w:cs="Times New Roman"/>
          <w:sz w:val="24"/>
          <w:szCs w:val="24"/>
          <w:lang w:val="en-US"/>
        </w:rPr>
        <w:t xml:space="preserve">arriving quite at </w:t>
      </w:r>
      <w:r w:rsidR="008338F8" w:rsidRPr="002C24A8">
        <w:rPr>
          <w:rFonts w:ascii="Times New Roman" w:hAnsi="Times New Roman" w:cs="Times New Roman"/>
          <w:sz w:val="24"/>
          <w:szCs w:val="24"/>
          <w:lang w:val="en-US"/>
        </w:rPr>
        <w:t xml:space="preserve">that </w:t>
      </w:r>
      <w:r w:rsidR="009772C4" w:rsidRPr="002C24A8">
        <w:rPr>
          <w:rFonts w:ascii="Times New Roman" w:hAnsi="Times New Roman" w:cs="Times New Roman"/>
          <w:sz w:val="24"/>
          <w:szCs w:val="24"/>
          <w:lang w:val="en-US"/>
        </w:rPr>
        <w:t>conclusion</w:t>
      </w:r>
      <w:r w:rsidR="008338F8" w:rsidRPr="002C24A8">
        <w:rPr>
          <w:rFonts w:ascii="Times New Roman" w:hAnsi="Times New Roman" w:cs="Times New Roman"/>
          <w:sz w:val="24"/>
          <w:szCs w:val="24"/>
          <w:lang w:val="en-US"/>
        </w:rPr>
        <w:t>, Porter and Kramer (2007, 2011) make the case that CSR can be a potent source of innovation and competitive advantage, pointing to a wide range of case studies.</w:t>
      </w:r>
      <w:r w:rsidR="009772C4" w:rsidRPr="002C24A8">
        <w:rPr>
          <w:rFonts w:ascii="Times New Roman" w:hAnsi="Times New Roman" w:cs="Times New Roman"/>
          <w:sz w:val="24"/>
          <w:szCs w:val="24"/>
          <w:lang w:val="en-US"/>
        </w:rPr>
        <w:t xml:space="preserve"> </w:t>
      </w:r>
      <w:r w:rsidR="00637747" w:rsidRPr="002C24A8">
        <w:rPr>
          <w:rFonts w:ascii="Times New Roman" w:hAnsi="Times New Roman" w:cs="Times New Roman"/>
          <w:sz w:val="24"/>
          <w:szCs w:val="24"/>
          <w:lang w:val="en-US"/>
        </w:rPr>
        <w:t xml:space="preserve">In this contribution, we will look </w:t>
      </w:r>
      <w:r w:rsidR="008338F8" w:rsidRPr="002C24A8">
        <w:rPr>
          <w:rFonts w:ascii="Times New Roman" w:hAnsi="Times New Roman" w:cs="Times New Roman"/>
          <w:sz w:val="24"/>
          <w:szCs w:val="24"/>
          <w:lang w:val="en-US"/>
        </w:rPr>
        <w:t xml:space="preserve">more systematically </w:t>
      </w:r>
      <w:r w:rsidR="00637747" w:rsidRPr="002C24A8">
        <w:rPr>
          <w:rFonts w:ascii="Times New Roman" w:hAnsi="Times New Roman" w:cs="Times New Roman"/>
          <w:sz w:val="24"/>
          <w:szCs w:val="24"/>
          <w:lang w:val="en-US"/>
        </w:rPr>
        <w:t>at the link between CSR engagement and innovation performance.</w:t>
      </w:r>
      <w:r w:rsidR="008338F8" w:rsidRPr="002C24A8">
        <w:rPr>
          <w:rFonts w:ascii="Times New Roman" w:hAnsi="Times New Roman" w:cs="Times New Roman"/>
          <w:sz w:val="24"/>
          <w:szCs w:val="24"/>
          <w:lang w:val="en-US"/>
        </w:rPr>
        <w:t xml:space="preserve"> </w:t>
      </w:r>
    </w:p>
    <w:p w14:paraId="111CB423" w14:textId="7BC0846C" w:rsidR="00C81B6C" w:rsidRPr="002C24A8" w:rsidRDefault="009F6C14" w:rsidP="008474D4">
      <w:pPr>
        <w:spacing w:line="480" w:lineRule="auto"/>
        <w:ind w:firstLine="720"/>
        <w:jc w:val="both"/>
        <w:rPr>
          <w:rFonts w:ascii="Times New Roman" w:hAnsi="Times New Roman" w:cs="Times New Roman"/>
          <w:sz w:val="24"/>
          <w:szCs w:val="24"/>
          <w:lang w:val="en-US"/>
        </w:rPr>
      </w:pPr>
      <w:bookmarkStart w:id="3" w:name="_Hlk7381550"/>
      <w:r w:rsidRPr="002C24A8">
        <w:rPr>
          <w:rFonts w:ascii="Times New Roman" w:hAnsi="Times New Roman" w:cs="Times New Roman"/>
          <w:sz w:val="24"/>
          <w:szCs w:val="24"/>
          <w:lang w:val="en-US"/>
        </w:rPr>
        <w:t xml:space="preserve">We advance </w:t>
      </w:r>
      <w:r w:rsidR="00A03779" w:rsidRPr="002C24A8">
        <w:rPr>
          <w:rFonts w:ascii="Times New Roman" w:hAnsi="Times New Roman" w:cs="Times New Roman"/>
          <w:sz w:val="24"/>
          <w:szCs w:val="24"/>
          <w:lang w:val="en-US"/>
        </w:rPr>
        <w:t xml:space="preserve">the </w:t>
      </w:r>
      <w:r w:rsidRPr="002C24A8">
        <w:rPr>
          <w:rFonts w:ascii="Times New Roman" w:hAnsi="Times New Roman" w:cs="Times New Roman"/>
          <w:sz w:val="24"/>
          <w:szCs w:val="24"/>
          <w:lang w:val="en-US"/>
        </w:rPr>
        <w:t xml:space="preserve">literature </w:t>
      </w:r>
      <w:r w:rsidR="00A03779" w:rsidRPr="002C24A8">
        <w:rPr>
          <w:rFonts w:ascii="Times New Roman" w:hAnsi="Times New Roman" w:cs="Times New Roman"/>
          <w:sz w:val="24"/>
          <w:szCs w:val="24"/>
          <w:lang w:val="en-US"/>
        </w:rPr>
        <w:t xml:space="preserve">on innovation </w:t>
      </w:r>
      <w:r w:rsidRPr="002C24A8">
        <w:rPr>
          <w:rFonts w:ascii="Times New Roman" w:hAnsi="Times New Roman" w:cs="Times New Roman"/>
          <w:sz w:val="24"/>
          <w:szCs w:val="24"/>
          <w:lang w:val="en-US"/>
        </w:rPr>
        <w:t>by gleaning new insights</w:t>
      </w:r>
      <w:r w:rsidR="00D11D96" w:rsidRPr="002C24A8">
        <w:rPr>
          <w:rFonts w:ascii="Times New Roman" w:hAnsi="Times New Roman" w:cs="Times New Roman"/>
          <w:sz w:val="24"/>
          <w:szCs w:val="24"/>
          <w:lang w:val="en-US"/>
        </w:rPr>
        <w:t xml:space="preserve"> </w:t>
      </w:r>
      <w:r w:rsidRPr="002C24A8">
        <w:rPr>
          <w:rFonts w:ascii="Times New Roman" w:hAnsi="Times New Roman" w:cs="Times New Roman"/>
          <w:sz w:val="24"/>
          <w:szCs w:val="24"/>
          <w:lang w:val="en-US"/>
        </w:rPr>
        <w:t>on</w:t>
      </w:r>
      <w:r w:rsidR="00843FEF" w:rsidRPr="002C24A8">
        <w:rPr>
          <w:rFonts w:ascii="Times New Roman" w:hAnsi="Times New Roman" w:cs="Times New Roman"/>
          <w:sz w:val="24"/>
          <w:szCs w:val="24"/>
          <w:lang w:val="en-US"/>
        </w:rPr>
        <w:t xml:space="preserve"> the </w:t>
      </w:r>
      <w:r w:rsidRPr="002C24A8">
        <w:rPr>
          <w:rFonts w:ascii="Times New Roman" w:hAnsi="Times New Roman" w:cs="Times New Roman"/>
          <w:sz w:val="24"/>
          <w:szCs w:val="24"/>
          <w:lang w:val="en-US"/>
        </w:rPr>
        <w:t xml:space="preserve">positive </w:t>
      </w:r>
      <w:r w:rsidR="00843FEF" w:rsidRPr="002C24A8">
        <w:rPr>
          <w:rFonts w:ascii="Times New Roman" w:hAnsi="Times New Roman" w:cs="Times New Roman"/>
          <w:sz w:val="24"/>
          <w:szCs w:val="24"/>
          <w:lang w:val="en-US"/>
        </w:rPr>
        <w:t>effect</w:t>
      </w:r>
      <w:r w:rsidRPr="002C24A8">
        <w:rPr>
          <w:rFonts w:ascii="Times New Roman" w:hAnsi="Times New Roman" w:cs="Times New Roman"/>
          <w:sz w:val="24"/>
          <w:szCs w:val="24"/>
          <w:lang w:val="en-US"/>
        </w:rPr>
        <w:t>s</w:t>
      </w:r>
      <w:r w:rsidR="00843FEF" w:rsidRPr="002C24A8">
        <w:rPr>
          <w:rFonts w:ascii="Times New Roman" w:hAnsi="Times New Roman" w:cs="Times New Roman"/>
          <w:sz w:val="24"/>
          <w:szCs w:val="24"/>
          <w:lang w:val="en-US"/>
        </w:rPr>
        <w:t xml:space="preserve"> of firms’ engagement </w:t>
      </w:r>
      <w:r w:rsidR="002F45F3" w:rsidRPr="002C24A8">
        <w:rPr>
          <w:rFonts w:ascii="Times New Roman" w:hAnsi="Times New Roman" w:cs="Times New Roman"/>
          <w:sz w:val="24"/>
          <w:szCs w:val="24"/>
          <w:lang w:val="en-US"/>
        </w:rPr>
        <w:t xml:space="preserve">in </w:t>
      </w:r>
      <w:r w:rsidRPr="002C24A8">
        <w:rPr>
          <w:rFonts w:ascii="Times New Roman" w:hAnsi="Times New Roman" w:cs="Times New Roman"/>
          <w:sz w:val="24"/>
          <w:szCs w:val="24"/>
          <w:lang w:val="en-US"/>
        </w:rPr>
        <w:t xml:space="preserve">corporate </w:t>
      </w:r>
      <w:r w:rsidR="00843FEF" w:rsidRPr="002C24A8">
        <w:rPr>
          <w:rFonts w:ascii="Times New Roman" w:hAnsi="Times New Roman" w:cs="Times New Roman"/>
          <w:sz w:val="24"/>
          <w:szCs w:val="24"/>
          <w:lang w:val="en-US"/>
        </w:rPr>
        <w:t>social responsib</w:t>
      </w:r>
      <w:r w:rsidRPr="002C24A8">
        <w:rPr>
          <w:rFonts w:ascii="Times New Roman" w:hAnsi="Times New Roman" w:cs="Times New Roman"/>
          <w:sz w:val="24"/>
          <w:szCs w:val="24"/>
          <w:lang w:val="en-US"/>
        </w:rPr>
        <w:t>ility</w:t>
      </w:r>
      <w:r w:rsidR="00843FEF" w:rsidRPr="002C24A8">
        <w:rPr>
          <w:rFonts w:ascii="Times New Roman" w:hAnsi="Times New Roman" w:cs="Times New Roman"/>
          <w:sz w:val="24"/>
          <w:szCs w:val="24"/>
          <w:lang w:val="en-US"/>
        </w:rPr>
        <w:t xml:space="preserve"> activities </w:t>
      </w:r>
      <w:r w:rsidRPr="002C24A8">
        <w:rPr>
          <w:rFonts w:ascii="Times New Roman" w:hAnsi="Times New Roman" w:cs="Times New Roman"/>
          <w:sz w:val="24"/>
          <w:szCs w:val="24"/>
          <w:lang w:val="en-US"/>
        </w:rPr>
        <w:t>t</w:t>
      </w:r>
      <w:r w:rsidR="00843FEF" w:rsidRPr="002C24A8">
        <w:rPr>
          <w:rFonts w:ascii="Times New Roman" w:hAnsi="Times New Roman" w:cs="Times New Roman"/>
          <w:sz w:val="24"/>
          <w:szCs w:val="24"/>
          <w:lang w:val="en-US"/>
        </w:rPr>
        <w:t>o their innovation capacity levels.</w:t>
      </w:r>
      <w:r w:rsidR="00306592" w:rsidRPr="002C24A8">
        <w:rPr>
          <w:rFonts w:ascii="Times New Roman" w:hAnsi="Times New Roman" w:cs="Times New Roman"/>
          <w:sz w:val="24"/>
          <w:szCs w:val="24"/>
          <w:lang w:val="en-US"/>
        </w:rPr>
        <w:t xml:space="preserve"> </w:t>
      </w:r>
      <w:r w:rsidR="00531410" w:rsidRPr="002C24A8">
        <w:rPr>
          <w:rFonts w:ascii="Times New Roman" w:hAnsi="Times New Roman" w:cs="Times New Roman"/>
          <w:sz w:val="24"/>
          <w:szCs w:val="24"/>
          <w:lang w:val="en-US"/>
        </w:rPr>
        <w:t>Our analysis</w:t>
      </w:r>
      <w:r w:rsidR="009B4908" w:rsidRPr="002C24A8">
        <w:rPr>
          <w:rFonts w:ascii="Times New Roman" w:hAnsi="Times New Roman" w:cs="Times New Roman"/>
          <w:sz w:val="24"/>
          <w:szCs w:val="24"/>
          <w:lang w:val="en-US"/>
        </w:rPr>
        <w:t>,</w:t>
      </w:r>
      <w:r w:rsidR="00531410" w:rsidRPr="002C24A8">
        <w:rPr>
          <w:rFonts w:ascii="Times New Roman" w:hAnsi="Times New Roman" w:cs="Times New Roman"/>
          <w:sz w:val="24"/>
          <w:szCs w:val="24"/>
          <w:lang w:val="en-US"/>
        </w:rPr>
        <w:t xml:space="preserve"> and evidence</w:t>
      </w:r>
      <w:r w:rsidR="009B4908" w:rsidRPr="002C24A8">
        <w:rPr>
          <w:rFonts w:ascii="Times New Roman" w:hAnsi="Times New Roman" w:cs="Times New Roman"/>
          <w:sz w:val="24"/>
          <w:szCs w:val="24"/>
          <w:lang w:val="en-US"/>
        </w:rPr>
        <w:t>,</w:t>
      </w:r>
      <w:r w:rsidR="00531410" w:rsidRPr="002C24A8">
        <w:rPr>
          <w:rFonts w:ascii="Times New Roman" w:hAnsi="Times New Roman" w:cs="Times New Roman"/>
          <w:sz w:val="24"/>
          <w:szCs w:val="24"/>
          <w:lang w:val="en-US"/>
        </w:rPr>
        <w:t xml:space="preserve"> is consistent with </w:t>
      </w:r>
      <w:r w:rsidR="002619AF" w:rsidRPr="002C24A8">
        <w:rPr>
          <w:rFonts w:ascii="Times New Roman" w:hAnsi="Times New Roman" w:cs="Times New Roman"/>
          <w:sz w:val="24"/>
          <w:szCs w:val="24"/>
          <w:lang w:val="en-US"/>
        </w:rPr>
        <w:t xml:space="preserve">the idea </w:t>
      </w:r>
      <w:r w:rsidR="00531410" w:rsidRPr="002C24A8">
        <w:rPr>
          <w:rFonts w:ascii="Times New Roman" w:hAnsi="Times New Roman" w:cs="Times New Roman"/>
          <w:sz w:val="24"/>
          <w:szCs w:val="24"/>
          <w:lang w:val="en-US"/>
        </w:rPr>
        <w:t>that CSR activities act as a source of organizational ambidexterity, catalyzing both traditional, and non-technological innovation processes</w:t>
      </w:r>
      <w:r w:rsidR="002619AF" w:rsidRPr="002C24A8">
        <w:rPr>
          <w:rFonts w:ascii="Times New Roman" w:hAnsi="Times New Roman" w:cs="Times New Roman"/>
          <w:sz w:val="24"/>
          <w:szCs w:val="24"/>
          <w:lang w:val="en-US"/>
        </w:rPr>
        <w:t xml:space="preserve"> that can be exploited by firms to enhance corporate financial performance</w:t>
      </w:r>
      <w:r w:rsidR="00531410" w:rsidRPr="002C24A8">
        <w:rPr>
          <w:rFonts w:ascii="Times New Roman" w:hAnsi="Times New Roman" w:cs="Times New Roman"/>
          <w:sz w:val="24"/>
          <w:szCs w:val="24"/>
          <w:lang w:val="en-US"/>
        </w:rPr>
        <w:t>.</w:t>
      </w:r>
      <w:bookmarkEnd w:id="3"/>
      <w:r w:rsidR="00843FEF" w:rsidRPr="002C24A8">
        <w:rPr>
          <w:rFonts w:ascii="Times New Roman" w:hAnsi="Times New Roman" w:cs="Times New Roman"/>
          <w:sz w:val="24"/>
          <w:szCs w:val="24"/>
          <w:lang w:val="en-US"/>
        </w:rPr>
        <w:t xml:space="preserve"> For the purpose of our analysis</w:t>
      </w:r>
      <w:r w:rsidR="002F45F3" w:rsidRPr="002C24A8">
        <w:rPr>
          <w:rFonts w:ascii="Times New Roman" w:hAnsi="Times New Roman" w:cs="Times New Roman"/>
          <w:sz w:val="24"/>
          <w:szCs w:val="24"/>
          <w:lang w:val="en-US"/>
        </w:rPr>
        <w:t>,</w:t>
      </w:r>
      <w:r w:rsidR="00843FEF" w:rsidRPr="002C24A8">
        <w:rPr>
          <w:rFonts w:ascii="Times New Roman" w:hAnsi="Times New Roman" w:cs="Times New Roman"/>
          <w:sz w:val="24"/>
          <w:szCs w:val="24"/>
          <w:lang w:val="en-US"/>
        </w:rPr>
        <w:t xml:space="preserve"> we apply a nonparametric frontier estimation</w:t>
      </w:r>
      <w:r w:rsidR="004F31D9">
        <w:rPr>
          <w:rFonts w:ascii="Times New Roman" w:hAnsi="Times New Roman" w:cs="Times New Roman"/>
          <w:sz w:val="24"/>
          <w:szCs w:val="24"/>
          <w:lang w:val="en-US"/>
        </w:rPr>
        <w:t xml:space="preserve"> procedure</w:t>
      </w:r>
      <w:r w:rsidR="00843FEF" w:rsidRPr="002C24A8">
        <w:rPr>
          <w:rFonts w:ascii="Times New Roman" w:hAnsi="Times New Roman" w:cs="Times New Roman"/>
          <w:sz w:val="24"/>
          <w:szCs w:val="24"/>
          <w:lang w:val="en-US"/>
        </w:rPr>
        <w:t xml:space="preserve"> (Daraio and Simar, 2005;</w:t>
      </w:r>
      <w:r w:rsidR="00843FEF" w:rsidRPr="002C24A8">
        <w:rPr>
          <w:lang w:val="en-US"/>
        </w:rPr>
        <w:t xml:space="preserve"> </w:t>
      </w:r>
      <w:r w:rsidR="00843FEF" w:rsidRPr="002C24A8">
        <w:rPr>
          <w:rFonts w:ascii="Times New Roman" w:hAnsi="Times New Roman" w:cs="Times New Roman"/>
          <w:sz w:val="24"/>
          <w:szCs w:val="24"/>
          <w:lang w:val="en-US"/>
        </w:rPr>
        <w:t>Bădin et al., 2012, 2014)</w:t>
      </w:r>
      <w:r w:rsidR="002F45F3" w:rsidRPr="002C24A8">
        <w:rPr>
          <w:rFonts w:ascii="Times New Roman" w:hAnsi="Times New Roman" w:cs="Times New Roman"/>
          <w:sz w:val="24"/>
          <w:szCs w:val="24"/>
          <w:lang w:val="en-US"/>
        </w:rPr>
        <w:t xml:space="preserve">. We examine </w:t>
      </w:r>
      <w:r w:rsidR="00843FEF" w:rsidRPr="002C24A8">
        <w:rPr>
          <w:rFonts w:ascii="Times New Roman" w:hAnsi="Times New Roman" w:cs="Times New Roman"/>
          <w:sz w:val="24"/>
          <w:szCs w:val="24"/>
          <w:lang w:val="en-US"/>
        </w:rPr>
        <w:t>whether firms’</w:t>
      </w:r>
      <w:r w:rsidR="00FE41DF" w:rsidRPr="002C24A8">
        <w:rPr>
          <w:rFonts w:ascii="Times New Roman" w:hAnsi="Times New Roman" w:cs="Times New Roman"/>
          <w:sz w:val="24"/>
          <w:szCs w:val="24"/>
          <w:lang w:val="en-US"/>
        </w:rPr>
        <w:t xml:space="preserve"> involvement i</w:t>
      </w:r>
      <w:r w:rsidR="00843FEF" w:rsidRPr="002C24A8">
        <w:rPr>
          <w:rFonts w:ascii="Times New Roman" w:hAnsi="Times New Roman" w:cs="Times New Roman"/>
          <w:sz w:val="24"/>
          <w:szCs w:val="24"/>
          <w:lang w:val="en-US"/>
        </w:rPr>
        <w:t>n CSR activities affect</w:t>
      </w:r>
      <w:r w:rsidR="00FE41DF" w:rsidRPr="002C24A8">
        <w:rPr>
          <w:rFonts w:ascii="Times New Roman" w:hAnsi="Times New Roman" w:cs="Times New Roman"/>
          <w:sz w:val="24"/>
          <w:szCs w:val="24"/>
          <w:lang w:val="en-US"/>
        </w:rPr>
        <w:t xml:space="preserve">s the </w:t>
      </w:r>
      <w:r w:rsidR="00843FEF" w:rsidRPr="002C24A8">
        <w:rPr>
          <w:rFonts w:ascii="Times New Roman" w:hAnsi="Times New Roman" w:cs="Times New Roman"/>
          <w:sz w:val="24"/>
          <w:szCs w:val="24"/>
          <w:lang w:val="en-US"/>
        </w:rPr>
        <w:t>technological change levels (i.e</w:t>
      </w:r>
      <w:r w:rsidR="00FE41DF" w:rsidRPr="002C24A8">
        <w:rPr>
          <w:rFonts w:ascii="Times New Roman" w:hAnsi="Times New Roman" w:cs="Times New Roman"/>
          <w:sz w:val="24"/>
          <w:szCs w:val="24"/>
          <w:lang w:val="en-US"/>
        </w:rPr>
        <w:t>.,</w:t>
      </w:r>
      <w:r w:rsidR="00843FEF" w:rsidRPr="002C24A8">
        <w:rPr>
          <w:rFonts w:ascii="Times New Roman" w:hAnsi="Times New Roman" w:cs="Times New Roman"/>
          <w:sz w:val="24"/>
          <w:szCs w:val="24"/>
          <w:lang w:val="en-US"/>
        </w:rPr>
        <w:t xml:space="preserve"> movements of firms’ estimated production frontier). According to Shao and Lin (2016)</w:t>
      </w:r>
      <w:r w:rsidR="00FE41DF" w:rsidRPr="002C24A8">
        <w:rPr>
          <w:rFonts w:ascii="Times New Roman" w:hAnsi="Times New Roman" w:cs="Times New Roman"/>
          <w:sz w:val="24"/>
          <w:szCs w:val="24"/>
          <w:lang w:val="en-US"/>
        </w:rPr>
        <w:t>, the</w:t>
      </w:r>
      <w:r w:rsidR="00843FEF" w:rsidRPr="002C24A8">
        <w:rPr>
          <w:rFonts w:ascii="Times New Roman" w:hAnsi="Times New Roman" w:cs="Times New Roman"/>
          <w:sz w:val="24"/>
          <w:szCs w:val="24"/>
          <w:lang w:val="en-US"/>
        </w:rPr>
        <w:t xml:space="preserve"> technological change levels reveal firms’ innovation capacity. </w:t>
      </w:r>
      <w:r w:rsidR="00FE41DF" w:rsidRPr="002C24A8">
        <w:rPr>
          <w:rFonts w:ascii="Times New Roman" w:hAnsi="Times New Roman" w:cs="Times New Roman"/>
          <w:sz w:val="24"/>
          <w:szCs w:val="24"/>
          <w:lang w:val="en-US"/>
        </w:rPr>
        <w:t xml:space="preserve">We use </w:t>
      </w:r>
      <w:r w:rsidR="00843FEF" w:rsidRPr="002C24A8">
        <w:rPr>
          <w:rFonts w:ascii="Times New Roman" w:hAnsi="Times New Roman" w:cs="Times New Roman"/>
          <w:sz w:val="24"/>
          <w:szCs w:val="24"/>
          <w:lang w:val="en-US"/>
        </w:rPr>
        <w:t xml:space="preserve">a sample of 320 Japanese firms over the period </w:t>
      </w:r>
      <w:r w:rsidR="0046776E" w:rsidRPr="002C24A8">
        <w:rPr>
          <w:rFonts w:ascii="Times New Roman" w:hAnsi="Times New Roman" w:cs="Times New Roman"/>
          <w:sz w:val="24"/>
          <w:szCs w:val="24"/>
          <w:lang w:val="en-US"/>
        </w:rPr>
        <w:t>2008-2016</w:t>
      </w:r>
      <w:r w:rsidR="00FE41DF" w:rsidRPr="002C24A8">
        <w:rPr>
          <w:rFonts w:ascii="Times New Roman" w:hAnsi="Times New Roman" w:cs="Times New Roman"/>
          <w:sz w:val="24"/>
          <w:szCs w:val="24"/>
          <w:lang w:val="en-US"/>
        </w:rPr>
        <w:t>. W</w:t>
      </w:r>
      <w:r w:rsidR="0046776E" w:rsidRPr="002C24A8">
        <w:rPr>
          <w:rFonts w:ascii="Times New Roman" w:hAnsi="Times New Roman" w:cs="Times New Roman"/>
          <w:sz w:val="24"/>
          <w:szCs w:val="24"/>
          <w:lang w:val="en-US"/>
        </w:rPr>
        <w:t xml:space="preserve">e apply conditional time-dependent estimators (Mastromarco and Simar, 2015) </w:t>
      </w:r>
      <w:r w:rsidR="00FE41DF" w:rsidRPr="002C24A8">
        <w:rPr>
          <w:rFonts w:ascii="Times New Roman" w:hAnsi="Times New Roman" w:cs="Times New Roman"/>
          <w:sz w:val="24"/>
          <w:szCs w:val="24"/>
          <w:lang w:val="en-US"/>
        </w:rPr>
        <w:t xml:space="preserve">that allow us </w:t>
      </w:r>
      <w:r w:rsidR="0046776E" w:rsidRPr="002C24A8">
        <w:rPr>
          <w:rFonts w:ascii="Times New Roman" w:hAnsi="Times New Roman" w:cs="Times New Roman"/>
          <w:sz w:val="24"/>
          <w:szCs w:val="24"/>
          <w:lang w:val="en-US"/>
        </w:rPr>
        <w:t xml:space="preserve">to </w:t>
      </w:r>
      <w:r w:rsidR="00C71718" w:rsidRPr="002C24A8">
        <w:rPr>
          <w:rFonts w:ascii="Times New Roman" w:hAnsi="Times New Roman" w:cs="Times New Roman"/>
          <w:sz w:val="24"/>
          <w:szCs w:val="24"/>
          <w:lang w:val="en-US"/>
        </w:rPr>
        <w:t>reveal potential</w:t>
      </w:r>
      <w:r w:rsidR="0046776E" w:rsidRPr="002C24A8">
        <w:rPr>
          <w:rFonts w:ascii="Times New Roman" w:hAnsi="Times New Roman" w:cs="Times New Roman"/>
          <w:sz w:val="24"/>
          <w:szCs w:val="24"/>
          <w:lang w:val="en-US"/>
        </w:rPr>
        <w:t xml:space="preserve"> dynamic nonlinear effects of firms’ </w:t>
      </w:r>
      <w:r w:rsidR="004F31D9">
        <w:rPr>
          <w:rFonts w:ascii="Times New Roman" w:hAnsi="Times New Roman" w:cs="Times New Roman"/>
          <w:sz w:val="24"/>
          <w:szCs w:val="24"/>
          <w:lang w:val="en-US"/>
        </w:rPr>
        <w:t>e</w:t>
      </w:r>
      <w:r w:rsidR="0046776E" w:rsidRPr="002C24A8">
        <w:rPr>
          <w:rFonts w:ascii="Times New Roman" w:hAnsi="Times New Roman" w:cs="Times New Roman"/>
          <w:sz w:val="24"/>
          <w:szCs w:val="24"/>
          <w:lang w:val="en-US"/>
        </w:rPr>
        <w:t xml:space="preserve">nvironmental, </w:t>
      </w:r>
      <w:r w:rsidR="004F31D9">
        <w:rPr>
          <w:rFonts w:ascii="Times New Roman" w:hAnsi="Times New Roman" w:cs="Times New Roman"/>
          <w:sz w:val="24"/>
          <w:szCs w:val="24"/>
          <w:lang w:val="en-US"/>
        </w:rPr>
        <w:t>s</w:t>
      </w:r>
      <w:r w:rsidR="0046776E" w:rsidRPr="002C24A8">
        <w:rPr>
          <w:rFonts w:ascii="Times New Roman" w:hAnsi="Times New Roman" w:cs="Times New Roman"/>
          <w:sz w:val="24"/>
          <w:szCs w:val="24"/>
          <w:lang w:val="en-US"/>
        </w:rPr>
        <w:t xml:space="preserve">ocial and </w:t>
      </w:r>
      <w:r w:rsidR="004F31D9">
        <w:rPr>
          <w:rFonts w:ascii="Times New Roman" w:hAnsi="Times New Roman" w:cs="Times New Roman"/>
          <w:sz w:val="24"/>
          <w:szCs w:val="24"/>
          <w:lang w:val="en-US"/>
        </w:rPr>
        <w:t>g</w:t>
      </w:r>
      <w:r w:rsidR="0046776E" w:rsidRPr="002C24A8">
        <w:rPr>
          <w:rFonts w:ascii="Times New Roman" w:hAnsi="Times New Roman" w:cs="Times New Roman"/>
          <w:sz w:val="24"/>
          <w:szCs w:val="24"/>
          <w:lang w:val="en-US"/>
        </w:rPr>
        <w:t>overnance (ESG)</w:t>
      </w:r>
      <w:r w:rsidR="0046776E" w:rsidRPr="002C24A8">
        <w:rPr>
          <w:rStyle w:val="FootnoteReference"/>
          <w:rFonts w:ascii="Times New Roman" w:hAnsi="Times New Roman" w:cs="Times New Roman"/>
          <w:sz w:val="24"/>
          <w:szCs w:val="24"/>
          <w:lang w:val="en-US"/>
        </w:rPr>
        <w:footnoteReference w:id="1"/>
      </w:r>
      <w:r w:rsidR="0046776E" w:rsidRPr="002C24A8">
        <w:rPr>
          <w:rFonts w:ascii="Times New Roman" w:hAnsi="Times New Roman" w:cs="Times New Roman"/>
          <w:sz w:val="24"/>
          <w:szCs w:val="24"/>
          <w:lang w:val="en-US"/>
        </w:rPr>
        <w:t xml:space="preserve"> practices on their innovation capacity levels. </w:t>
      </w:r>
      <w:r w:rsidR="00FE41DF" w:rsidRPr="002C24A8">
        <w:rPr>
          <w:rFonts w:ascii="Times New Roman" w:hAnsi="Times New Roman" w:cs="Times New Roman"/>
          <w:sz w:val="24"/>
          <w:szCs w:val="24"/>
          <w:lang w:val="en-US"/>
        </w:rPr>
        <w:t xml:space="preserve">Our estimation is based </w:t>
      </w:r>
      <w:r w:rsidR="00163BB9" w:rsidRPr="002C24A8">
        <w:rPr>
          <w:rFonts w:ascii="Times New Roman" w:hAnsi="Times New Roman" w:cs="Times New Roman"/>
          <w:sz w:val="24"/>
          <w:szCs w:val="24"/>
          <w:lang w:val="en-US"/>
        </w:rPr>
        <w:t>on the</w:t>
      </w:r>
      <w:r w:rsidR="00FE41DF" w:rsidRPr="002C24A8">
        <w:rPr>
          <w:rFonts w:ascii="Times New Roman" w:hAnsi="Times New Roman" w:cs="Times New Roman"/>
          <w:sz w:val="24"/>
          <w:szCs w:val="24"/>
          <w:lang w:val="en-US"/>
        </w:rPr>
        <w:t xml:space="preserve"> method introduced by </w:t>
      </w:r>
      <w:r w:rsidR="0046776E" w:rsidRPr="002C24A8">
        <w:rPr>
          <w:rFonts w:ascii="Times New Roman" w:hAnsi="Times New Roman" w:cs="Times New Roman"/>
          <w:sz w:val="24"/>
          <w:szCs w:val="24"/>
          <w:lang w:val="en-US"/>
        </w:rPr>
        <w:t>Daraio et al., (2018)</w:t>
      </w:r>
      <w:r w:rsidR="00FE41DF" w:rsidRPr="002C24A8">
        <w:rPr>
          <w:rFonts w:ascii="Times New Roman" w:hAnsi="Times New Roman" w:cs="Times New Roman"/>
          <w:sz w:val="24"/>
          <w:szCs w:val="24"/>
          <w:lang w:val="en-US"/>
        </w:rPr>
        <w:t xml:space="preserve"> that further allows us to </w:t>
      </w:r>
      <w:r w:rsidR="00C71718" w:rsidRPr="002C24A8">
        <w:rPr>
          <w:rFonts w:ascii="Times New Roman" w:hAnsi="Times New Roman" w:cs="Times New Roman"/>
          <w:sz w:val="24"/>
          <w:szCs w:val="24"/>
          <w:lang w:val="en-US"/>
        </w:rPr>
        <w:t xml:space="preserve">assume </w:t>
      </w:r>
      <w:r w:rsidR="0046776E" w:rsidRPr="002C24A8">
        <w:rPr>
          <w:rFonts w:ascii="Times New Roman" w:hAnsi="Times New Roman" w:cs="Times New Roman"/>
          <w:sz w:val="24"/>
          <w:szCs w:val="24"/>
          <w:lang w:val="en-US"/>
        </w:rPr>
        <w:t xml:space="preserve">that </w:t>
      </w:r>
      <w:r w:rsidR="00C71718" w:rsidRPr="002C24A8">
        <w:rPr>
          <w:rFonts w:ascii="Times New Roman" w:hAnsi="Times New Roman" w:cs="Times New Roman"/>
          <w:sz w:val="24"/>
          <w:szCs w:val="24"/>
          <w:lang w:val="en-US"/>
        </w:rPr>
        <w:t xml:space="preserve">firms’ decisions which are related </w:t>
      </w:r>
      <w:r w:rsidR="004F31D9">
        <w:rPr>
          <w:rFonts w:ascii="Times New Roman" w:hAnsi="Times New Roman" w:cs="Times New Roman"/>
          <w:sz w:val="24"/>
          <w:szCs w:val="24"/>
          <w:lang w:val="en-US"/>
        </w:rPr>
        <w:t>t</w:t>
      </w:r>
      <w:r w:rsidR="00C71718" w:rsidRPr="002C24A8">
        <w:rPr>
          <w:rFonts w:ascii="Times New Roman" w:hAnsi="Times New Roman" w:cs="Times New Roman"/>
          <w:sz w:val="24"/>
          <w:szCs w:val="24"/>
          <w:lang w:val="en-US"/>
        </w:rPr>
        <w:t>o</w:t>
      </w:r>
      <w:r w:rsidR="0046776E" w:rsidRPr="002C24A8">
        <w:rPr>
          <w:rFonts w:ascii="Times New Roman" w:hAnsi="Times New Roman" w:cs="Times New Roman"/>
          <w:sz w:val="24"/>
          <w:szCs w:val="24"/>
          <w:lang w:val="en-US"/>
        </w:rPr>
        <w:t xml:space="preserve"> ESG </w:t>
      </w:r>
      <w:r w:rsidR="00C71718" w:rsidRPr="002C24A8">
        <w:rPr>
          <w:rFonts w:ascii="Times New Roman" w:hAnsi="Times New Roman" w:cs="Times New Roman"/>
          <w:sz w:val="24"/>
          <w:szCs w:val="24"/>
          <w:lang w:val="en-US"/>
        </w:rPr>
        <w:t xml:space="preserve">adoption </w:t>
      </w:r>
      <w:r w:rsidR="00163BB9" w:rsidRPr="002C24A8">
        <w:rPr>
          <w:rFonts w:ascii="Times New Roman" w:hAnsi="Times New Roman" w:cs="Times New Roman"/>
          <w:sz w:val="24"/>
          <w:szCs w:val="24"/>
          <w:lang w:val="en-US"/>
        </w:rPr>
        <w:lastRenderedPageBreak/>
        <w:t>criteria, affect</w:t>
      </w:r>
      <w:r w:rsidR="0046776E" w:rsidRPr="002C24A8">
        <w:rPr>
          <w:rFonts w:ascii="Times New Roman" w:hAnsi="Times New Roman" w:cs="Times New Roman"/>
          <w:sz w:val="24"/>
          <w:szCs w:val="24"/>
          <w:lang w:val="en-US"/>
        </w:rPr>
        <w:t xml:space="preserve"> the shape</w:t>
      </w:r>
      <w:r w:rsidR="0046776E" w:rsidRPr="002C24A8">
        <w:rPr>
          <w:lang w:val="en-US"/>
        </w:rPr>
        <w:t xml:space="preserve"> </w:t>
      </w:r>
      <w:r w:rsidR="0046776E" w:rsidRPr="002C24A8">
        <w:rPr>
          <w:rFonts w:ascii="Times New Roman" w:hAnsi="Times New Roman" w:cs="Times New Roman"/>
          <w:sz w:val="24"/>
          <w:szCs w:val="24"/>
          <w:lang w:val="en-US"/>
        </w:rPr>
        <w:t xml:space="preserve">and the level of the boundary of the estimated production frontier alongside with the distribution of firms’ efficiency levels. As a result </w:t>
      </w:r>
      <w:r w:rsidR="00FE41DF" w:rsidRPr="002C24A8">
        <w:rPr>
          <w:rFonts w:ascii="Times New Roman" w:hAnsi="Times New Roman" w:cs="Times New Roman"/>
          <w:sz w:val="24"/>
          <w:szCs w:val="24"/>
          <w:lang w:val="en-US"/>
        </w:rPr>
        <w:t xml:space="preserve">of that, </w:t>
      </w:r>
      <w:r w:rsidR="00C71718" w:rsidRPr="002C24A8">
        <w:rPr>
          <w:rFonts w:ascii="Times New Roman" w:hAnsi="Times New Roman" w:cs="Times New Roman"/>
          <w:sz w:val="24"/>
          <w:szCs w:val="24"/>
          <w:lang w:val="en-US"/>
        </w:rPr>
        <w:t xml:space="preserve">the </w:t>
      </w:r>
      <w:r w:rsidR="004F31D9">
        <w:rPr>
          <w:rFonts w:ascii="Times New Roman" w:hAnsi="Times New Roman" w:cs="Times New Roman"/>
          <w:sz w:val="24"/>
          <w:szCs w:val="24"/>
          <w:lang w:val="en-US"/>
        </w:rPr>
        <w:t>adopted</w:t>
      </w:r>
      <w:r w:rsidR="004F31D9" w:rsidRPr="002C24A8">
        <w:rPr>
          <w:rFonts w:ascii="Times New Roman" w:hAnsi="Times New Roman" w:cs="Times New Roman"/>
          <w:sz w:val="24"/>
          <w:szCs w:val="24"/>
          <w:lang w:val="en-US"/>
        </w:rPr>
        <w:t xml:space="preserve"> </w:t>
      </w:r>
      <w:r w:rsidR="00163BB9" w:rsidRPr="002C24A8">
        <w:rPr>
          <w:rFonts w:ascii="Times New Roman" w:hAnsi="Times New Roman" w:cs="Times New Roman"/>
          <w:sz w:val="24"/>
          <w:szCs w:val="24"/>
          <w:lang w:val="en-US"/>
        </w:rPr>
        <w:t>methods</w:t>
      </w:r>
      <w:r w:rsidR="00706A49" w:rsidRPr="002C24A8">
        <w:rPr>
          <w:rFonts w:ascii="Times New Roman" w:hAnsi="Times New Roman" w:cs="Times New Roman"/>
          <w:sz w:val="24"/>
          <w:szCs w:val="24"/>
          <w:lang w:val="en-US"/>
        </w:rPr>
        <w:t xml:space="preserve"> </w:t>
      </w:r>
      <w:r w:rsidR="0046776E" w:rsidRPr="002C24A8">
        <w:rPr>
          <w:rFonts w:ascii="Times New Roman" w:hAnsi="Times New Roman" w:cs="Times New Roman"/>
          <w:sz w:val="24"/>
          <w:szCs w:val="24"/>
          <w:lang w:val="en-US"/>
        </w:rPr>
        <w:t xml:space="preserve">reveal </w:t>
      </w:r>
      <w:r w:rsidR="00C71718" w:rsidRPr="002C24A8">
        <w:rPr>
          <w:rFonts w:ascii="Times New Roman" w:hAnsi="Times New Roman" w:cs="Times New Roman"/>
          <w:sz w:val="24"/>
          <w:szCs w:val="24"/>
          <w:lang w:val="en-US"/>
        </w:rPr>
        <w:t xml:space="preserve">the existence of potential </w:t>
      </w:r>
      <w:r w:rsidR="0046776E" w:rsidRPr="002C24A8">
        <w:rPr>
          <w:rFonts w:ascii="Times New Roman" w:hAnsi="Times New Roman" w:cs="Times New Roman"/>
          <w:sz w:val="24"/>
          <w:szCs w:val="24"/>
          <w:lang w:val="en-US"/>
        </w:rPr>
        <w:t>dynamic nonlinear effects of ESG practices on firms’ operational performance levels through their impact on firms’ innovation capacity</w:t>
      </w:r>
      <w:r w:rsidR="00C71718" w:rsidRPr="002C24A8">
        <w:rPr>
          <w:rFonts w:ascii="Times New Roman" w:hAnsi="Times New Roman" w:cs="Times New Roman"/>
          <w:sz w:val="24"/>
          <w:szCs w:val="24"/>
          <w:lang w:val="en-US"/>
        </w:rPr>
        <w:t xml:space="preserve"> (technological change</w:t>
      </w:r>
      <w:r w:rsidR="0046776E" w:rsidRPr="002C24A8">
        <w:rPr>
          <w:rFonts w:ascii="Times New Roman" w:hAnsi="Times New Roman" w:cs="Times New Roman"/>
          <w:sz w:val="24"/>
          <w:szCs w:val="24"/>
          <w:lang w:val="en-US"/>
        </w:rPr>
        <w:t>)</w:t>
      </w:r>
      <w:r w:rsidR="00C71718" w:rsidRPr="002C24A8">
        <w:rPr>
          <w:rFonts w:ascii="Times New Roman" w:hAnsi="Times New Roman" w:cs="Times New Roman"/>
          <w:sz w:val="24"/>
          <w:szCs w:val="24"/>
          <w:lang w:val="en-US"/>
        </w:rPr>
        <w:t>.</w:t>
      </w:r>
      <w:r w:rsidR="0046776E" w:rsidRPr="002C24A8">
        <w:rPr>
          <w:rFonts w:ascii="Times New Roman" w:hAnsi="Times New Roman" w:cs="Times New Roman"/>
          <w:sz w:val="24"/>
          <w:szCs w:val="24"/>
          <w:lang w:val="en-US"/>
        </w:rPr>
        <w:t xml:space="preserve"> </w:t>
      </w:r>
    </w:p>
    <w:p w14:paraId="6A6E3DAA" w14:textId="4A9B5FD3" w:rsidR="003F2547" w:rsidRPr="002C24A8" w:rsidRDefault="001240B8" w:rsidP="008474D4">
      <w:pPr>
        <w:spacing w:line="480" w:lineRule="auto"/>
        <w:ind w:firstLine="72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To our </w:t>
      </w:r>
      <w:r w:rsidR="00FE41DF" w:rsidRPr="002C24A8">
        <w:rPr>
          <w:rFonts w:ascii="Times New Roman" w:hAnsi="Times New Roman" w:cs="Times New Roman"/>
          <w:sz w:val="24"/>
          <w:szCs w:val="24"/>
          <w:lang w:val="en-US"/>
        </w:rPr>
        <w:t xml:space="preserve">best </w:t>
      </w:r>
      <w:r w:rsidRPr="002C24A8">
        <w:rPr>
          <w:rFonts w:ascii="Times New Roman" w:hAnsi="Times New Roman" w:cs="Times New Roman"/>
          <w:sz w:val="24"/>
          <w:szCs w:val="24"/>
          <w:lang w:val="en-US"/>
        </w:rPr>
        <w:t xml:space="preserve">knowledge this is the first study which </w:t>
      </w:r>
      <w:r w:rsidR="00706A49" w:rsidRPr="002C24A8">
        <w:rPr>
          <w:rFonts w:ascii="Times New Roman" w:hAnsi="Times New Roman" w:cs="Times New Roman"/>
          <w:sz w:val="24"/>
          <w:szCs w:val="24"/>
          <w:lang w:val="en-US"/>
        </w:rPr>
        <w:t xml:space="preserve">models </w:t>
      </w:r>
      <w:r w:rsidRPr="002C24A8">
        <w:rPr>
          <w:rFonts w:ascii="Times New Roman" w:hAnsi="Times New Roman" w:cs="Times New Roman"/>
          <w:sz w:val="24"/>
          <w:szCs w:val="24"/>
          <w:lang w:val="en-US"/>
        </w:rPr>
        <w:t xml:space="preserve">the </w:t>
      </w:r>
      <w:r w:rsidR="00706A49" w:rsidRPr="002C24A8">
        <w:rPr>
          <w:rFonts w:ascii="Times New Roman" w:hAnsi="Times New Roman" w:cs="Times New Roman"/>
          <w:sz w:val="24"/>
          <w:szCs w:val="24"/>
          <w:lang w:val="en-US"/>
        </w:rPr>
        <w:t xml:space="preserve">indirect </w:t>
      </w:r>
      <w:r w:rsidR="008474D4" w:rsidRPr="002C24A8">
        <w:rPr>
          <w:rFonts w:ascii="Times New Roman" w:hAnsi="Times New Roman" w:cs="Times New Roman"/>
          <w:sz w:val="24"/>
          <w:szCs w:val="24"/>
          <w:lang w:val="en-US"/>
        </w:rPr>
        <w:t xml:space="preserve">effect of CSR practices </w:t>
      </w:r>
      <w:r w:rsidR="00706A49" w:rsidRPr="002C24A8">
        <w:rPr>
          <w:rFonts w:ascii="Times New Roman" w:hAnsi="Times New Roman" w:cs="Times New Roman"/>
          <w:sz w:val="24"/>
          <w:szCs w:val="24"/>
          <w:lang w:val="en-US"/>
        </w:rPr>
        <w:t>on</w:t>
      </w:r>
      <w:r w:rsidR="008474D4" w:rsidRPr="002C24A8">
        <w:rPr>
          <w:rFonts w:ascii="Times New Roman" w:hAnsi="Times New Roman" w:cs="Times New Roman"/>
          <w:sz w:val="24"/>
          <w:szCs w:val="24"/>
          <w:lang w:val="en-US"/>
        </w:rPr>
        <w:t xml:space="preserve"> firms’ performance levels through its impact on firms’ innovation capacity. The relate</w:t>
      </w:r>
      <w:r w:rsidR="006C3E1E" w:rsidRPr="002C24A8">
        <w:rPr>
          <w:rFonts w:ascii="Times New Roman" w:hAnsi="Times New Roman" w:cs="Times New Roman"/>
          <w:sz w:val="24"/>
          <w:szCs w:val="24"/>
          <w:lang w:val="en-US"/>
        </w:rPr>
        <w:t>d</w:t>
      </w:r>
      <w:r w:rsidR="008474D4" w:rsidRPr="002C24A8">
        <w:rPr>
          <w:rFonts w:ascii="Times New Roman" w:hAnsi="Times New Roman" w:cs="Times New Roman"/>
          <w:sz w:val="24"/>
          <w:szCs w:val="24"/>
          <w:lang w:val="en-US"/>
        </w:rPr>
        <w:t xml:space="preserve"> literature (McWilliams and Siegel, 2000; Lioui and Sharma, 2012; Hull and Rothenberg, 2008; Bocquet et al.</w:t>
      </w:r>
      <w:r w:rsidR="004E15D5" w:rsidRPr="002C24A8">
        <w:rPr>
          <w:rFonts w:ascii="Times New Roman" w:hAnsi="Times New Roman" w:cs="Times New Roman"/>
          <w:sz w:val="24"/>
          <w:szCs w:val="24"/>
          <w:lang w:val="en-US"/>
        </w:rPr>
        <w:t>,</w:t>
      </w:r>
      <w:r w:rsidR="008474D4" w:rsidRPr="002C24A8">
        <w:rPr>
          <w:rFonts w:ascii="Times New Roman" w:hAnsi="Times New Roman" w:cs="Times New Roman"/>
          <w:sz w:val="24"/>
          <w:szCs w:val="24"/>
          <w:lang w:val="en-US"/>
        </w:rPr>
        <w:t xml:space="preserve"> 2013) provides empirical evidence of</w:t>
      </w:r>
      <w:r w:rsidR="00706A49" w:rsidRPr="002C24A8">
        <w:rPr>
          <w:rFonts w:ascii="Times New Roman" w:hAnsi="Times New Roman" w:cs="Times New Roman"/>
          <w:sz w:val="24"/>
          <w:szCs w:val="24"/>
          <w:lang w:val="en-US"/>
        </w:rPr>
        <w:t xml:space="preserve"> the impact on</w:t>
      </w:r>
      <w:r w:rsidR="008474D4" w:rsidRPr="002C24A8">
        <w:rPr>
          <w:rFonts w:ascii="Times New Roman" w:hAnsi="Times New Roman" w:cs="Times New Roman"/>
          <w:sz w:val="24"/>
          <w:szCs w:val="24"/>
          <w:lang w:val="en-US"/>
        </w:rPr>
        <w:t xml:space="preserve"> CSR practices on firms’ R&amp;D levels but fail</w:t>
      </w:r>
      <w:r w:rsidR="00C81B6C" w:rsidRPr="002C24A8">
        <w:rPr>
          <w:rFonts w:ascii="Times New Roman" w:hAnsi="Times New Roman" w:cs="Times New Roman"/>
          <w:sz w:val="24"/>
          <w:szCs w:val="24"/>
          <w:lang w:val="en-US"/>
        </w:rPr>
        <w:t>s</w:t>
      </w:r>
      <w:r w:rsidR="008474D4" w:rsidRPr="002C24A8">
        <w:rPr>
          <w:rFonts w:ascii="Times New Roman" w:hAnsi="Times New Roman" w:cs="Times New Roman"/>
          <w:sz w:val="24"/>
          <w:szCs w:val="24"/>
          <w:lang w:val="en-US"/>
        </w:rPr>
        <w:t xml:space="preserve"> to link this indirect effect on firms’ operational performance. Our study fills this gap by </w:t>
      </w:r>
      <w:r w:rsidR="00706A49" w:rsidRPr="002C24A8">
        <w:rPr>
          <w:rFonts w:ascii="Times New Roman" w:hAnsi="Times New Roman" w:cs="Times New Roman"/>
          <w:sz w:val="24"/>
          <w:szCs w:val="24"/>
          <w:lang w:val="en-US"/>
        </w:rPr>
        <w:t xml:space="preserve">using a probabilistic approach for estimating firms’ </w:t>
      </w:r>
      <w:r w:rsidR="008474D4" w:rsidRPr="002C24A8">
        <w:rPr>
          <w:rFonts w:ascii="Times New Roman" w:hAnsi="Times New Roman" w:cs="Times New Roman"/>
          <w:sz w:val="24"/>
          <w:szCs w:val="24"/>
          <w:lang w:val="en-US"/>
        </w:rPr>
        <w:t xml:space="preserve">production frontiers. </w:t>
      </w:r>
      <w:r w:rsidR="008340DE" w:rsidRPr="002C24A8">
        <w:rPr>
          <w:rFonts w:ascii="Times New Roman" w:hAnsi="Times New Roman" w:cs="Times New Roman"/>
          <w:sz w:val="24"/>
          <w:szCs w:val="24"/>
          <w:lang w:val="en-US"/>
        </w:rPr>
        <w:t>The rem</w:t>
      </w:r>
      <w:r w:rsidR="00663B1B" w:rsidRPr="002C24A8">
        <w:rPr>
          <w:rFonts w:ascii="Times New Roman" w:hAnsi="Times New Roman" w:cs="Times New Roman"/>
          <w:sz w:val="24"/>
          <w:szCs w:val="24"/>
          <w:lang w:val="en-US"/>
        </w:rPr>
        <w:t>a</w:t>
      </w:r>
      <w:r w:rsidR="008340DE" w:rsidRPr="002C24A8">
        <w:rPr>
          <w:rFonts w:ascii="Times New Roman" w:hAnsi="Times New Roman" w:cs="Times New Roman"/>
          <w:sz w:val="24"/>
          <w:szCs w:val="24"/>
          <w:lang w:val="en-US"/>
        </w:rPr>
        <w:t xml:space="preserve">inder of the paper is as follows. Section 2 </w:t>
      </w:r>
      <w:r w:rsidR="006C3E1E" w:rsidRPr="002C24A8">
        <w:rPr>
          <w:rFonts w:ascii="Times New Roman" w:hAnsi="Times New Roman" w:cs="Times New Roman"/>
          <w:sz w:val="24"/>
          <w:szCs w:val="24"/>
          <w:lang w:val="en-US"/>
        </w:rPr>
        <w:t>discusses the background</w:t>
      </w:r>
      <w:r w:rsidR="008340DE" w:rsidRPr="002C24A8">
        <w:rPr>
          <w:rFonts w:ascii="Times New Roman" w:hAnsi="Times New Roman" w:cs="Times New Roman"/>
          <w:sz w:val="24"/>
          <w:szCs w:val="24"/>
          <w:lang w:val="en-US"/>
        </w:rPr>
        <w:t xml:space="preserve"> literature, </w:t>
      </w:r>
      <w:r w:rsidR="006C3E1E" w:rsidRPr="002C24A8">
        <w:rPr>
          <w:rFonts w:ascii="Times New Roman" w:hAnsi="Times New Roman" w:cs="Times New Roman"/>
          <w:sz w:val="24"/>
          <w:szCs w:val="24"/>
          <w:lang w:val="en-US"/>
        </w:rPr>
        <w:t>while</w:t>
      </w:r>
      <w:r w:rsidR="008340DE" w:rsidRPr="002C24A8">
        <w:rPr>
          <w:rFonts w:ascii="Times New Roman" w:hAnsi="Times New Roman" w:cs="Times New Roman"/>
          <w:sz w:val="24"/>
          <w:szCs w:val="24"/>
          <w:lang w:val="en-US"/>
        </w:rPr>
        <w:t>, Section 3 presents the data and the methods adopted. Section 4 presents our main findings and finally, the last Section</w:t>
      </w:r>
      <w:r w:rsidR="00AD3975" w:rsidRPr="002C24A8">
        <w:rPr>
          <w:rFonts w:ascii="Times New Roman" w:hAnsi="Times New Roman" w:cs="Times New Roman"/>
          <w:sz w:val="24"/>
          <w:szCs w:val="24"/>
          <w:lang w:val="en-US"/>
        </w:rPr>
        <w:t xml:space="preserve"> offers a discussion of findings vis-à-vis the literature and outlines avenues for further research</w:t>
      </w:r>
      <w:r w:rsidR="008340DE" w:rsidRPr="002C24A8">
        <w:rPr>
          <w:rFonts w:ascii="Times New Roman" w:hAnsi="Times New Roman" w:cs="Times New Roman"/>
          <w:sz w:val="24"/>
          <w:szCs w:val="24"/>
          <w:lang w:val="en-US"/>
        </w:rPr>
        <w:t>.</w:t>
      </w:r>
      <w:r w:rsidR="00A8778E" w:rsidRPr="002C24A8">
        <w:rPr>
          <w:rFonts w:ascii="Times New Roman" w:hAnsi="Times New Roman" w:cs="Times New Roman"/>
          <w:sz w:val="24"/>
          <w:szCs w:val="24"/>
          <w:lang w:val="en-US"/>
        </w:rPr>
        <w:t xml:space="preserve"> </w:t>
      </w:r>
    </w:p>
    <w:p w14:paraId="22409A6C" w14:textId="0DD438BF" w:rsidR="004F401F" w:rsidRPr="002C24A8" w:rsidRDefault="004F401F" w:rsidP="003F2547">
      <w:pPr>
        <w:spacing w:line="480" w:lineRule="auto"/>
        <w:jc w:val="both"/>
        <w:rPr>
          <w:rFonts w:ascii="Times New Roman" w:hAnsi="Times New Roman" w:cs="Times New Roman"/>
          <w:b/>
          <w:sz w:val="24"/>
          <w:szCs w:val="24"/>
          <w:lang w:val="en-US"/>
        </w:rPr>
      </w:pPr>
      <w:r w:rsidRPr="002C24A8">
        <w:rPr>
          <w:rFonts w:ascii="Times New Roman" w:hAnsi="Times New Roman" w:cs="Times New Roman"/>
          <w:b/>
          <w:sz w:val="24"/>
          <w:szCs w:val="24"/>
          <w:lang w:val="en-US"/>
        </w:rPr>
        <w:t xml:space="preserve">2. </w:t>
      </w:r>
      <w:r w:rsidR="00E4324D" w:rsidRPr="002C24A8">
        <w:rPr>
          <w:rFonts w:ascii="Times New Roman" w:hAnsi="Times New Roman" w:cs="Times New Roman"/>
          <w:b/>
          <w:sz w:val="24"/>
          <w:szCs w:val="24"/>
          <w:lang w:val="en-US"/>
        </w:rPr>
        <w:t>Corporate social responsibility as an enabler of firm performance</w:t>
      </w:r>
    </w:p>
    <w:p w14:paraId="44283E46" w14:textId="1227C79C" w:rsidR="00FB773D" w:rsidRPr="002C24A8" w:rsidRDefault="004060CF" w:rsidP="0073295E">
      <w:pPr>
        <w:spacing w:line="480" w:lineRule="auto"/>
        <w:ind w:firstLine="72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In this section we provide a brief synopsis</w:t>
      </w:r>
      <w:r w:rsidR="00FB773D" w:rsidRPr="002C24A8">
        <w:rPr>
          <w:rFonts w:ascii="Times New Roman" w:hAnsi="Times New Roman" w:cs="Times New Roman"/>
          <w:sz w:val="24"/>
          <w:szCs w:val="24"/>
          <w:lang w:val="en-US"/>
        </w:rPr>
        <w:t xml:space="preserve"> of the background literature relevant to our </w:t>
      </w:r>
      <w:r w:rsidRPr="002C24A8">
        <w:rPr>
          <w:rFonts w:ascii="Times New Roman" w:hAnsi="Times New Roman" w:cs="Times New Roman"/>
          <w:sz w:val="24"/>
          <w:szCs w:val="24"/>
          <w:lang w:val="en-US"/>
        </w:rPr>
        <w:t xml:space="preserve">own </w:t>
      </w:r>
      <w:r w:rsidR="00FB773D" w:rsidRPr="002C24A8">
        <w:rPr>
          <w:rFonts w:ascii="Times New Roman" w:hAnsi="Times New Roman" w:cs="Times New Roman"/>
          <w:sz w:val="24"/>
          <w:szCs w:val="24"/>
          <w:lang w:val="en-US"/>
        </w:rPr>
        <w:t>study. There are several</w:t>
      </w:r>
      <w:r w:rsidRPr="002C24A8">
        <w:rPr>
          <w:rFonts w:ascii="Times New Roman" w:hAnsi="Times New Roman" w:cs="Times New Roman"/>
          <w:sz w:val="24"/>
          <w:szCs w:val="24"/>
          <w:lang w:val="en-US"/>
        </w:rPr>
        <w:t xml:space="preserve"> core</w:t>
      </w:r>
      <w:r w:rsidR="00FB773D" w:rsidRPr="002C24A8">
        <w:rPr>
          <w:rFonts w:ascii="Times New Roman" w:hAnsi="Times New Roman" w:cs="Times New Roman"/>
          <w:sz w:val="24"/>
          <w:szCs w:val="24"/>
          <w:lang w:val="en-US"/>
        </w:rPr>
        <w:t xml:space="preserve"> bodies of literature which are relevant. We begin by first </w:t>
      </w:r>
      <w:r w:rsidR="007249AE" w:rsidRPr="002C24A8">
        <w:rPr>
          <w:rFonts w:ascii="Times New Roman" w:hAnsi="Times New Roman" w:cs="Times New Roman"/>
          <w:sz w:val="24"/>
          <w:szCs w:val="24"/>
          <w:lang w:val="en-US"/>
        </w:rPr>
        <w:t xml:space="preserve">setting out the conflicting studies of the CSR-firm performance link and </w:t>
      </w:r>
      <w:r w:rsidR="00FB773D" w:rsidRPr="002C24A8">
        <w:rPr>
          <w:rFonts w:ascii="Times New Roman" w:hAnsi="Times New Roman" w:cs="Times New Roman"/>
          <w:sz w:val="24"/>
          <w:szCs w:val="24"/>
          <w:lang w:val="en-US"/>
        </w:rPr>
        <w:t>briefly reflect on the importance of and perils involved in measuring CSR and</w:t>
      </w:r>
      <w:r w:rsidR="001847DD" w:rsidRPr="002C24A8">
        <w:rPr>
          <w:rFonts w:ascii="Times New Roman" w:hAnsi="Times New Roman" w:cs="Times New Roman"/>
          <w:sz w:val="24"/>
          <w:szCs w:val="24"/>
          <w:lang w:val="en-US"/>
        </w:rPr>
        <w:t xml:space="preserve"> </w:t>
      </w:r>
      <w:r w:rsidR="006A47BF" w:rsidRPr="002C24A8">
        <w:rPr>
          <w:rFonts w:ascii="Times New Roman" w:hAnsi="Times New Roman" w:cs="Times New Roman"/>
          <w:sz w:val="24"/>
          <w:szCs w:val="24"/>
          <w:lang w:val="en-US"/>
        </w:rPr>
        <w:t>corporate social performance (or</w:t>
      </w:r>
      <w:r w:rsidR="00FB773D" w:rsidRPr="002C24A8">
        <w:rPr>
          <w:rFonts w:ascii="Times New Roman" w:hAnsi="Times New Roman" w:cs="Times New Roman"/>
          <w:sz w:val="24"/>
          <w:szCs w:val="24"/>
          <w:lang w:val="en-US"/>
        </w:rPr>
        <w:t xml:space="preserve"> CSP</w:t>
      </w:r>
      <w:r w:rsidR="006A47BF" w:rsidRPr="002C24A8">
        <w:rPr>
          <w:rFonts w:ascii="Times New Roman" w:hAnsi="Times New Roman" w:cs="Times New Roman"/>
          <w:sz w:val="24"/>
          <w:szCs w:val="24"/>
          <w:lang w:val="en-US"/>
        </w:rPr>
        <w:t xml:space="preserve">) i.e. the </w:t>
      </w:r>
      <w:r w:rsidR="004F31D9">
        <w:rPr>
          <w:rFonts w:ascii="Times New Roman" w:hAnsi="Times New Roman" w:cs="Times New Roman"/>
          <w:sz w:val="24"/>
          <w:szCs w:val="24"/>
          <w:lang w:val="en-US"/>
        </w:rPr>
        <w:t>positive/negative outcomes that come with CSR activities</w:t>
      </w:r>
      <w:r w:rsidR="00FB773D" w:rsidRPr="002C24A8">
        <w:rPr>
          <w:rFonts w:ascii="Times New Roman" w:hAnsi="Times New Roman" w:cs="Times New Roman"/>
          <w:sz w:val="24"/>
          <w:szCs w:val="24"/>
          <w:lang w:val="en-US"/>
        </w:rPr>
        <w:t>. We the</w:t>
      </w:r>
      <w:r w:rsidR="007249AE" w:rsidRPr="002C24A8">
        <w:rPr>
          <w:rFonts w:ascii="Times New Roman" w:hAnsi="Times New Roman" w:cs="Times New Roman"/>
          <w:sz w:val="24"/>
          <w:szCs w:val="24"/>
          <w:lang w:val="en-US"/>
        </w:rPr>
        <w:t>n</w:t>
      </w:r>
      <w:r w:rsidR="00FB773D" w:rsidRPr="002C24A8">
        <w:rPr>
          <w:rFonts w:ascii="Times New Roman" w:hAnsi="Times New Roman" w:cs="Times New Roman"/>
          <w:sz w:val="24"/>
          <w:szCs w:val="24"/>
          <w:lang w:val="en-US"/>
        </w:rPr>
        <w:t xml:space="preserve"> move towards a more thorough summary of existing research find</w:t>
      </w:r>
      <w:r w:rsidR="0029126A" w:rsidRPr="002C24A8">
        <w:rPr>
          <w:rFonts w:ascii="Times New Roman" w:hAnsi="Times New Roman" w:cs="Times New Roman"/>
          <w:sz w:val="24"/>
          <w:szCs w:val="24"/>
          <w:lang w:val="en-US"/>
        </w:rPr>
        <w:t>i</w:t>
      </w:r>
      <w:r w:rsidR="00FB773D" w:rsidRPr="002C24A8">
        <w:rPr>
          <w:rFonts w:ascii="Times New Roman" w:hAnsi="Times New Roman" w:cs="Times New Roman"/>
          <w:sz w:val="24"/>
          <w:szCs w:val="24"/>
          <w:lang w:val="en-US"/>
        </w:rPr>
        <w:t xml:space="preserve">ngs on the impact of CSR to firm financial, or operational, performance. </w:t>
      </w:r>
      <w:r w:rsidR="004F31D9">
        <w:rPr>
          <w:rFonts w:ascii="Times New Roman" w:hAnsi="Times New Roman" w:cs="Times New Roman"/>
          <w:sz w:val="24"/>
          <w:szCs w:val="24"/>
          <w:lang w:val="en-US"/>
        </w:rPr>
        <w:t>After this w</w:t>
      </w:r>
      <w:r w:rsidR="00FB773D" w:rsidRPr="002C24A8">
        <w:rPr>
          <w:rFonts w:ascii="Times New Roman" w:hAnsi="Times New Roman" w:cs="Times New Roman"/>
          <w:sz w:val="24"/>
          <w:szCs w:val="24"/>
          <w:lang w:val="en-US"/>
        </w:rPr>
        <w:t xml:space="preserve">e proceed to discuss </w:t>
      </w:r>
      <w:r w:rsidR="0029126A" w:rsidRPr="002C24A8">
        <w:rPr>
          <w:rFonts w:ascii="Times New Roman" w:hAnsi="Times New Roman" w:cs="Times New Roman"/>
          <w:sz w:val="24"/>
          <w:szCs w:val="24"/>
          <w:lang w:val="en-US"/>
        </w:rPr>
        <w:t xml:space="preserve">additional </w:t>
      </w:r>
      <w:r w:rsidR="00FB773D" w:rsidRPr="002C24A8">
        <w:rPr>
          <w:rFonts w:ascii="Times New Roman" w:hAnsi="Times New Roman" w:cs="Times New Roman"/>
          <w:sz w:val="24"/>
          <w:szCs w:val="24"/>
          <w:lang w:val="en-US"/>
        </w:rPr>
        <w:t xml:space="preserve">literature outlining </w:t>
      </w:r>
      <w:r w:rsidR="0029126A" w:rsidRPr="002C24A8">
        <w:rPr>
          <w:rFonts w:ascii="Times New Roman" w:hAnsi="Times New Roman" w:cs="Times New Roman"/>
          <w:sz w:val="24"/>
          <w:szCs w:val="24"/>
          <w:lang w:val="en-US"/>
        </w:rPr>
        <w:t>potentially</w:t>
      </w:r>
      <w:r w:rsidR="00FB773D" w:rsidRPr="002C24A8">
        <w:rPr>
          <w:rFonts w:ascii="Times New Roman" w:hAnsi="Times New Roman" w:cs="Times New Roman"/>
          <w:sz w:val="24"/>
          <w:szCs w:val="24"/>
          <w:lang w:val="en-US"/>
        </w:rPr>
        <w:t xml:space="preserve"> more nuanced channels through which CSR can foster indirect benefits to firm performance</w:t>
      </w:r>
      <w:r w:rsidR="004F31D9">
        <w:rPr>
          <w:rFonts w:ascii="Times New Roman" w:hAnsi="Times New Roman" w:cs="Times New Roman"/>
          <w:sz w:val="24"/>
          <w:szCs w:val="24"/>
          <w:lang w:val="en-US"/>
        </w:rPr>
        <w:t>,</w:t>
      </w:r>
      <w:r w:rsidR="00FB773D" w:rsidRPr="002C24A8">
        <w:rPr>
          <w:rFonts w:ascii="Times New Roman" w:hAnsi="Times New Roman" w:cs="Times New Roman"/>
          <w:sz w:val="24"/>
          <w:szCs w:val="24"/>
          <w:lang w:val="en-US"/>
        </w:rPr>
        <w:t xml:space="preserve"> with a special emphasis on CSR’s role in catalyzing innovation.</w:t>
      </w:r>
      <w:r w:rsidR="0029126A" w:rsidRPr="002C24A8">
        <w:rPr>
          <w:rFonts w:ascii="Times New Roman" w:hAnsi="Times New Roman" w:cs="Times New Roman"/>
          <w:sz w:val="24"/>
          <w:szCs w:val="24"/>
          <w:lang w:val="en-US"/>
        </w:rPr>
        <w:t xml:space="preserve"> </w:t>
      </w:r>
    </w:p>
    <w:p w14:paraId="567C9643" w14:textId="77777777" w:rsidR="00DE5531" w:rsidRPr="002C24A8" w:rsidRDefault="00DE5531" w:rsidP="0073295E">
      <w:pPr>
        <w:spacing w:line="480" w:lineRule="auto"/>
        <w:ind w:firstLine="720"/>
        <w:jc w:val="both"/>
        <w:rPr>
          <w:rFonts w:ascii="Times New Roman" w:hAnsi="Times New Roman" w:cs="Times New Roman"/>
          <w:sz w:val="24"/>
          <w:szCs w:val="24"/>
          <w:lang w:val="en-US"/>
        </w:rPr>
      </w:pPr>
    </w:p>
    <w:p w14:paraId="729BAF51" w14:textId="5286DC32" w:rsidR="00DE5531" w:rsidRPr="002C24A8" w:rsidRDefault="007249AE" w:rsidP="00E11D5D">
      <w:pPr>
        <w:spacing w:line="480" w:lineRule="auto"/>
        <w:jc w:val="both"/>
        <w:rPr>
          <w:rFonts w:ascii="Times New Roman" w:hAnsi="Times New Roman" w:cs="Times New Roman"/>
          <w:i/>
          <w:sz w:val="24"/>
          <w:szCs w:val="24"/>
          <w:lang w:val="en-US"/>
        </w:rPr>
      </w:pPr>
      <w:r w:rsidRPr="002C24A8">
        <w:rPr>
          <w:rFonts w:ascii="Times New Roman" w:hAnsi="Times New Roman" w:cs="Times New Roman"/>
          <w:i/>
          <w:sz w:val="24"/>
          <w:szCs w:val="24"/>
          <w:lang w:val="en-US"/>
        </w:rPr>
        <w:t>2.1 CSR and Firm</w:t>
      </w:r>
      <w:r w:rsidR="00DE5531" w:rsidRPr="002C24A8">
        <w:rPr>
          <w:rFonts w:ascii="Times New Roman" w:hAnsi="Times New Roman" w:cs="Times New Roman"/>
          <w:i/>
          <w:sz w:val="24"/>
          <w:szCs w:val="24"/>
          <w:lang w:val="en-US"/>
        </w:rPr>
        <w:t xml:space="preserve"> Performance</w:t>
      </w:r>
    </w:p>
    <w:p w14:paraId="07C07949" w14:textId="1760736C" w:rsidR="00D37A6C" w:rsidRPr="002C24A8" w:rsidRDefault="00A23DDD" w:rsidP="002176C4">
      <w:pPr>
        <w:spacing w:line="480" w:lineRule="auto"/>
        <w:ind w:firstLine="720"/>
        <w:jc w:val="both"/>
        <w:rPr>
          <w:rFonts w:ascii="Times New Roman" w:hAnsi="Times New Roman" w:cs="Times New Roman"/>
          <w:sz w:val="24"/>
          <w:szCs w:val="24"/>
          <w:lang w:val="en-US"/>
        </w:rPr>
      </w:pPr>
      <w:bookmarkStart w:id="5" w:name="_Hlk7424891"/>
      <w:r w:rsidRPr="002C24A8">
        <w:rPr>
          <w:rFonts w:ascii="Times New Roman" w:hAnsi="Times New Roman" w:cs="Times New Roman"/>
          <w:sz w:val="24"/>
          <w:szCs w:val="24"/>
          <w:lang w:val="en-US"/>
        </w:rPr>
        <w:t xml:space="preserve">There has been a long-standing interest among scholars, in understanding whether CSR activities enhance, diminish, or have no material impact to firm performance. The tension in this hypothesis can be easily established. Good CSR should in principle align with good overall </w:t>
      </w:r>
      <w:r w:rsidR="00747281" w:rsidRPr="002C24A8">
        <w:rPr>
          <w:rFonts w:ascii="Times New Roman" w:hAnsi="Times New Roman" w:cs="Times New Roman"/>
          <w:sz w:val="24"/>
          <w:szCs w:val="24"/>
          <w:lang w:val="en-US"/>
        </w:rPr>
        <w:t>governance, which</w:t>
      </w:r>
      <w:r w:rsidRPr="002C24A8">
        <w:rPr>
          <w:rFonts w:ascii="Times New Roman" w:hAnsi="Times New Roman" w:cs="Times New Roman"/>
          <w:sz w:val="24"/>
          <w:szCs w:val="24"/>
          <w:lang w:val="en-US"/>
        </w:rPr>
        <w:t xml:space="preserve"> is a core component of a strong and sustainable business model (albeit not guaranteed to be) capable of delivering long term financial performance. However good CSR also comes at a cost, requiring firms to engage in new activities to build and maintain their CSR image, some of which having intangible returns. If CSR expenses are material, and returns to CSR intangible, investors and stakeholders may struggle to accurately appraise the long-run value proposition.</w:t>
      </w:r>
      <w:r w:rsidR="009E266C" w:rsidRPr="002C24A8">
        <w:rPr>
          <w:rFonts w:ascii="Times New Roman" w:hAnsi="Times New Roman" w:cs="Times New Roman"/>
          <w:sz w:val="24"/>
          <w:szCs w:val="24"/>
          <w:lang w:val="en-US"/>
        </w:rPr>
        <w:t xml:space="preserve"> The literature studying this relation has until now accrued </w:t>
      </w:r>
      <w:r w:rsidR="004F37AC" w:rsidRPr="002C24A8">
        <w:rPr>
          <w:rFonts w:ascii="Times New Roman" w:hAnsi="Times New Roman" w:cs="Times New Roman"/>
          <w:sz w:val="24"/>
          <w:szCs w:val="24"/>
          <w:lang w:val="en-US"/>
        </w:rPr>
        <w:t xml:space="preserve">in </w:t>
      </w:r>
      <w:r w:rsidR="00747281" w:rsidRPr="002C24A8">
        <w:rPr>
          <w:rFonts w:ascii="Times New Roman" w:hAnsi="Times New Roman" w:cs="Times New Roman"/>
          <w:sz w:val="24"/>
          <w:szCs w:val="24"/>
          <w:lang w:val="en-US"/>
        </w:rPr>
        <w:t>excess</w:t>
      </w:r>
      <w:r w:rsidR="009E266C" w:rsidRPr="002C24A8">
        <w:rPr>
          <w:rFonts w:ascii="Times New Roman" w:hAnsi="Times New Roman" w:cs="Times New Roman"/>
          <w:sz w:val="24"/>
          <w:szCs w:val="24"/>
          <w:lang w:val="en-US"/>
        </w:rPr>
        <w:t xml:space="preserve"> 50 years of </w:t>
      </w:r>
      <w:r w:rsidR="00747281" w:rsidRPr="002C24A8">
        <w:rPr>
          <w:rFonts w:ascii="Times New Roman" w:hAnsi="Times New Roman" w:cs="Times New Roman"/>
          <w:sz w:val="24"/>
          <w:szCs w:val="24"/>
          <w:lang w:val="en-US"/>
        </w:rPr>
        <w:t>contributions and</w:t>
      </w:r>
      <w:r w:rsidR="009E266C" w:rsidRPr="002C24A8">
        <w:rPr>
          <w:rFonts w:ascii="Times New Roman" w:hAnsi="Times New Roman" w:cs="Times New Roman"/>
          <w:sz w:val="24"/>
          <w:szCs w:val="24"/>
          <w:lang w:val="en-US"/>
        </w:rPr>
        <w:t xml:space="preserve"> </w:t>
      </w:r>
      <w:r w:rsidR="004F37AC" w:rsidRPr="002C24A8">
        <w:rPr>
          <w:rFonts w:ascii="Times New Roman" w:hAnsi="Times New Roman" w:cs="Times New Roman"/>
          <w:sz w:val="24"/>
          <w:szCs w:val="24"/>
          <w:lang w:val="en-US"/>
        </w:rPr>
        <w:t xml:space="preserve">is </w:t>
      </w:r>
      <w:r w:rsidR="009E266C" w:rsidRPr="002C24A8">
        <w:rPr>
          <w:rFonts w:ascii="Times New Roman" w:hAnsi="Times New Roman" w:cs="Times New Roman"/>
          <w:sz w:val="24"/>
          <w:szCs w:val="24"/>
          <w:lang w:val="en-US"/>
        </w:rPr>
        <w:t xml:space="preserve">booming </w:t>
      </w:r>
      <w:r w:rsidR="004F37AC" w:rsidRPr="002C24A8">
        <w:rPr>
          <w:rFonts w:ascii="Times New Roman" w:hAnsi="Times New Roman" w:cs="Times New Roman"/>
          <w:sz w:val="24"/>
          <w:szCs w:val="24"/>
          <w:lang w:val="en-US"/>
        </w:rPr>
        <w:t xml:space="preserve">in </w:t>
      </w:r>
      <w:r w:rsidR="009E266C" w:rsidRPr="002C24A8">
        <w:rPr>
          <w:rFonts w:ascii="Times New Roman" w:hAnsi="Times New Roman" w:cs="Times New Roman"/>
          <w:sz w:val="24"/>
          <w:szCs w:val="24"/>
          <w:lang w:val="en-US"/>
        </w:rPr>
        <w:t xml:space="preserve">interest </w:t>
      </w:r>
      <w:r w:rsidR="004F37AC" w:rsidRPr="002C24A8">
        <w:rPr>
          <w:rFonts w:ascii="Times New Roman" w:hAnsi="Times New Roman" w:cs="Times New Roman"/>
          <w:sz w:val="24"/>
          <w:szCs w:val="24"/>
          <w:lang w:val="en-US"/>
        </w:rPr>
        <w:t>dur</w:t>
      </w:r>
      <w:r w:rsidR="009E266C" w:rsidRPr="002C24A8">
        <w:rPr>
          <w:rFonts w:ascii="Times New Roman" w:hAnsi="Times New Roman" w:cs="Times New Roman"/>
          <w:sz w:val="24"/>
          <w:szCs w:val="24"/>
          <w:lang w:val="en-US"/>
        </w:rPr>
        <w:t>in</w:t>
      </w:r>
      <w:r w:rsidR="004F37AC" w:rsidRPr="002C24A8">
        <w:rPr>
          <w:rFonts w:ascii="Times New Roman" w:hAnsi="Times New Roman" w:cs="Times New Roman"/>
          <w:sz w:val="24"/>
          <w:szCs w:val="24"/>
          <w:lang w:val="en-US"/>
        </w:rPr>
        <w:t>g</w:t>
      </w:r>
      <w:r w:rsidR="009E266C" w:rsidRPr="002C24A8">
        <w:rPr>
          <w:rFonts w:ascii="Times New Roman" w:hAnsi="Times New Roman" w:cs="Times New Roman"/>
          <w:sz w:val="24"/>
          <w:szCs w:val="24"/>
          <w:lang w:val="en-US"/>
        </w:rPr>
        <w:t xml:space="preserve"> recent years. In light of the large body of existing literature and in lieu of the fact that </w:t>
      </w:r>
      <w:r w:rsidR="00BD3C3A" w:rsidRPr="002C24A8">
        <w:rPr>
          <w:rFonts w:ascii="Times New Roman" w:hAnsi="Times New Roman" w:cs="Times New Roman"/>
          <w:sz w:val="24"/>
          <w:szCs w:val="24"/>
          <w:lang w:val="en-US"/>
        </w:rPr>
        <w:t>regarding this aspect of the literature we essentially</w:t>
      </w:r>
      <w:r w:rsidR="009E266C" w:rsidRPr="002C24A8">
        <w:rPr>
          <w:rFonts w:ascii="Times New Roman" w:hAnsi="Times New Roman" w:cs="Times New Roman"/>
          <w:sz w:val="24"/>
          <w:szCs w:val="24"/>
          <w:lang w:val="en-US"/>
        </w:rPr>
        <w:t xml:space="preserve"> </w:t>
      </w:r>
      <w:r w:rsidR="00BD3C3A" w:rsidRPr="002C24A8">
        <w:rPr>
          <w:rFonts w:ascii="Times New Roman" w:hAnsi="Times New Roman" w:cs="Times New Roman"/>
          <w:sz w:val="24"/>
          <w:szCs w:val="24"/>
          <w:lang w:val="en-US"/>
        </w:rPr>
        <w:t>‘</w:t>
      </w:r>
      <w:r w:rsidR="009E266C" w:rsidRPr="002C24A8">
        <w:rPr>
          <w:rFonts w:ascii="Times New Roman" w:hAnsi="Times New Roman" w:cs="Times New Roman"/>
          <w:sz w:val="24"/>
          <w:szCs w:val="24"/>
          <w:lang w:val="en-US"/>
        </w:rPr>
        <w:t>inherit</w:t>
      </w:r>
      <w:r w:rsidR="00BD3C3A" w:rsidRPr="002C24A8">
        <w:rPr>
          <w:rFonts w:ascii="Times New Roman" w:hAnsi="Times New Roman" w:cs="Times New Roman"/>
          <w:sz w:val="24"/>
          <w:szCs w:val="24"/>
          <w:lang w:val="en-US"/>
        </w:rPr>
        <w:t>’</w:t>
      </w:r>
      <w:r w:rsidR="009E266C" w:rsidRPr="002C24A8">
        <w:rPr>
          <w:rFonts w:ascii="Times New Roman" w:hAnsi="Times New Roman" w:cs="Times New Roman"/>
          <w:sz w:val="24"/>
          <w:szCs w:val="24"/>
          <w:lang w:val="en-US"/>
        </w:rPr>
        <w:t xml:space="preserve"> existing </w:t>
      </w:r>
      <w:r w:rsidR="00747281" w:rsidRPr="002C24A8">
        <w:rPr>
          <w:rFonts w:ascii="Times New Roman" w:hAnsi="Times New Roman" w:cs="Times New Roman"/>
          <w:sz w:val="24"/>
          <w:szCs w:val="24"/>
          <w:lang w:val="en-US"/>
        </w:rPr>
        <w:t>conceptualizations</w:t>
      </w:r>
      <w:r w:rsidR="00BD3C3A" w:rsidRPr="002C24A8">
        <w:rPr>
          <w:rFonts w:ascii="Times New Roman" w:hAnsi="Times New Roman" w:cs="Times New Roman"/>
          <w:sz w:val="24"/>
          <w:szCs w:val="24"/>
          <w:lang w:val="en-US"/>
        </w:rPr>
        <w:t xml:space="preserve"> and theories</w:t>
      </w:r>
      <w:r w:rsidR="009E266C" w:rsidRPr="002C24A8">
        <w:rPr>
          <w:rFonts w:ascii="Times New Roman" w:hAnsi="Times New Roman" w:cs="Times New Roman"/>
          <w:sz w:val="24"/>
          <w:szCs w:val="24"/>
          <w:lang w:val="en-US"/>
        </w:rPr>
        <w:t>, as opposed to developing new ones</w:t>
      </w:r>
      <w:r w:rsidR="00BD3C3A" w:rsidRPr="002C24A8">
        <w:rPr>
          <w:rFonts w:ascii="Times New Roman" w:hAnsi="Times New Roman" w:cs="Times New Roman"/>
          <w:sz w:val="24"/>
          <w:szCs w:val="24"/>
          <w:lang w:val="en-US"/>
        </w:rPr>
        <w:t xml:space="preserve"> of our own</w:t>
      </w:r>
      <w:r w:rsidR="009E266C" w:rsidRPr="002C24A8">
        <w:rPr>
          <w:rFonts w:ascii="Times New Roman" w:hAnsi="Times New Roman" w:cs="Times New Roman"/>
          <w:sz w:val="24"/>
          <w:szCs w:val="24"/>
          <w:lang w:val="en-US"/>
        </w:rPr>
        <w:t>, to keep our review both succinct and focused we do not provide a comprehensive review of existing work. Instead we take advantage of several high-quality review studies that provide sound coverage of the corpus of prior work.</w:t>
      </w:r>
    </w:p>
    <w:bookmarkEnd w:id="5"/>
    <w:p w14:paraId="2370D7C9" w14:textId="33D3FE47" w:rsidR="007630BC" w:rsidRPr="002C24A8" w:rsidRDefault="00E9191B" w:rsidP="002176C4">
      <w:pPr>
        <w:spacing w:line="480" w:lineRule="auto"/>
        <w:ind w:firstLine="72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Margolis and Walsh (2003) </w:t>
      </w:r>
      <w:r w:rsidR="009E266C" w:rsidRPr="002C24A8">
        <w:rPr>
          <w:rFonts w:ascii="Times New Roman" w:hAnsi="Times New Roman" w:cs="Times New Roman"/>
          <w:sz w:val="24"/>
          <w:szCs w:val="24"/>
          <w:lang w:val="en-US"/>
        </w:rPr>
        <w:t xml:space="preserve">was perhaps the earliest major review article in this space, </w:t>
      </w:r>
      <w:r w:rsidRPr="002C24A8">
        <w:rPr>
          <w:rFonts w:ascii="Times New Roman" w:hAnsi="Times New Roman" w:cs="Times New Roman"/>
          <w:sz w:val="24"/>
          <w:szCs w:val="24"/>
          <w:lang w:val="en-US"/>
        </w:rPr>
        <w:t>provid</w:t>
      </w:r>
      <w:r w:rsidR="009E266C" w:rsidRPr="002C24A8">
        <w:rPr>
          <w:rFonts w:ascii="Times New Roman" w:hAnsi="Times New Roman" w:cs="Times New Roman"/>
          <w:sz w:val="24"/>
          <w:szCs w:val="24"/>
          <w:lang w:val="en-US"/>
        </w:rPr>
        <w:t>ing</w:t>
      </w:r>
      <w:r w:rsidRPr="002C24A8">
        <w:rPr>
          <w:rFonts w:ascii="Times New Roman" w:hAnsi="Times New Roman" w:cs="Times New Roman"/>
          <w:sz w:val="24"/>
          <w:szCs w:val="24"/>
          <w:lang w:val="en-US"/>
        </w:rPr>
        <w:t xml:space="preserve"> an extensive literat</w:t>
      </w:r>
      <w:bookmarkStart w:id="6" w:name="_GoBack"/>
      <w:bookmarkEnd w:id="6"/>
      <w:r w:rsidRPr="002C24A8">
        <w:rPr>
          <w:rFonts w:ascii="Times New Roman" w:hAnsi="Times New Roman" w:cs="Times New Roman"/>
          <w:sz w:val="24"/>
          <w:szCs w:val="24"/>
          <w:lang w:val="en-US"/>
        </w:rPr>
        <w:t xml:space="preserve">ure review of 127 papers </w:t>
      </w:r>
      <w:r w:rsidR="00FE41DF" w:rsidRPr="002C24A8">
        <w:rPr>
          <w:rFonts w:ascii="Times New Roman" w:hAnsi="Times New Roman" w:cs="Times New Roman"/>
          <w:sz w:val="24"/>
          <w:szCs w:val="24"/>
          <w:lang w:val="en-US"/>
        </w:rPr>
        <w:t xml:space="preserve">over the period 1972-2002. They look for </w:t>
      </w:r>
      <w:r w:rsidR="00163BB9" w:rsidRPr="002C24A8">
        <w:rPr>
          <w:rFonts w:ascii="Times New Roman" w:hAnsi="Times New Roman" w:cs="Times New Roman"/>
          <w:sz w:val="24"/>
          <w:szCs w:val="24"/>
          <w:lang w:val="en-US"/>
        </w:rPr>
        <w:t>evidence about</w:t>
      </w:r>
      <w:r w:rsidR="00FE41DF" w:rsidRPr="002C24A8">
        <w:rPr>
          <w:rFonts w:ascii="Times New Roman" w:hAnsi="Times New Roman" w:cs="Times New Roman"/>
          <w:sz w:val="24"/>
          <w:szCs w:val="24"/>
          <w:lang w:val="en-US"/>
        </w:rPr>
        <w:t xml:space="preserve"> t</w:t>
      </w:r>
      <w:r w:rsidRPr="002C24A8">
        <w:rPr>
          <w:rFonts w:ascii="Times New Roman" w:hAnsi="Times New Roman" w:cs="Times New Roman"/>
          <w:sz w:val="24"/>
          <w:szCs w:val="24"/>
          <w:lang w:val="en-US"/>
        </w:rPr>
        <w:t xml:space="preserve">he overall effect of corporate social performance (CSP) on firms’ financial performance. The results of the literature are inconclusive since half of the </w:t>
      </w:r>
      <w:r w:rsidR="0095616C" w:rsidRPr="002C24A8">
        <w:rPr>
          <w:rFonts w:ascii="Times New Roman" w:hAnsi="Times New Roman" w:cs="Times New Roman"/>
          <w:sz w:val="24"/>
          <w:szCs w:val="24"/>
          <w:lang w:val="en-US"/>
        </w:rPr>
        <w:t xml:space="preserve">evaluated </w:t>
      </w:r>
      <w:r w:rsidRPr="002C24A8">
        <w:rPr>
          <w:rFonts w:ascii="Times New Roman" w:hAnsi="Times New Roman" w:cs="Times New Roman"/>
          <w:sz w:val="24"/>
          <w:szCs w:val="24"/>
          <w:lang w:val="en-US"/>
        </w:rPr>
        <w:t xml:space="preserve">studies provide evidence of a positive statistical significant effect of CSP on firm financial performance </w:t>
      </w:r>
      <w:r w:rsidRPr="002C24A8">
        <w:rPr>
          <w:rFonts w:ascii="Times New Roman" w:hAnsi="Times New Roman" w:cs="Times New Roman"/>
          <w:sz w:val="24"/>
          <w:szCs w:val="24"/>
          <w:lang w:val="en-US"/>
        </w:rPr>
        <w:lastRenderedPageBreak/>
        <w:t>levels.</w:t>
      </w:r>
      <w:r w:rsidR="00CB5D95" w:rsidRPr="002C24A8">
        <w:rPr>
          <w:rStyle w:val="FootnoteReference"/>
          <w:rFonts w:ascii="Times New Roman" w:hAnsi="Times New Roman" w:cs="Times New Roman"/>
          <w:sz w:val="24"/>
          <w:szCs w:val="24"/>
          <w:lang w:val="en-US"/>
        </w:rPr>
        <w:footnoteReference w:id="2"/>
      </w:r>
      <w:r w:rsidR="003309B6" w:rsidRPr="002C24A8">
        <w:rPr>
          <w:rFonts w:ascii="Times New Roman" w:hAnsi="Times New Roman" w:cs="Times New Roman"/>
          <w:sz w:val="24"/>
          <w:szCs w:val="24"/>
          <w:lang w:val="en-US"/>
        </w:rPr>
        <w:t xml:space="preserve"> </w:t>
      </w:r>
      <w:bookmarkStart w:id="7" w:name="_Hlk7423248"/>
      <w:r w:rsidR="00BD3C3A" w:rsidRPr="002C24A8">
        <w:rPr>
          <w:rFonts w:ascii="Times New Roman" w:hAnsi="Times New Roman" w:cs="Times New Roman"/>
          <w:sz w:val="24"/>
          <w:szCs w:val="24"/>
          <w:lang w:val="en-US"/>
        </w:rPr>
        <w:t>These general conclusions, namely that the relation between CSR and firm performance is sometimes positive, and sometimes negative also survives (i) among more recent literature and (ii) when scrutinized using more systematic literature analysis tools as can be observed from</w:t>
      </w:r>
      <w:r w:rsidR="003309B6" w:rsidRPr="002C24A8">
        <w:rPr>
          <w:rFonts w:ascii="Times New Roman" w:hAnsi="Times New Roman" w:cs="Times New Roman"/>
          <w:sz w:val="24"/>
          <w:szCs w:val="24"/>
          <w:lang w:val="en-US"/>
        </w:rPr>
        <w:t xml:space="preserve"> the meta-analytic review conducted more recently by Wang et al. (2016). </w:t>
      </w:r>
      <w:bookmarkEnd w:id="7"/>
      <w:r w:rsidR="00BD3C3A" w:rsidRPr="002C24A8">
        <w:rPr>
          <w:rFonts w:ascii="Times New Roman" w:hAnsi="Times New Roman" w:cs="Times New Roman"/>
          <w:sz w:val="24"/>
          <w:szCs w:val="24"/>
          <w:lang w:val="en-US"/>
        </w:rPr>
        <w:t>Taking some specific examples</w:t>
      </w:r>
      <w:r w:rsidR="00163BB9" w:rsidRPr="002C24A8">
        <w:rPr>
          <w:rFonts w:ascii="Times New Roman" w:hAnsi="Times New Roman" w:cs="Times New Roman"/>
          <w:sz w:val="24"/>
          <w:szCs w:val="24"/>
          <w:lang w:val="en-US"/>
        </w:rPr>
        <w:t>,</w:t>
      </w:r>
      <w:r w:rsidRPr="002C24A8">
        <w:rPr>
          <w:rFonts w:ascii="Times New Roman" w:hAnsi="Times New Roman" w:cs="Times New Roman"/>
          <w:sz w:val="24"/>
          <w:szCs w:val="24"/>
          <w:lang w:val="en-US"/>
        </w:rPr>
        <w:t xml:space="preserve"> Shen and Chang (2009)</w:t>
      </w:r>
      <w:r w:rsidR="0095616C" w:rsidRPr="002C24A8">
        <w:rPr>
          <w:rFonts w:ascii="Times New Roman" w:hAnsi="Times New Roman" w:cs="Times New Roman"/>
          <w:sz w:val="24"/>
          <w:szCs w:val="24"/>
          <w:lang w:val="en-US"/>
        </w:rPr>
        <w:t xml:space="preserve"> verify a positive effect of CSR </w:t>
      </w:r>
      <w:r w:rsidR="00B8032A" w:rsidRPr="002C24A8">
        <w:rPr>
          <w:rFonts w:ascii="Times New Roman" w:hAnsi="Times New Roman" w:cs="Times New Roman"/>
          <w:sz w:val="24"/>
          <w:szCs w:val="24"/>
          <w:lang w:val="en-US"/>
        </w:rPr>
        <w:t>on firms’ financial performance.</w:t>
      </w:r>
      <w:r w:rsidRPr="002C24A8">
        <w:rPr>
          <w:rFonts w:ascii="Times New Roman" w:hAnsi="Times New Roman" w:cs="Times New Roman"/>
          <w:sz w:val="24"/>
          <w:szCs w:val="24"/>
          <w:lang w:val="en-US"/>
        </w:rPr>
        <w:t xml:space="preserve"> Gillan et al., (2010) </w:t>
      </w:r>
      <w:r w:rsidR="000052B0" w:rsidRPr="002C24A8">
        <w:rPr>
          <w:rFonts w:ascii="Times New Roman" w:hAnsi="Times New Roman" w:cs="Times New Roman"/>
          <w:sz w:val="24"/>
          <w:szCs w:val="24"/>
          <w:lang w:val="en-US"/>
        </w:rPr>
        <w:t>provide</w:t>
      </w:r>
      <w:r w:rsidR="00FE41DF" w:rsidRPr="002C24A8">
        <w:rPr>
          <w:rFonts w:ascii="Times New Roman" w:hAnsi="Times New Roman" w:cs="Times New Roman"/>
          <w:sz w:val="24"/>
          <w:szCs w:val="24"/>
          <w:lang w:val="en-US"/>
        </w:rPr>
        <w:t xml:space="preserve"> </w:t>
      </w:r>
      <w:r w:rsidR="000052B0" w:rsidRPr="002C24A8">
        <w:rPr>
          <w:rFonts w:ascii="Times New Roman" w:hAnsi="Times New Roman" w:cs="Times New Roman"/>
          <w:sz w:val="24"/>
          <w:szCs w:val="24"/>
          <w:lang w:val="en-US"/>
        </w:rPr>
        <w:t xml:space="preserve">evidence of a positive effect of ESG score on firms’ </w:t>
      </w:r>
      <w:r w:rsidR="00163BB9" w:rsidRPr="002C24A8">
        <w:rPr>
          <w:rFonts w:ascii="Times New Roman" w:hAnsi="Times New Roman" w:cs="Times New Roman"/>
          <w:sz w:val="24"/>
          <w:szCs w:val="24"/>
          <w:lang w:val="en-US"/>
        </w:rPr>
        <w:t>value over</w:t>
      </w:r>
      <w:r w:rsidR="000052B0" w:rsidRPr="002C24A8">
        <w:rPr>
          <w:rFonts w:ascii="Times New Roman" w:hAnsi="Times New Roman" w:cs="Times New Roman"/>
          <w:sz w:val="24"/>
          <w:szCs w:val="24"/>
          <w:lang w:val="en-US"/>
        </w:rPr>
        <w:t xml:space="preserve"> the period 1992-2007.</w:t>
      </w:r>
      <w:r w:rsidRPr="002C24A8">
        <w:rPr>
          <w:rFonts w:ascii="Times New Roman" w:hAnsi="Times New Roman" w:cs="Times New Roman"/>
          <w:sz w:val="24"/>
          <w:szCs w:val="24"/>
          <w:lang w:val="en-US"/>
        </w:rPr>
        <w:t xml:space="preserve"> Ameer and Othman (2012) </w:t>
      </w:r>
      <w:r w:rsidR="000052B0" w:rsidRPr="002C24A8">
        <w:rPr>
          <w:rFonts w:ascii="Times New Roman" w:hAnsi="Times New Roman" w:cs="Times New Roman"/>
          <w:sz w:val="24"/>
          <w:szCs w:val="24"/>
          <w:lang w:val="en-US"/>
        </w:rPr>
        <w:t xml:space="preserve">suggest that </w:t>
      </w:r>
      <w:r w:rsidR="00FE41DF" w:rsidRPr="002C24A8">
        <w:rPr>
          <w:rFonts w:ascii="Times New Roman" w:hAnsi="Times New Roman" w:cs="Times New Roman"/>
          <w:sz w:val="24"/>
          <w:szCs w:val="24"/>
          <w:lang w:val="en-US"/>
        </w:rPr>
        <w:t xml:space="preserve">those </w:t>
      </w:r>
      <w:r w:rsidR="000052B0" w:rsidRPr="002C24A8">
        <w:rPr>
          <w:rFonts w:ascii="Times New Roman" w:hAnsi="Times New Roman" w:cs="Times New Roman"/>
          <w:sz w:val="24"/>
          <w:szCs w:val="24"/>
          <w:lang w:val="en-US"/>
        </w:rPr>
        <w:t xml:space="preserve">companies </w:t>
      </w:r>
      <w:r w:rsidR="00FE41DF" w:rsidRPr="002C24A8">
        <w:rPr>
          <w:rFonts w:ascii="Times New Roman" w:hAnsi="Times New Roman" w:cs="Times New Roman"/>
          <w:sz w:val="24"/>
          <w:szCs w:val="24"/>
          <w:lang w:val="en-US"/>
        </w:rPr>
        <w:t xml:space="preserve">that </w:t>
      </w:r>
      <w:r w:rsidR="000052B0" w:rsidRPr="002C24A8">
        <w:rPr>
          <w:rFonts w:ascii="Times New Roman" w:hAnsi="Times New Roman" w:cs="Times New Roman"/>
          <w:sz w:val="24"/>
          <w:szCs w:val="24"/>
          <w:lang w:val="en-US"/>
        </w:rPr>
        <w:t>apply sustainability policies have increase</w:t>
      </w:r>
      <w:r w:rsidR="00FE41DF" w:rsidRPr="002C24A8">
        <w:rPr>
          <w:rFonts w:ascii="Times New Roman" w:hAnsi="Times New Roman" w:cs="Times New Roman"/>
          <w:sz w:val="24"/>
          <w:szCs w:val="24"/>
          <w:lang w:val="en-US"/>
        </w:rPr>
        <w:t>d</w:t>
      </w:r>
      <w:r w:rsidR="000052B0" w:rsidRPr="002C24A8">
        <w:rPr>
          <w:rFonts w:ascii="Times New Roman" w:hAnsi="Times New Roman" w:cs="Times New Roman"/>
          <w:sz w:val="24"/>
          <w:szCs w:val="24"/>
          <w:lang w:val="en-US"/>
        </w:rPr>
        <w:t xml:space="preserve"> financial performance. Interestingly</w:t>
      </w:r>
      <w:r w:rsidR="00FE41DF" w:rsidRPr="002C24A8">
        <w:rPr>
          <w:rFonts w:ascii="Times New Roman" w:hAnsi="Times New Roman" w:cs="Times New Roman"/>
          <w:sz w:val="24"/>
          <w:szCs w:val="24"/>
          <w:lang w:val="en-US"/>
        </w:rPr>
        <w:t xml:space="preserve">, </w:t>
      </w:r>
      <w:r w:rsidR="000052B0" w:rsidRPr="002C24A8">
        <w:rPr>
          <w:rFonts w:ascii="Times New Roman" w:hAnsi="Times New Roman" w:cs="Times New Roman"/>
          <w:sz w:val="24"/>
          <w:szCs w:val="24"/>
          <w:lang w:val="en-US"/>
        </w:rPr>
        <w:t>Becchetti et al. (2012) provide evidence of negative abnormal returns around the dates in which CSR related events had occur.</w:t>
      </w:r>
      <w:r w:rsidR="00024D76" w:rsidRPr="002C24A8">
        <w:rPr>
          <w:rFonts w:ascii="Times New Roman" w:hAnsi="Times New Roman" w:cs="Times New Roman"/>
          <w:sz w:val="24"/>
          <w:szCs w:val="24"/>
          <w:lang w:val="en-US"/>
        </w:rPr>
        <w:t xml:space="preserve"> Similar results have</w:t>
      </w:r>
      <w:r w:rsidR="00FE41DF" w:rsidRPr="002C24A8">
        <w:rPr>
          <w:rFonts w:ascii="Times New Roman" w:hAnsi="Times New Roman" w:cs="Times New Roman"/>
          <w:sz w:val="24"/>
          <w:szCs w:val="24"/>
          <w:lang w:val="en-US"/>
        </w:rPr>
        <w:t xml:space="preserve"> also</w:t>
      </w:r>
      <w:r w:rsidR="00024D76" w:rsidRPr="002C24A8">
        <w:rPr>
          <w:rFonts w:ascii="Times New Roman" w:hAnsi="Times New Roman" w:cs="Times New Roman"/>
          <w:sz w:val="24"/>
          <w:szCs w:val="24"/>
          <w:lang w:val="en-US"/>
        </w:rPr>
        <w:t xml:space="preserve"> been found by Doh et al. (2010)</w:t>
      </w:r>
      <w:r w:rsidR="00FE41DF" w:rsidRPr="002C24A8">
        <w:rPr>
          <w:rFonts w:ascii="Times New Roman" w:hAnsi="Times New Roman" w:cs="Times New Roman"/>
          <w:sz w:val="24"/>
          <w:szCs w:val="24"/>
          <w:lang w:val="en-US"/>
        </w:rPr>
        <w:t>, who argue that</w:t>
      </w:r>
      <w:r w:rsidR="00024D76" w:rsidRPr="002C24A8">
        <w:rPr>
          <w:rFonts w:ascii="Times New Roman" w:hAnsi="Times New Roman" w:cs="Times New Roman"/>
          <w:sz w:val="24"/>
          <w:szCs w:val="24"/>
          <w:lang w:val="en-US"/>
        </w:rPr>
        <w:t xml:space="preserve"> CSR activities do not generate positive</w:t>
      </w:r>
      <w:r w:rsidR="000052B0" w:rsidRPr="002C24A8">
        <w:rPr>
          <w:rFonts w:ascii="Times New Roman" w:hAnsi="Times New Roman" w:cs="Times New Roman"/>
          <w:sz w:val="24"/>
          <w:szCs w:val="24"/>
          <w:lang w:val="en-US"/>
        </w:rPr>
        <w:t xml:space="preserve"> </w:t>
      </w:r>
      <w:r w:rsidR="00024D76" w:rsidRPr="002C24A8">
        <w:rPr>
          <w:rFonts w:ascii="Times New Roman" w:hAnsi="Times New Roman" w:cs="Times New Roman"/>
          <w:sz w:val="24"/>
          <w:szCs w:val="24"/>
          <w:lang w:val="en-US"/>
        </w:rPr>
        <w:t>market reactions.</w:t>
      </w:r>
      <w:r w:rsidR="008C7169" w:rsidRPr="002C24A8">
        <w:rPr>
          <w:rFonts w:ascii="Times New Roman" w:hAnsi="Times New Roman" w:cs="Times New Roman"/>
          <w:sz w:val="24"/>
          <w:szCs w:val="24"/>
          <w:lang w:val="en-US"/>
        </w:rPr>
        <w:t xml:space="preserve"> </w:t>
      </w:r>
    </w:p>
    <w:p w14:paraId="7C59A366" w14:textId="39C23AC8" w:rsidR="007D14F1" w:rsidRPr="002C24A8" w:rsidRDefault="008C7169" w:rsidP="007D14F1">
      <w:pPr>
        <w:spacing w:line="480" w:lineRule="auto"/>
        <w:ind w:firstLine="72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However, Wu and Shen (2013) </w:t>
      </w:r>
      <w:r w:rsidR="007630BC" w:rsidRPr="002C24A8">
        <w:rPr>
          <w:rFonts w:ascii="Times New Roman" w:hAnsi="Times New Roman" w:cs="Times New Roman"/>
          <w:sz w:val="24"/>
          <w:szCs w:val="24"/>
          <w:lang w:val="en-US"/>
        </w:rPr>
        <w:t>show, in their study that examine</w:t>
      </w:r>
      <w:r w:rsidR="00E501E4" w:rsidRPr="002C24A8">
        <w:rPr>
          <w:rFonts w:ascii="Times New Roman" w:hAnsi="Times New Roman" w:cs="Times New Roman"/>
          <w:sz w:val="24"/>
          <w:szCs w:val="24"/>
          <w:lang w:val="en-US"/>
        </w:rPr>
        <w:t>s</w:t>
      </w:r>
      <w:r w:rsidR="007630BC" w:rsidRPr="002C24A8">
        <w:rPr>
          <w:rFonts w:ascii="Times New Roman" w:hAnsi="Times New Roman" w:cs="Times New Roman"/>
          <w:sz w:val="24"/>
          <w:szCs w:val="24"/>
          <w:lang w:val="en-US"/>
        </w:rPr>
        <w:t xml:space="preserve"> data </w:t>
      </w:r>
      <w:r w:rsidR="00E501E4" w:rsidRPr="002C24A8">
        <w:rPr>
          <w:rFonts w:ascii="Times New Roman" w:hAnsi="Times New Roman" w:cs="Times New Roman"/>
          <w:sz w:val="24"/>
          <w:szCs w:val="24"/>
          <w:lang w:val="en-US"/>
        </w:rPr>
        <w:t>c</w:t>
      </w:r>
      <w:r w:rsidR="007630BC" w:rsidRPr="002C24A8">
        <w:rPr>
          <w:rFonts w:ascii="Times New Roman" w:hAnsi="Times New Roman" w:cs="Times New Roman"/>
          <w:sz w:val="24"/>
          <w:szCs w:val="24"/>
          <w:lang w:val="en-US"/>
        </w:rPr>
        <w:t>over</w:t>
      </w:r>
      <w:r w:rsidR="00E501E4" w:rsidRPr="002C24A8">
        <w:rPr>
          <w:rFonts w:ascii="Times New Roman" w:hAnsi="Times New Roman" w:cs="Times New Roman"/>
          <w:sz w:val="24"/>
          <w:szCs w:val="24"/>
          <w:lang w:val="en-US"/>
        </w:rPr>
        <w:t>ing</w:t>
      </w:r>
      <w:r w:rsidR="007630BC" w:rsidRPr="002C24A8">
        <w:rPr>
          <w:rFonts w:ascii="Times New Roman" w:hAnsi="Times New Roman" w:cs="Times New Roman"/>
          <w:sz w:val="24"/>
          <w:szCs w:val="24"/>
          <w:lang w:val="en-US"/>
        </w:rPr>
        <w:t xml:space="preserve"> the</w:t>
      </w:r>
      <w:r w:rsidRPr="002C24A8">
        <w:rPr>
          <w:rFonts w:ascii="Times New Roman" w:hAnsi="Times New Roman" w:cs="Times New Roman"/>
          <w:sz w:val="24"/>
          <w:szCs w:val="24"/>
          <w:lang w:val="en-US"/>
        </w:rPr>
        <w:t xml:space="preserve"> period 2003-2009</w:t>
      </w:r>
      <w:r w:rsidR="007630BC" w:rsidRPr="002C24A8">
        <w:rPr>
          <w:rFonts w:ascii="Times New Roman" w:hAnsi="Times New Roman" w:cs="Times New Roman"/>
          <w:sz w:val="24"/>
          <w:szCs w:val="24"/>
          <w:lang w:val="en-US"/>
        </w:rPr>
        <w:t xml:space="preserve">, that there is </w:t>
      </w:r>
      <w:r w:rsidRPr="002C24A8">
        <w:rPr>
          <w:rFonts w:ascii="Times New Roman" w:hAnsi="Times New Roman" w:cs="Times New Roman"/>
          <w:sz w:val="24"/>
          <w:szCs w:val="24"/>
          <w:lang w:val="en-US"/>
        </w:rPr>
        <w:t>a positive influence of firms’ CSR policies on their ROE</w:t>
      </w:r>
      <w:r w:rsidR="00586160" w:rsidRPr="002C24A8">
        <w:rPr>
          <w:rFonts w:ascii="Times New Roman" w:hAnsi="Times New Roman" w:cs="Times New Roman"/>
          <w:sz w:val="24"/>
          <w:szCs w:val="24"/>
          <w:lang w:val="en-US"/>
        </w:rPr>
        <w:t xml:space="preserve"> (return on equity)</w:t>
      </w:r>
      <w:r w:rsidRPr="002C24A8">
        <w:rPr>
          <w:rFonts w:ascii="Times New Roman" w:hAnsi="Times New Roman" w:cs="Times New Roman"/>
          <w:sz w:val="24"/>
          <w:szCs w:val="24"/>
          <w:lang w:val="en-US"/>
        </w:rPr>
        <w:t xml:space="preserve"> and ROA </w:t>
      </w:r>
      <w:r w:rsidR="00586160" w:rsidRPr="002C24A8">
        <w:rPr>
          <w:rFonts w:ascii="Times New Roman" w:hAnsi="Times New Roman" w:cs="Times New Roman"/>
          <w:sz w:val="24"/>
          <w:szCs w:val="24"/>
          <w:lang w:val="en-US"/>
        </w:rPr>
        <w:t xml:space="preserve">(return on assets) </w:t>
      </w:r>
      <w:r w:rsidRPr="002C24A8">
        <w:rPr>
          <w:rFonts w:ascii="Times New Roman" w:hAnsi="Times New Roman" w:cs="Times New Roman"/>
          <w:sz w:val="24"/>
          <w:szCs w:val="24"/>
          <w:lang w:val="en-US"/>
        </w:rPr>
        <w:t>levels.</w:t>
      </w:r>
      <w:r w:rsidR="006155E1" w:rsidRPr="002C24A8">
        <w:rPr>
          <w:rFonts w:ascii="Times New Roman" w:hAnsi="Times New Roman" w:cs="Times New Roman"/>
          <w:sz w:val="24"/>
          <w:szCs w:val="24"/>
          <w:lang w:val="en-US"/>
        </w:rPr>
        <w:t xml:space="preserve"> </w:t>
      </w:r>
      <w:r w:rsidR="00596663" w:rsidRPr="002C24A8">
        <w:rPr>
          <w:rFonts w:ascii="Times New Roman" w:hAnsi="Times New Roman" w:cs="Times New Roman"/>
          <w:sz w:val="24"/>
          <w:szCs w:val="24"/>
          <w:lang w:val="en-US"/>
        </w:rPr>
        <w:t>Kemper et al. (2013)</w:t>
      </w:r>
      <w:r w:rsidR="006155E1" w:rsidRPr="002C24A8">
        <w:rPr>
          <w:rFonts w:ascii="Times New Roman" w:hAnsi="Times New Roman" w:cs="Times New Roman"/>
          <w:sz w:val="24"/>
          <w:szCs w:val="24"/>
          <w:lang w:val="en-US"/>
        </w:rPr>
        <w:t xml:space="preserve"> </w:t>
      </w:r>
      <w:r w:rsidR="007630BC" w:rsidRPr="002C24A8">
        <w:rPr>
          <w:rFonts w:ascii="Times New Roman" w:hAnsi="Times New Roman" w:cs="Times New Roman"/>
          <w:sz w:val="24"/>
          <w:szCs w:val="24"/>
          <w:lang w:val="en-US"/>
        </w:rPr>
        <w:t xml:space="preserve">furthermore </w:t>
      </w:r>
      <w:r w:rsidR="006155E1" w:rsidRPr="002C24A8">
        <w:rPr>
          <w:rFonts w:ascii="Times New Roman" w:hAnsi="Times New Roman" w:cs="Times New Roman"/>
          <w:sz w:val="24"/>
          <w:szCs w:val="24"/>
          <w:lang w:val="en-US"/>
        </w:rPr>
        <w:t xml:space="preserve">provide evidence of a positive effect of CSR activities on the impact of firms’ marketing strategies.  </w:t>
      </w:r>
      <w:r w:rsidR="001B54D8">
        <w:rPr>
          <w:rFonts w:ascii="Times New Roman" w:hAnsi="Times New Roman" w:cs="Times New Roman"/>
          <w:sz w:val="24"/>
          <w:szCs w:val="24"/>
          <w:lang w:val="en-US"/>
        </w:rPr>
        <w:t>In contrast</w:t>
      </w:r>
      <w:r w:rsidR="001B54D8" w:rsidRPr="002C24A8">
        <w:rPr>
          <w:rFonts w:ascii="Times New Roman" w:hAnsi="Times New Roman" w:cs="Times New Roman"/>
          <w:sz w:val="24"/>
          <w:szCs w:val="24"/>
          <w:lang w:val="en-US"/>
        </w:rPr>
        <w:t xml:space="preserve"> </w:t>
      </w:r>
      <w:r w:rsidR="00E9191B" w:rsidRPr="002C24A8">
        <w:rPr>
          <w:rFonts w:ascii="Times New Roman" w:hAnsi="Times New Roman" w:cs="Times New Roman"/>
          <w:sz w:val="24"/>
          <w:szCs w:val="24"/>
          <w:lang w:val="en-US"/>
        </w:rPr>
        <w:t>Di Giuli and Kostovetsky (2014)</w:t>
      </w:r>
      <w:r w:rsidR="007630BC" w:rsidRPr="002C24A8">
        <w:rPr>
          <w:rFonts w:ascii="Times New Roman" w:hAnsi="Times New Roman" w:cs="Times New Roman"/>
          <w:sz w:val="24"/>
          <w:szCs w:val="24"/>
          <w:lang w:val="en-US"/>
        </w:rPr>
        <w:t>,</w:t>
      </w:r>
      <w:r w:rsidR="00E9191B" w:rsidRPr="002C24A8">
        <w:rPr>
          <w:rFonts w:ascii="Times New Roman" w:hAnsi="Times New Roman" w:cs="Times New Roman"/>
          <w:sz w:val="24"/>
          <w:szCs w:val="24"/>
          <w:lang w:val="en-US"/>
        </w:rPr>
        <w:t xml:space="preserve"> </w:t>
      </w:r>
      <w:r w:rsidR="007630BC" w:rsidRPr="002C24A8">
        <w:rPr>
          <w:rFonts w:ascii="Times New Roman" w:hAnsi="Times New Roman" w:cs="Times New Roman"/>
          <w:sz w:val="24"/>
          <w:szCs w:val="24"/>
          <w:lang w:val="en-US"/>
        </w:rPr>
        <w:t xml:space="preserve">who use a data sample from </w:t>
      </w:r>
      <w:r w:rsidR="00E9191B" w:rsidRPr="002C24A8">
        <w:rPr>
          <w:rFonts w:ascii="Times New Roman" w:hAnsi="Times New Roman" w:cs="Times New Roman"/>
          <w:sz w:val="24"/>
          <w:szCs w:val="24"/>
          <w:lang w:val="en-US"/>
        </w:rPr>
        <w:t>2003</w:t>
      </w:r>
      <w:r w:rsidR="007630BC" w:rsidRPr="002C24A8">
        <w:rPr>
          <w:rFonts w:ascii="Times New Roman" w:hAnsi="Times New Roman" w:cs="Times New Roman"/>
          <w:sz w:val="24"/>
          <w:szCs w:val="24"/>
          <w:lang w:val="en-US"/>
        </w:rPr>
        <w:t xml:space="preserve"> to </w:t>
      </w:r>
      <w:r w:rsidR="00E9191B" w:rsidRPr="002C24A8">
        <w:rPr>
          <w:rFonts w:ascii="Times New Roman" w:hAnsi="Times New Roman" w:cs="Times New Roman"/>
          <w:sz w:val="24"/>
          <w:szCs w:val="24"/>
          <w:lang w:val="en-US"/>
        </w:rPr>
        <w:t>2009</w:t>
      </w:r>
      <w:r w:rsidR="007630BC" w:rsidRPr="002C24A8">
        <w:rPr>
          <w:rFonts w:ascii="Times New Roman" w:hAnsi="Times New Roman" w:cs="Times New Roman"/>
          <w:sz w:val="24"/>
          <w:szCs w:val="24"/>
          <w:lang w:val="en-US"/>
        </w:rPr>
        <w:t xml:space="preserve">, show </w:t>
      </w:r>
      <w:r w:rsidR="00E9191B" w:rsidRPr="002C24A8">
        <w:rPr>
          <w:rFonts w:ascii="Times New Roman" w:hAnsi="Times New Roman" w:cs="Times New Roman"/>
          <w:sz w:val="24"/>
          <w:szCs w:val="24"/>
          <w:lang w:val="en-US"/>
        </w:rPr>
        <w:t>a negative correlation between CSR</w:t>
      </w:r>
      <w:r w:rsidR="006155E1" w:rsidRPr="002C24A8">
        <w:rPr>
          <w:rFonts w:ascii="Times New Roman" w:hAnsi="Times New Roman" w:cs="Times New Roman"/>
          <w:sz w:val="24"/>
          <w:szCs w:val="24"/>
          <w:lang w:val="en-US"/>
        </w:rPr>
        <w:t xml:space="preserve"> and </w:t>
      </w:r>
      <w:r w:rsidR="00E9191B" w:rsidRPr="002C24A8">
        <w:rPr>
          <w:rFonts w:ascii="Times New Roman" w:hAnsi="Times New Roman" w:cs="Times New Roman"/>
          <w:sz w:val="24"/>
          <w:szCs w:val="24"/>
          <w:lang w:val="en-US"/>
        </w:rPr>
        <w:t>firms’ operating performance</w:t>
      </w:r>
      <w:r w:rsidR="006155E1" w:rsidRPr="002C24A8">
        <w:rPr>
          <w:rFonts w:ascii="Times New Roman" w:hAnsi="Times New Roman" w:cs="Times New Roman"/>
          <w:sz w:val="24"/>
          <w:szCs w:val="24"/>
          <w:lang w:val="en-US"/>
        </w:rPr>
        <w:t>.</w:t>
      </w:r>
      <w:r w:rsidR="00AD1C27" w:rsidRPr="002C24A8">
        <w:rPr>
          <w:rFonts w:ascii="Times New Roman" w:hAnsi="Times New Roman" w:cs="Times New Roman"/>
          <w:sz w:val="24"/>
          <w:szCs w:val="24"/>
          <w:lang w:val="en-US"/>
        </w:rPr>
        <w:t xml:space="preserve"> </w:t>
      </w:r>
      <w:r w:rsidR="00E9191B" w:rsidRPr="002C24A8">
        <w:rPr>
          <w:rFonts w:ascii="Times New Roman" w:hAnsi="Times New Roman" w:cs="Times New Roman"/>
          <w:sz w:val="24"/>
          <w:szCs w:val="24"/>
          <w:lang w:val="en-US"/>
        </w:rPr>
        <w:t xml:space="preserve">Fatemi et al. (2015) </w:t>
      </w:r>
      <w:r w:rsidR="007630BC" w:rsidRPr="002C24A8">
        <w:rPr>
          <w:rFonts w:ascii="Times New Roman" w:hAnsi="Times New Roman" w:cs="Times New Roman"/>
          <w:sz w:val="24"/>
          <w:szCs w:val="24"/>
          <w:lang w:val="en-US"/>
        </w:rPr>
        <w:t xml:space="preserve">present similar findings that are </w:t>
      </w:r>
      <w:r w:rsidR="00AD1C27" w:rsidRPr="002C24A8">
        <w:rPr>
          <w:rFonts w:ascii="Times New Roman" w:hAnsi="Times New Roman" w:cs="Times New Roman"/>
          <w:sz w:val="24"/>
          <w:szCs w:val="24"/>
          <w:lang w:val="en-US"/>
        </w:rPr>
        <w:t xml:space="preserve">derived </w:t>
      </w:r>
      <w:r w:rsidR="007630BC" w:rsidRPr="002C24A8">
        <w:rPr>
          <w:rFonts w:ascii="Times New Roman" w:hAnsi="Times New Roman" w:cs="Times New Roman"/>
          <w:sz w:val="24"/>
          <w:szCs w:val="24"/>
          <w:lang w:val="en-US"/>
        </w:rPr>
        <w:t>by using s</w:t>
      </w:r>
      <w:r w:rsidR="00AD1C27" w:rsidRPr="002C24A8">
        <w:rPr>
          <w:rFonts w:ascii="Times New Roman" w:hAnsi="Times New Roman" w:cs="Times New Roman"/>
          <w:sz w:val="24"/>
          <w:szCs w:val="24"/>
          <w:lang w:val="en-US"/>
        </w:rPr>
        <w:t>imulation</w:t>
      </w:r>
      <w:r w:rsidR="007630BC" w:rsidRPr="002C24A8">
        <w:rPr>
          <w:rFonts w:ascii="Times New Roman" w:hAnsi="Times New Roman" w:cs="Times New Roman"/>
          <w:sz w:val="24"/>
          <w:szCs w:val="24"/>
          <w:lang w:val="en-US"/>
        </w:rPr>
        <w:t xml:space="preserve"> analyses. They </w:t>
      </w:r>
      <w:r w:rsidR="00E9191B" w:rsidRPr="002C24A8">
        <w:rPr>
          <w:rFonts w:ascii="Times New Roman" w:hAnsi="Times New Roman" w:cs="Times New Roman"/>
          <w:sz w:val="24"/>
          <w:szCs w:val="24"/>
          <w:lang w:val="en-US"/>
        </w:rPr>
        <w:t xml:space="preserve">suggest that firms’ CSR practices have a positive effect on firms’ value creation. </w:t>
      </w:r>
      <w:r w:rsidR="00464BB7" w:rsidRPr="002C24A8">
        <w:rPr>
          <w:rFonts w:ascii="Times New Roman" w:hAnsi="Times New Roman" w:cs="Times New Roman"/>
          <w:sz w:val="24"/>
          <w:szCs w:val="24"/>
          <w:lang w:val="en-US"/>
        </w:rPr>
        <w:t xml:space="preserve">Saeidi et al. (2015) </w:t>
      </w:r>
      <w:r w:rsidR="007630BC" w:rsidRPr="002C24A8">
        <w:rPr>
          <w:rFonts w:ascii="Times New Roman" w:hAnsi="Times New Roman" w:cs="Times New Roman"/>
          <w:sz w:val="24"/>
          <w:szCs w:val="24"/>
          <w:lang w:val="en-US"/>
        </w:rPr>
        <w:t xml:space="preserve">who </w:t>
      </w:r>
      <w:r w:rsidR="00163BB9" w:rsidRPr="002C24A8">
        <w:rPr>
          <w:rFonts w:ascii="Times New Roman" w:hAnsi="Times New Roman" w:cs="Times New Roman"/>
          <w:sz w:val="24"/>
          <w:szCs w:val="24"/>
          <w:lang w:val="en-US"/>
        </w:rPr>
        <w:t>examines 205</w:t>
      </w:r>
      <w:r w:rsidR="00464BB7" w:rsidRPr="002C24A8">
        <w:rPr>
          <w:rFonts w:ascii="Times New Roman" w:hAnsi="Times New Roman" w:cs="Times New Roman"/>
          <w:sz w:val="24"/>
          <w:szCs w:val="24"/>
          <w:lang w:val="en-US"/>
        </w:rPr>
        <w:t xml:space="preserve"> Iranian manufacturing and consumer product firms suggest that the positive effect of CSR policies on firms’ performance levels is direct through the generation of competitive advantages, increased firm reputation, and </w:t>
      </w:r>
      <w:r w:rsidR="00464BB7" w:rsidRPr="002C24A8">
        <w:rPr>
          <w:rFonts w:ascii="Times New Roman" w:hAnsi="Times New Roman" w:cs="Times New Roman"/>
          <w:sz w:val="24"/>
          <w:szCs w:val="24"/>
          <w:lang w:val="en-US"/>
        </w:rPr>
        <w:lastRenderedPageBreak/>
        <w:t>customer satisfaction.</w:t>
      </w:r>
      <w:r w:rsidR="007E3267" w:rsidRPr="002C24A8">
        <w:rPr>
          <w:rFonts w:ascii="Times New Roman" w:hAnsi="Times New Roman" w:cs="Times New Roman"/>
          <w:sz w:val="24"/>
          <w:szCs w:val="24"/>
          <w:lang w:val="en-US"/>
        </w:rPr>
        <w:t xml:space="preserve"> In addition</w:t>
      </w:r>
      <w:r w:rsidR="007630BC" w:rsidRPr="002C24A8">
        <w:rPr>
          <w:rFonts w:ascii="Times New Roman" w:hAnsi="Times New Roman" w:cs="Times New Roman"/>
          <w:sz w:val="24"/>
          <w:szCs w:val="24"/>
          <w:lang w:val="en-US"/>
        </w:rPr>
        <w:t>,</w:t>
      </w:r>
      <w:r w:rsidR="007E3267" w:rsidRPr="002C24A8">
        <w:rPr>
          <w:rFonts w:ascii="Times New Roman" w:hAnsi="Times New Roman" w:cs="Times New Roman"/>
          <w:sz w:val="24"/>
          <w:szCs w:val="24"/>
          <w:lang w:val="en-US"/>
        </w:rPr>
        <w:t xml:space="preserve"> Wang et al. (2015) </w:t>
      </w:r>
      <w:r w:rsidR="00143B60" w:rsidRPr="002C24A8">
        <w:rPr>
          <w:rFonts w:ascii="Times New Roman" w:hAnsi="Times New Roman" w:cs="Times New Roman"/>
          <w:sz w:val="24"/>
          <w:szCs w:val="24"/>
          <w:lang w:val="en-US"/>
        </w:rPr>
        <w:t xml:space="preserve">examine a sample of Taiwanese high-tech companies over the period 2010–2013. </w:t>
      </w:r>
      <w:r w:rsidR="007630BC" w:rsidRPr="002C24A8">
        <w:rPr>
          <w:rFonts w:ascii="Times New Roman" w:hAnsi="Times New Roman" w:cs="Times New Roman"/>
          <w:sz w:val="24"/>
          <w:szCs w:val="24"/>
          <w:lang w:val="en-US"/>
        </w:rPr>
        <w:t xml:space="preserve">They </w:t>
      </w:r>
      <w:r w:rsidR="00143B60" w:rsidRPr="002C24A8">
        <w:rPr>
          <w:rFonts w:ascii="Times New Roman" w:hAnsi="Times New Roman" w:cs="Times New Roman"/>
          <w:sz w:val="24"/>
          <w:szCs w:val="24"/>
          <w:lang w:val="en-US"/>
        </w:rPr>
        <w:t>us</w:t>
      </w:r>
      <w:r w:rsidR="007630BC" w:rsidRPr="002C24A8">
        <w:rPr>
          <w:rFonts w:ascii="Times New Roman" w:hAnsi="Times New Roman" w:cs="Times New Roman"/>
          <w:sz w:val="24"/>
          <w:szCs w:val="24"/>
          <w:lang w:val="en-US"/>
        </w:rPr>
        <w:t xml:space="preserve">e a </w:t>
      </w:r>
      <w:r w:rsidR="00143B60" w:rsidRPr="002C24A8">
        <w:rPr>
          <w:rFonts w:ascii="Times New Roman" w:hAnsi="Times New Roman" w:cs="Times New Roman"/>
          <w:sz w:val="24"/>
          <w:szCs w:val="24"/>
          <w:lang w:val="en-US"/>
        </w:rPr>
        <w:t>quantile regression and structural equation model</w:t>
      </w:r>
      <w:r w:rsidR="007630BC" w:rsidRPr="002C24A8">
        <w:rPr>
          <w:rFonts w:ascii="Times New Roman" w:hAnsi="Times New Roman" w:cs="Times New Roman"/>
          <w:sz w:val="24"/>
          <w:szCs w:val="24"/>
          <w:lang w:val="en-US"/>
        </w:rPr>
        <w:t xml:space="preserve">s. The results indicate </w:t>
      </w:r>
      <w:r w:rsidR="00143B60" w:rsidRPr="002C24A8">
        <w:rPr>
          <w:rFonts w:ascii="Times New Roman" w:hAnsi="Times New Roman" w:cs="Times New Roman"/>
          <w:sz w:val="24"/>
          <w:szCs w:val="24"/>
          <w:lang w:val="en-US"/>
        </w:rPr>
        <w:t>a significant positive effect of brand equity and CSR on firms’ performance levels.</w:t>
      </w:r>
      <w:r w:rsidR="00B10E1D" w:rsidRPr="002C24A8">
        <w:rPr>
          <w:rFonts w:ascii="Times New Roman" w:hAnsi="Times New Roman" w:cs="Times New Roman"/>
          <w:sz w:val="24"/>
          <w:szCs w:val="24"/>
          <w:lang w:val="en-US"/>
        </w:rPr>
        <w:t xml:space="preserve"> </w:t>
      </w:r>
      <w:r w:rsidR="007630BC" w:rsidRPr="002C24A8">
        <w:rPr>
          <w:rFonts w:ascii="Times New Roman" w:hAnsi="Times New Roman" w:cs="Times New Roman"/>
          <w:sz w:val="24"/>
          <w:szCs w:val="24"/>
          <w:lang w:val="en-US"/>
        </w:rPr>
        <w:t xml:space="preserve">These results, however, contradict with </w:t>
      </w:r>
      <w:r w:rsidR="00E9191B" w:rsidRPr="002C24A8">
        <w:rPr>
          <w:rFonts w:ascii="Times New Roman" w:hAnsi="Times New Roman" w:cs="Times New Roman"/>
          <w:sz w:val="24"/>
          <w:szCs w:val="24"/>
          <w:lang w:val="en-US"/>
        </w:rPr>
        <w:t>Jain et al.</w:t>
      </w:r>
      <w:r w:rsidR="007630BC" w:rsidRPr="002C24A8">
        <w:rPr>
          <w:rFonts w:ascii="Times New Roman" w:hAnsi="Times New Roman" w:cs="Times New Roman"/>
          <w:sz w:val="24"/>
          <w:szCs w:val="24"/>
          <w:lang w:val="en-US"/>
        </w:rPr>
        <w:t>’s</w:t>
      </w:r>
      <w:r w:rsidR="00E9191B" w:rsidRPr="002C24A8">
        <w:rPr>
          <w:rFonts w:ascii="Times New Roman" w:hAnsi="Times New Roman" w:cs="Times New Roman"/>
          <w:sz w:val="24"/>
          <w:szCs w:val="24"/>
          <w:lang w:val="en-US"/>
        </w:rPr>
        <w:t xml:space="preserve"> (2016) </w:t>
      </w:r>
      <w:r w:rsidR="007630BC" w:rsidRPr="002C24A8">
        <w:rPr>
          <w:rFonts w:ascii="Times New Roman" w:hAnsi="Times New Roman" w:cs="Times New Roman"/>
          <w:sz w:val="24"/>
          <w:szCs w:val="24"/>
          <w:lang w:val="en-US"/>
        </w:rPr>
        <w:t xml:space="preserve">findings. They argue </w:t>
      </w:r>
      <w:r w:rsidR="00E9191B" w:rsidRPr="002C24A8">
        <w:rPr>
          <w:rFonts w:ascii="Times New Roman" w:hAnsi="Times New Roman" w:cs="Times New Roman"/>
          <w:sz w:val="24"/>
          <w:szCs w:val="24"/>
          <w:lang w:val="en-US"/>
        </w:rPr>
        <w:t>that firm</w:t>
      </w:r>
      <w:r w:rsidR="00B10E1D" w:rsidRPr="002C24A8">
        <w:rPr>
          <w:rFonts w:ascii="Times New Roman" w:hAnsi="Times New Roman" w:cs="Times New Roman"/>
          <w:sz w:val="24"/>
          <w:szCs w:val="24"/>
          <w:lang w:val="en-US"/>
        </w:rPr>
        <w:t>s’ higher</w:t>
      </w:r>
      <w:r w:rsidR="00E9191B" w:rsidRPr="002C24A8">
        <w:rPr>
          <w:rFonts w:ascii="Times New Roman" w:hAnsi="Times New Roman" w:cs="Times New Roman"/>
          <w:sz w:val="24"/>
          <w:szCs w:val="24"/>
          <w:lang w:val="en-US"/>
        </w:rPr>
        <w:t xml:space="preserve"> performance </w:t>
      </w:r>
      <w:r w:rsidR="00B10E1D" w:rsidRPr="002C24A8">
        <w:rPr>
          <w:rFonts w:ascii="Times New Roman" w:hAnsi="Times New Roman" w:cs="Times New Roman"/>
          <w:sz w:val="24"/>
          <w:szCs w:val="24"/>
          <w:lang w:val="en-US"/>
        </w:rPr>
        <w:t xml:space="preserve">levels are </w:t>
      </w:r>
      <w:r w:rsidR="00E9191B" w:rsidRPr="002C24A8">
        <w:rPr>
          <w:rFonts w:ascii="Times New Roman" w:hAnsi="Times New Roman" w:cs="Times New Roman"/>
          <w:sz w:val="24"/>
          <w:szCs w:val="24"/>
          <w:lang w:val="en-US"/>
        </w:rPr>
        <w:t xml:space="preserve">associated with lower values of the composite ESG scores. </w:t>
      </w:r>
      <w:r w:rsidR="004628C2" w:rsidRPr="002C24A8">
        <w:rPr>
          <w:rFonts w:ascii="Times New Roman" w:hAnsi="Times New Roman" w:cs="Times New Roman"/>
          <w:sz w:val="24"/>
          <w:szCs w:val="24"/>
          <w:lang w:val="en-US"/>
        </w:rPr>
        <w:t>Brower et al. (2017)</w:t>
      </w:r>
      <w:r w:rsidR="007630BC" w:rsidRPr="002C24A8">
        <w:rPr>
          <w:rFonts w:ascii="Times New Roman" w:hAnsi="Times New Roman" w:cs="Times New Roman"/>
          <w:sz w:val="24"/>
          <w:szCs w:val="24"/>
          <w:lang w:val="en-US"/>
        </w:rPr>
        <w:t xml:space="preserve"> then</w:t>
      </w:r>
      <w:r w:rsidR="004628C2" w:rsidRPr="002C24A8">
        <w:rPr>
          <w:rFonts w:ascii="Times New Roman" w:hAnsi="Times New Roman" w:cs="Times New Roman"/>
          <w:sz w:val="24"/>
          <w:szCs w:val="24"/>
          <w:lang w:val="en-US"/>
        </w:rPr>
        <w:t xml:space="preserve"> suggest that firms’ prior CSP reputation has influence</w:t>
      </w:r>
      <w:r w:rsidR="007630BC" w:rsidRPr="002C24A8">
        <w:rPr>
          <w:rFonts w:ascii="Times New Roman" w:hAnsi="Times New Roman" w:cs="Times New Roman"/>
          <w:sz w:val="24"/>
          <w:szCs w:val="24"/>
          <w:lang w:val="en-US"/>
        </w:rPr>
        <w:t xml:space="preserve"> not only o</w:t>
      </w:r>
      <w:r w:rsidR="004628C2" w:rsidRPr="002C24A8">
        <w:rPr>
          <w:rFonts w:ascii="Times New Roman" w:hAnsi="Times New Roman" w:cs="Times New Roman"/>
          <w:sz w:val="24"/>
          <w:szCs w:val="24"/>
          <w:lang w:val="en-US"/>
        </w:rPr>
        <w:t>n future firms</w:t>
      </w:r>
      <w:r w:rsidR="00EF2296" w:rsidRPr="002C24A8">
        <w:rPr>
          <w:rFonts w:ascii="Times New Roman" w:hAnsi="Times New Roman" w:cs="Times New Roman"/>
          <w:sz w:val="24"/>
          <w:szCs w:val="24"/>
          <w:lang w:val="en-US"/>
        </w:rPr>
        <w:t>’</w:t>
      </w:r>
      <w:r w:rsidR="004628C2" w:rsidRPr="002C24A8">
        <w:rPr>
          <w:rFonts w:ascii="Times New Roman" w:hAnsi="Times New Roman" w:cs="Times New Roman"/>
          <w:sz w:val="24"/>
          <w:szCs w:val="24"/>
          <w:lang w:val="en-US"/>
        </w:rPr>
        <w:t xml:space="preserve"> social </w:t>
      </w:r>
      <w:r w:rsidR="007630BC" w:rsidRPr="002C24A8">
        <w:rPr>
          <w:rFonts w:ascii="Times New Roman" w:hAnsi="Times New Roman" w:cs="Times New Roman"/>
          <w:sz w:val="24"/>
          <w:szCs w:val="24"/>
          <w:lang w:val="en-US"/>
        </w:rPr>
        <w:t>but also</w:t>
      </w:r>
      <w:r w:rsidR="004628C2" w:rsidRPr="002C24A8">
        <w:rPr>
          <w:rFonts w:ascii="Times New Roman" w:hAnsi="Times New Roman" w:cs="Times New Roman"/>
          <w:sz w:val="24"/>
          <w:szCs w:val="24"/>
          <w:lang w:val="en-US"/>
        </w:rPr>
        <w:t xml:space="preserve"> financial performance. </w:t>
      </w:r>
      <w:bookmarkStart w:id="8" w:name="_Hlk7447459"/>
      <w:r w:rsidR="004628C2" w:rsidRPr="002C24A8">
        <w:rPr>
          <w:rFonts w:ascii="Times New Roman" w:hAnsi="Times New Roman" w:cs="Times New Roman"/>
          <w:sz w:val="24"/>
          <w:szCs w:val="24"/>
          <w:lang w:val="en-US"/>
        </w:rPr>
        <w:t>Price and Sun (2017)</w:t>
      </w:r>
      <w:r w:rsidR="00AA0E0C" w:rsidRPr="002C24A8">
        <w:rPr>
          <w:rFonts w:ascii="Times New Roman" w:hAnsi="Times New Roman" w:cs="Times New Roman"/>
          <w:sz w:val="24"/>
          <w:szCs w:val="24"/>
          <w:lang w:val="en-US"/>
        </w:rPr>
        <w:t>, who study relations using a sample of US firms</w:t>
      </w:r>
      <w:r w:rsidR="004628C2" w:rsidRPr="002C24A8">
        <w:rPr>
          <w:rFonts w:ascii="Times New Roman" w:hAnsi="Times New Roman" w:cs="Times New Roman"/>
          <w:sz w:val="24"/>
          <w:szCs w:val="24"/>
          <w:lang w:val="en-US"/>
        </w:rPr>
        <w:t xml:space="preserve"> </w:t>
      </w:r>
      <w:r w:rsidR="007630BC" w:rsidRPr="002C24A8">
        <w:rPr>
          <w:rFonts w:ascii="Times New Roman" w:hAnsi="Times New Roman" w:cs="Times New Roman"/>
          <w:sz w:val="24"/>
          <w:szCs w:val="24"/>
          <w:lang w:val="en-US"/>
        </w:rPr>
        <w:t xml:space="preserve">point out </w:t>
      </w:r>
      <w:r w:rsidR="004628C2" w:rsidRPr="002C24A8">
        <w:rPr>
          <w:rFonts w:ascii="Times New Roman" w:hAnsi="Times New Roman" w:cs="Times New Roman"/>
          <w:sz w:val="24"/>
          <w:szCs w:val="24"/>
          <w:lang w:val="en-US"/>
        </w:rPr>
        <w:t>that firms which are not highly engaged on both CSR and</w:t>
      </w:r>
      <w:r w:rsidR="004628C2" w:rsidRPr="002C24A8">
        <w:rPr>
          <w:lang w:val="en-US"/>
        </w:rPr>
        <w:t xml:space="preserve"> </w:t>
      </w:r>
      <w:r w:rsidR="004628C2" w:rsidRPr="002C24A8">
        <w:rPr>
          <w:rFonts w:ascii="Times New Roman" w:hAnsi="Times New Roman" w:cs="Times New Roman"/>
          <w:sz w:val="24"/>
          <w:szCs w:val="24"/>
          <w:lang w:val="en-US"/>
        </w:rPr>
        <w:t>corporate social irresponsibility (CSI) activities, are the ones which perform better.</w:t>
      </w:r>
      <w:r w:rsidR="00AA0E0C" w:rsidRPr="002C24A8">
        <w:rPr>
          <w:rFonts w:ascii="Times New Roman" w:hAnsi="Times New Roman" w:cs="Times New Roman"/>
          <w:sz w:val="24"/>
          <w:szCs w:val="24"/>
          <w:lang w:val="en-US"/>
        </w:rPr>
        <w:t xml:space="preserve"> CSR and CSI are essentially opposing forces, one working to enhance corporate reputation, and the other resulting in reputation losses. It is difficult to say which has a stronger effect, though Price and Sun (2017) argue that the negative effects of CSI are more enduring. The implications of this are that </w:t>
      </w:r>
      <w:r w:rsidR="005E10EA" w:rsidRPr="002C24A8">
        <w:rPr>
          <w:rFonts w:ascii="Times New Roman" w:hAnsi="Times New Roman" w:cs="Times New Roman"/>
          <w:sz w:val="24"/>
          <w:szCs w:val="24"/>
          <w:lang w:val="en-US"/>
        </w:rPr>
        <w:t>firms not only have a</w:t>
      </w:r>
      <w:r w:rsidR="009F0FB5" w:rsidRPr="002C24A8">
        <w:rPr>
          <w:rFonts w:ascii="Times New Roman" w:hAnsi="Times New Roman" w:cs="Times New Roman"/>
          <w:sz w:val="24"/>
          <w:szCs w:val="24"/>
          <w:lang w:val="en-US"/>
        </w:rPr>
        <w:t>n</w:t>
      </w:r>
      <w:r w:rsidR="005E10EA" w:rsidRPr="002C24A8">
        <w:rPr>
          <w:rFonts w:ascii="Times New Roman" w:hAnsi="Times New Roman" w:cs="Times New Roman"/>
          <w:sz w:val="24"/>
          <w:szCs w:val="24"/>
          <w:lang w:val="en-US"/>
        </w:rPr>
        <w:t xml:space="preserve"> </w:t>
      </w:r>
      <w:r w:rsidR="009F0FB5" w:rsidRPr="002C24A8">
        <w:rPr>
          <w:rFonts w:ascii="Times New Roman" w:hAnsi="Times New Roman" w:cs="Times New Roman"/>
          <w:sz w:val="24"/>
          <w:szCs w:val="24"/>
          <w:lang w:val="en-US"/>
        </w:rPr>
        <w:t>expectation (from their stakeholders)</w:t>
      </w:r>
      <w:r w:rsidR="005E10EA" w:rsidRPr="002C24A8">
        <w:rPr>
          <w:rFonts w:ascii="Times New Roman" w:hAnsi="Times New Roman" w:cs="Times New Roman"/>
          <w:sz w:val="24"/>
          <w:szCs w:val="24"/>
          <w:lang w:val="en-US"/>
        </w:rPr>
        <w:t xml:space="preserve"> to engage in CSR activities, but</w:t>
      </w:r>
      <w:r w:rsidR="009F0FB5" w:rsidRPr="002C24A8">
        <w:rPr>
          <w:rFonts w:ascii="Times New Roman" w:hAnsi="Times New Roman" w:cs="Times New Roman"/>
          <w:sz w:val="24"/>
          <w:szCs w:val="24"/>
          <w:lang w:val="en-US"/>
        </w:rPr>
        <w:t xml:space="preserve"> moreover that there are potentially material consequences lapses in corporate social responsibility performance.</w:t>
      </w:r>
      <w:bookmarkEnd w:id="8"/>
      <w:r w:rsidR="009F0FB5" w:rsidRPr="002C24A8">
        <w:rPr>
          <w:rFonts w:ascii="Times New Roman" w:hAnsi="Times New Roman" w:cs="Times New Roman"/>
          <w:sz w:val="24"/>
          <w:szCs w:val="24"/>
          <w:lang w:val="en-US"/>
        </w:rPr>
        <w:t xml:space="preserve"> </w:t>
      </w:r>
      <w:r w:rsidR="004628C2" w:rsidRPr="002C24A8">
        <w:rPr>
          <w:rFonts w:ascii="Times New Roman" w:hAnsi="Times New Roman" w:cs="Times New Roman"/>
          <w:sz w:val="24"/>
          <w:szCs w:val="24"/>
          <w:lang w:val="en-US"/>
        </w:rPr>
        <w:t xml:space="preserve">Finally, Bhardwaj et al. (2018) </w:t>
      </w:r>
      <w:r w:rsidR="0073295E" w:rsidRPr="002C24A8">
        <w:rPr>
          <w:rFonts w:ascii="Times New Roman" w:hAnsi="Times New Roman" w:cs="Times New Roman"/>
          <w:sz w:val="24"/>
          <w:szCs w:val="24"/>
          <w:lang w:val="en-US"/>
        </w:rPr>
        <w:t xml:space="preserve">provide evidence that the </w:t>
      </w:r>
      <w:r w:rsidR="00B8032A" w:rsidRPr="002C24A8">
        <w:rPr>
          <w:rFonts w:ascii="Times New Roman" w:hAnsi="Times New Roman" w:cs="Times New Roman"/>
          <w:sz w:val="24"/>
          <w:szCs w:val="24"/>
          <w:lang w:val="en-US"/>
        </w:rPr>
        <w:t>firms’ which</w:t>
      </w:r>
      <w:r w:rsidR="0073295E" w:rsidRPr="002C24A8">
        <w:rPr>
          <w:rFonts w:ascii="Times New Roman" w:hAnsi="Times New Roman" w:cs="Times New Roman"/>
          <w:sz w:val="24"/>
          <w:szCs w:val="24"/>
          <w:lang w:val="en-US"/>
        </w:rPr>
        <w:t xml:space="preserve"> pursue first on CSR activities are more advantageous in comparison with their </w:t>
      </w:r>
      <w:r w:rsidR="00B8032A" w:rsidRPr="002C24A8">
        <w:rPr>
          <w:rFonts w:ascii="Times New Roman" w:hAnsi="Times New Roman" w:cs="Times New Roman"/>
          <w:sz w:val="24"/>
          <w:szCs w:val="24"/>
          <w:lang w:val="en-US"/>
        </w:rPr>
        <w:t>competitors, which</w:t>
      </w:r>
      <w:r w:rsidR="0073295E" w:rsidRPr="002C24A8">
        <w:rPr>
          <w:rFonts w:ascii="Times New Roman" w:hAnsi="Times New Roman" w:cs="Times New Roman"/>
          <w:sz w:val="24"/>
          <w:szCs w:val="24"/>
          <w:lang w:val="en-US"/>
        </w:rPr>
        <w:t xml:space="preserve"> are not investing on such activities</w:t>
      </w:r>
      <w:r w:rsidR="00E501E4" w:rsidRPr="002C24A8">
        <w:rPr>
          <w:rFonts w:ascii="Times New Roman" w:hAnsi="Times New Roman" w:cs="Times New Roman"/>
          <w:sz w:val="24"/>
          <w:szCs w:val="24"/>
          <w:lang w:val="en-US"/>
        </w:rPr>
        <w:t xml:space="preserve"> i.e. that there is evidence of a first-mover advantage to CSR adoption</w:t>
      </w:r>
      <w:r w:rsidR="0073295E" w:rsidRPr="002C24A8">
        <w:rPr>
          <w:rFonts w:ascii="Times New Roman" w:hAnsi="Times New Roman" w:cs="Times New Roman"/>
          <w:sz w:val="24"/>
          <w:szCs w:val="24"/>
          <w:lang w:val="en-US"/>
        </w:rPr>
        <w:t>.</w:t>
      </w:r>
      <w:r w:rsidR="007D14F1" w:rsidRPr="002C24A8">
        <w:rPr>
          <w:rFonts w:ascii="Times New Roman" w:hAnsi="Times New Roman" w:cs="Times New Roman"/>
          <w:sz w:val="24"/>
          <w:szCs w:val="24"/>
          <w:lang w:val="en-US"/>
        </w:rPr>
        <w:t xml:space="preserve"> The discussion in this section, to this point, does not lend itself to an emphatic conclusion </w:t>
      </w:r>
      <w:r w:rsidR="001B54D8">
        <w:rPr>
          <w:rFonts w:ascii="Times New Roman" w:hAnsi="Times New Roman" w:cs="Times New Roman"/>
          <w:sz w:val="24"/>
          <w:szCs w:val="24"/>
          <w:lang w:val="en-US"/>
        </w:rPr>
        <w:t>concerning</w:t>
      </w:r>
      <w:r w:rsidR="007D14F1" w:rsidRPr="002C24A8">
        <w:rPr>
          <w:rFonts w:ascii="Times New Roman" w:hAnsi="Times New Roman" w:cs="Times New Roman"/>
          <w:sz w:val="24"/>
          <w:szCs w:val="24"/>
          <w:lang w:val="en-US"/>
        </w:rPr>
        <w:t xml:space="preserve"> whether CSR benefits firms or otherwise. It is at this point useful to bring attention to concerns of measurement.</w:t>
      </w:r>
    </w:p>
    <w:p w14:paraId="457F7D43" w14:textId="68460527" w:rsidR="007D14F1" w:rsidRPr="002C24A8" w:rsidRDefault="007D14F1" w:rsidP="00E11D5D">
      <w:pPr>
        <w:spacing w:line="480" w:lineRule="auto"/>
        <w:jc w:val="both"/>
        <w:rPr>
          <w:rFonts w:ascii="Times New Roman" w:hAnsi="Times New Roman" w:cs="Times New Roman"/>
          <w:sz w:val="24"/>
          <w:szCs w:val="24"/>
          <w:lang w:val="en-US"/>
        </w:rPr>
      </w:pPr>
    </w:p>
    <w:p w14:paraId="6140A6F9" w14:textId="756DFBD0" w:rsidR="007D14F1" w:rsidRPr="002C24A8" w:rsidRDefault="007D14F1" w:rsidP="00E11D5D">
      <w:pPr>
        <w:spacing w:line="480" w:lineRule="auto"/>
        <w:jc w:val="both"/>
        <w:rPr>
          <w:rFonts w:ascii="Times New Roman" w:hAnsi="Times New Roman" w:cs="Times New Roman"/>
          <w:i/>
          <w:sz w:val="24"/>
          <w:szCs w:val="24"/>
          <w:lang w:val="en-US"/>
        </w:rPr>
      </w:pPr>
      <w:r w:rsidRPr="002C24A8">
        <w:rPr>
          <w:rFonts w:ascii="Times New Roman" w:hAnsi="Times New Roman" w:cs="Times New Roman"/>
          <w:i/>
          <w:sz w:val="24"/>
          <w:szCs w:val="24"/>
          <w:lang w:val="en-US"/>
        </w:rPr>
        <w:t>2.2 Measuring the CSR – Firm Performance Relationship</w:t>
      </w:r>
    </w:p>
    <w:p w14:paraId="253CEE53" w14:textId="6B55DA4D" w:rsidR="00EE2B57" w:rsidRPr="002C24A8" w:rsidRDefault="00EE2B57" w:rsidP="005C4B8B">
      <w:pPr>
        <w:spacing w:line="480" w:lineRule="auto"/>
        <w:ind w:firstLine="72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lastRenderedPageBreak/>
        <w:t xml:space="preserve">While there are some obvious differences that will arise as a result of empirical sample structures (dates, country, and firm coverage etc.) as well as differing choices of empirical methodology, </w:t>
      </w:r>
      <w:bookmarkStart w:id="9" w:name="_Hlk7372285"/>
      <w:r w:rsidRPr="002C24A8">
        <w:rPr>
          <w:rFonts w:ascii="Times New Roman" w:hAnsi="Times New Roman" w:cs="Times New Roman"/>
          <w:sz w:val="24"/>
          <w:szCs w:val="24"/>
          <w:lang w:val="en-US"/>
        </w:rPr>
        <w:t xml:space="preserve">there is an additional, and intuitively unavoidable, measurement issue that must be acknowledged when engaging in </w:t>
      </w:r>
      <w:r w:rsidR="00CA0175" w:rsidRPr="002C24A8">
        <w:rPr>
          <w:rFonts w:ascii="Times New Roman" w:hAnsi="Times New Roman" w:cs="Times New Roman"/>
          <w:sz w:val="24"/>
          <w:szCs w:val="24"/>
          <w:lang w:val="en-US"/>
        </w:rPr>
        <w:t xml:space="preserve">CSR </w:t>
      </w:r>
      <w:r w:rsidRPr="002C24A8">
        <w:rPr>
          <w:rFonts w:ascii="Times New Roman" w:hAnsi="Times New Roman" w:cs="Times New Roman"/>
          <w:sz w:val="24"/>
          <w:szCs w:val="24"/>
          <w:lang w:val="en-US"/>
        </w:rPr>
        <w:t xml:space="preserve">research. </w:t>
      </w:r>
      <w:r w:rsidR="00FE4390" w:rsidRPr="002C24A8">
        <w:rPr>
          <w:rFonts w:ascii="Times New Roman" w:hAnsi="Times New Roman" w:cs="Times New Roman"/>
          <w:sz w:val="24"/>
          <w:szCs w:val="24"/>
          <w:lang w:val="en-US"/>
        </w:rPr>
        <w:t xml:space="preserve">Put simply, there is no standard way to measure </w:t>
      </w:r>
      <w:r w:rsidR="00B8534A" w:rsidRPr="002C24A8">
        <w:rPr>
          <w:rFonts w:ascii="Times New Roman" w:hAnsi="Times New Roman" w:cs="Times New Roman"/>
          <w:sz w:val="24"/>
          <w:szCs w:val="24"/>
          <w:lang w:val="en-US"/>
        </w:rPr>
        <w:t xml:space="preserve">the performance of CSR activities e.g. CSR performance, or more compactly </w:t>
      </w:r>
      <w:r w:rsidR="00FE4390" w:rsidRPr="002C24A8">
        <w:rPr>
          <w:rFonts w:ascii="Times New Roman" w:hAnsi="Times New Roman" w:cs="Times New Roman"/>
          <w:sz w:val="24"/>
          <w:szCs w:val="24"/>
          <w:lang w:val="en-US"/>
        </w:rPr>
        <w:t xml:space="preserve">CSP. </w:t>
      </w:r>
      <w:r w:rsidR="00B8534A" w:rsidRPr="002C24A8">
        <w:rPr>
          <w:rFonts w:ascii="Times New Roman" w:hAnsi="Times New Roman" w:cs="Times New Roman"/>
          <w:sz w:val="24"/>
          <w:szCs w:val="24"/>
          <w:lang w:val="en-US"/>
        </w:rPr>
        <w:t xml:space="preserve">Measures of CSP serve as a proxy for CSR activity by reflecting the level and extent of efforts by firms in CSR activities. </w:t>
      </w:r>
      <w:bookmarkEnd w:id="9"/>
      <w:r w:rsidR="00FE4390" w:rsidRPr="002C24A8">
        <w:rPr>
          <w:rFonts w:ascii="Times New Roman" w:hAnsi="Times New Roman" w:cs="Times New Roman"/>
          <w:sz w:val="24"/>
          <w:szCs w:val="24"/>
          <w:lang w:val="en-US"/>
        </w:rPr>
        <w:t>Early research in this area, for example Sonnenfeld (1982) recognized that ‘corporate social audits’ embedded a high degree of diversity in their reported content, in terms of what was reported and what stakeholders hoped to see. Different stakeholders wanted different information from each other, and often also different information from that which the firm wanted to present. The diversity of information gives rise to an immediate problem of lack of comparability, but is difficult to avoid as stressed by Griffin and Mahon (1997) who summarized the incomparability of 25 years of study on CSP.</w:t>
      </w:r>
      <w:r w:rsidR="007D14F1" w:rsidRPr="002C24A8">
        <w:rPr>
          <w:rStyle w:val="FootnoteReference"/>
          <w:rFonts w:ascii="Times New Roman" w:hAnsi="Times New Roman" w:cs="Times New Roman"/>
          <w:sz w:val="24"/>
          <w:szCs w:val="24"/>
          <w:lang w:val="en-US"/>
        </w:rPr>
        <w:footnoteReference w:id="3"/>
      </w:r>
      <w:r w:rsidR="00FE4390" w:rsidRPr="002C24A8">
        <w:rPr>
          <w:rFonts w:ascii="Times New Roman" w:hAnsi="Times New Roman" w:cs="Times New Roman"/>
          <w:sz w:val="24"/>
          <w:szCs w:val="24"/>
          <w:lang w:val="en-US"/>
        </w:rPr>
        <w:t xml:space="preserve"> The problem remains today as highlighted by the more recent review by Wood (2010)</w:t>
      </w:r>
      <w:r w:rsidR="00CB5D95" w:rsidRPr="002C24A8">
        <w:rPr>
          <w:rFonts w:ascii="Times New Roman" w:hAnsi="Times New Roman" w:cs="Times New Roman"/>
          <w:sz w:val="24"/>
          <w:szCs w:val="24"/>
          <w:lang w:val="en-US"/>
        </w:rPr>
        <w:t>.</w:t>
      </w:r>
      <w:r w:rsidR="00FE4390" w:rsidRPr="002C24A8">
        <w:rPr>
          <w:rFonts w:ascii="Times New Roman" w:hAnsi="Times New Roman" w:cs="Times New Roman"/>
          <w:sz w:val="24"/>
          <w:szCs w:val="24"/>
          <w:lang w:val="en-US"/>
        </w:rPr>
        <w:t xml:space="preserve"> Even when comparable/consistent measures are provided, this is not guaranteed to eliminate all measurement concerns either. Sharfman (1996) for instance explored ‘the construct valid</w:t>
      </w:r>
      <w:r w:rsidR="007D14F1" w:rsidRPr="002C24A8">
        <w:rPr>
          <w:rFonts w:ascii="Times New Roman" w:hAnsi="Times New Roman" w:cs="Times New Roman"/>
          <w:sz w:val="24"/>
          <w:szCs w:val="24"/>
          <w:lang w:val="en-US"/>
        </w:rPr>
        <w:t>i</w:t>
      </w:r>
      <w:r w:rsidR="00FE4390" w:rsidRPr="002C24A8">
        <w:rPr>
          <w:rFonts w:ascii="Times New Roman" w:hAnsi="Times New Roman" w:cs="Times New Roman"/>
          <w:sz w:val="24"/>
          <w:szCs w:val="24"/>
          <w:lang w:val="en-US"/>
        </w:rPr>
        <w:t>ty of the Kinder, Lydenberg &amp; Domini social performance ratings data’ and</w:t>
      </w:r>
      <w:r w:rsidR="005C4B8B" w:rsidRPr="002C24A8">
        <w:rPr>
          <w:rFonts w:ascii="Times New Roman" w:hAnsi="Times New Roman" w:cs="Times New Roman"/>
          <w:sz w:val="24"/>
          <w:szCs w:val="24"/>
          <w:lang w:val="en-US"/>
        </w:rPr>
        <w:t xml:space="preserve"> (among other things) reminded us that there is no single best way to measure CSP. Notwithstanding these points however, for some time there has been a growing consensus that CSP can be found to correlate closely with firm performance metrics, even in the presence of CSP measurement issues, see for instance Orlitzky et al (2003).</w:t>
      </w:r>
    </w:p>
    <w:p w14:paraId="27474BD8" w14:textId="39F8CD1B" w:rsidR="00DE5531" w:rsidRPr="002C24A8" w:rsidRDefault="00DE5531" w:rsidP="007D14F1">
      <w:pPr>
        <w:spacing w:line="480" w:lineRule="auto"/>
        <w:ind w:firstLine="720"/>
        <w:jc w:val="both"/>
        <w:rPr>
          <w:rFonts w:ascii="Times New Roman" w:hAnsi="Times New Roman" w:cs="Times New Roman"/>
          <w:sz w:val="24"/>
          <w:szCs w:val="24"/>
          <w:lang w:val="en-US"/>
        </w:rPr>
      </w:pPr>
    </w:p>
    <w:p w14:paraId="648AF1FA" w14:textId="12408115" w:rsidR="00DE5531" w:rsidRPr="002C24A8" w:rsidRDefault="007D14F1" w:rsidP="00E11D5D">
      <w:pPr>
        <w:spacing w:line="480" w:lineRule="auto"/>
        <w:jc w:val="both"/>
        <w:rPr>
          <w:rFonts w:ascii="Times New Roman" w:hAnsi="Times New Roman" w:cs="Times New Roman"/>
          <w:i/>
          <w:sz w:val="24"/>
          <w:szCs w:val="24"/>
          <w:lang w:val="en-US"/>
        </w:rPr>
      </w:pPr>
      <w:r w:rsidRPr="002C24A8">
        <w:rPr>
          <w:rFonts w:ascii="Times New Roman" w:hAnsi="Times New Roman" w:cs="Times New Roman"/>
          <w:i/>
          <w:sz w:val="24"/>
          <w:szCs w:val="24"/>
          <w:lang w:val="en-US"/>
        </w:rPr>
        <w:lastRenderedPageBreak/>
        <w:t>2.3</w:t>
      </w:r>
      <w:r w:rsidR="00DE5531" w:rsidRPr="002C24A8">
        <w:rPr>
          <w:rFonts w:ascii="Times New Roman" w:hAnsi="Times New Roman" w:cs="Times New Roman"/>
          <w:i/>
          <w:sz w:val="24"/>
          <w:szCs w:val="24"/>
          <w:lang w:val="en-US"/>
        </w:rPr>
        <w:t xml:space="preserve"> </w:t>
      </w:r>
      <w:r w:rsidRPr="002C24A8">
        <w:rPr>
          <w:rFonts w:ascii="Times New Roman" w:hAnsi="Times New Roman" w:cs="Times New Roman"/>
          <w:i/>
          <w:sz w:val="24"/>
          <w:szCs w:val="24"/>
          <w:lang w:val="en-US"/>
        </w:rPr>
        <w:t>The L</w:t>
      </w:r>
      <w:r w:rsidR="00DE5C10" w:rsidRPr="002C24A8">
        <w:rPr>
          <w:rFonts w:ascii="Times New Roman" w:hAnsi="Times New Roman" w:cs="Times New Roman"/>
          <w:i/>
          <w:sz w:val="24"/>
          <w:szCs w:val="24"/>
          <w:lang w:val="en-US"/>
        </w:rPr>
        <w:t xml:space="preserve">ink between </w:t>
      </w:r>
      <w:r w:rsidR="00DE5531" w:rsidRPr="002C24A8">
        <w:rPr>
          <w:rFonts w:ascii="Times New Roman" w:hAnsi="Times New Roman" w:cs="Times New Roman"/>
          <w:i/>
          <w:sz w:val="24"/>
          <w:szCs w:val="24"/>
          <w:lang w:val="en-US"/>
        </w:rPr>
        <w:t>CSR and Innovation Capacity</w:t>
      </w:r>
    </w:p>
    <w:p w14:paraId="1C8AE946" w14:textId="6A011908" w:rsidR="00DE5C10" w:rsidRPr="002C24A8" w:rsidRDefault="007D14F1" w:rsidP="00E11D5D">
      <w:pPr>
        <w:spacing w:line="480" w:lineRule="auto"/>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2.3</w:t>
      </w:r>
      <w:r w:rsidR="00DE5C10" w:rsidRPr="002C24A8">
        <w:rPr>
          <w:rFonts w:ascii="Times New Roman" w:hAnsi="Times New Roman" w:cs="Times New Roman"/>
          <w:sz w:val="24"/>
          <w:szCs w:val="24"/>
          <w:lang w:val="en-US"/>
        </w:rPr>
        <w:t xml:space="preserve">.1 </w:t>
      </w:r>
      <w:r w:rsidR="009E3CE4" w:rsidRPr="002C24A8">
        <w:rPr>
          <w:rFonts w:ascii="Times New Roman" w:hAnsi="Times New Roman" w:cs="Times New Roman"/>
          <w:sz w:val="24"/>
          <w:szCs w:val="24"/>
          <w:lang w:val="en-US"/>
        </w:rPr>
        <w:t>CSR, R&amp;D expenditure and innovation</w:t>
      </w:r>
      <w:r w:rsidR="00DE5C10" w:rsidRPr="002C24A8">
        <w:rPr>
          <w:rFonts w:ascii="Times New Roman" w:hAnsi="Times New Roman" w:cs="Times New Roman"/>
          <w:sz w:val="24"/>
          <w:szCs w:val="24"/>
          <w:lang w:val="en-US"/>
        </w:rPr>
        <w:t xml:space="preserve"> </w:t>
      </w:r>
    </w:p>
    <w:p w14:paraId="32238A98" w14:textId="484A92A1" w:rsidR="00166F2A" w:rsidRPr="002C24A8" w:rsidRDefault="00EE2B57" w:rsidP="00166F2A">
      <w:pPr>
        <w:spacing w:line="480" w:lineRule="auto"/>
        <w:ind w:firstLine="72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A separate </w:t>
      </w:r>
      <w:r w:rsidR="007630BC" w:rsidRPr="002C24A8">
        <w:rPr>
          <w:rFonts w:ascii="Times New Roman" w:hAnsi="Times New Roman" w:cs="Times New Roman"/>
          <w:sz w:val="24"/>
          <w:szCs w:val="24"/>
          <w:lang w:val="en-US"/>
        </w:rPr>
        <w:t xml:space="preserve">strand of the </w:t>
      </w:r>
      <w:r w:rsidR="00277BC1" w:rsidRPr="002C24A8">
        <w:rPr>
          <w:rFonts w:ascii="Times New Roman" w:hAnsi="Times New Roman" w:cs="Times New Roman"/>
          <w:sz w:val="24"/>
          <w:szCs w:val="24"/>
          <w:lang w:val="en-US"/>
        </w:rPr>
        <w:t xml:space="preserve">literature </w:t>
      </w:r>
      <w:r w:rsidRPr="002C24A8">
        <w:rPr>
          <w:rFonts w:ascii="Times New Roman" w:hAnsi="Times New Roman" w:cs="Times New Roman"/>
          <w:sz w:val="24"/>
          <w:szCs w:val="24"/>
          <w:lang w:val="en-US"/>
        </w:rPr>
        <w:t xml:space="preserve">that is closely related to our own work </w:t>
      </w:r>
      <w:r w:rsidR="00277BC1" w:rsidRPr="002C24A8">
        <w:rPr>
          <w:rFonts w:ascii="Times New Roman" w:hAnsi="Times New Roman" w:cs="Times New Roman"/>
          <w:sz w:val="24"/>
          <w:szCs w:val="24"/>
          <w:lang w:val="en-US"/>
        </w:rPr>
        <w:t>is</w:t>
      </w:r>
      <w:r w:rsidR="007630BC" w:rsidRPr="002C24A8">
        <w:rPr>
          <w:rFonts w:ascii="Times New Roman" w:hAnsi="Times New Roman" w:cs="Times New Roman"/>
          <w:sz w:val="24"/>
          <w:szCs w:val="24"/>
          <w:lang w:val="en-US"/>
        </w:rPr>
        <w:t xml:space="preserve"> </w:t>
      </w:r>
      <w:r w:rsidR="00163BB9" w:rsidRPr="002C24A8">
        <w:rPr>
          <w:rFonts w:ascii="Times New Roman" w:hAnsi="Times New Roman" w:cs="Times New Roman"/>
          <w:sz w:val="24"/>
          <w:szCs w:val="24"/>
          <w:lang w:val="en-US"/>
        </w:rPr>
        <w:t>concerned with</w:t>
      </w:r>
      <w:r w:rsidR="007630BC" w:rsidRPr="002C24A8">
        <w:rPr>
          <w:rFonts w:ascii="Times New Roman" w:hAnsi="Times New Roman" w:cs="Times New Roman"/>
          <w:sz w:val="24"/>
          <w:szCs w:val="24"/>
          <w:lang w:val="en-US"/>
        </w:rPr>
        <w:t xml:space="preserve"> </w:t>
      </w:r>
      <w:r w:rsidR="00277BC1" w:rsidRPr="002C24A8">
        <w:rPr>
          <w:rFonts w:ascii="Times New Roman" w:hAnsi="Times New Roman" w:cs="Times New Roman"/>
          <w:sz w:val="24"/>
          <w:szCs w:val="24"/>
          <w:lang w:val="en-US"/>
        </w:rPr>
        <w:t>the interlinkages of environmental regulation, CSR and innovation</w:t>
      </w:r>
      <w:r w:rsidR="009E0FC8" w:rsidRPr="002C24A8">
        <w:rPr>
          <w:rFonts w:ascii="Times New Roman" w:hAnsi="Times New Roman" w:cs="Times New Roman"/>
          <w:sz w:val="24"/>
          <w:szCs w:val="24"/>
          <w:lang w:val="en-US"/>
        </w:rPr>
        <w:t xml:space="preserve"> or in the establishment of an empirical link among CSR and R&amp;D expenditure</w:t>
      </w:r>
      <w:r w:rsidR="00E15846" w:rsidRPr="002C24A8">
        <w:rPr>
          <w:rFonts w:ascii="Times New Roman" w:hAnsi="Times New Roman" w:cs="Times New Roman"/>
          <w:sz w:val="24"/>
          <w:szCs w:val="24"/>
          <w:lang w:val="en-US"/>
        </w:rPr>
        <w:t>. On</w:t>
      </w:r>
      <w:r w:rsidR="009E0FC8" w:rsidRPr="002C24A8">
        <w:rPr>
          <w:rFonts w:ascii="Times New Roman" w:hAnsi="Times New Roman" w:cs="Times New Roman"/>
          <w:sz w:val="24"/>
          <w:szCs w:val="24"/>
          <w:lang w:val="en-US"/>
        </w:rPr>
        <w:t>e</w:t>
      </w:r>
      <w:r w:rsidR="00E15846" w:rsidRPr="002C24A8">
        <w:rPr>
          <w:rFonts w:ascii="Times New Roman" w:hAnsi="Times New Roman" w:cs="Times New Roman"/>
          <w:sz w:val="24"/>
          <w:szCs w:val="24"/>
          <w:lang w:val="en-US"/>
        </w:rPr>
        <w:t xml:space="preserve"> </w:t>
      </w:r>
      <w:r w:rsidR="0099775A" w:rsidRPr="002C24A8">
        <w:rPr>
          <w:rFonts w:ascii="Times New Roman" w:hAnsi="Times New Roman" w:cs="Times New Roman"/>
          <w:sz w:val="24"/>
          <w:szCs w:val="24"/>
          <w:lang w:val="en-US"/>
        </w:rPr>
        <w:t xml:space="preserve">of </w:t>
      </w:r>
      <w:r w:rsidR="00E15846" w:rsidRPr="002C24A8">
        <w:rPr>
          <w:rFonts w:ascii="Times New Roman" w:hAnsi="Times New Roman" w:cs="Times New Roman"/>
          <w:sz w:val="24"/>
          <w:szCs w:val="24"/>
          <w:lang w:val="en-US"/>
        </w:rPr>
        <w:t xml:space="preserve">the </w:t>
      </w:r>
      <w:r w:rsidR="00163BB9" w:rsidRPr="002C24A8">
        <w:rPr>
          <w:rFonts w:ascii="Times New Roman" w:hAnsi="Times New Roman" w:cs="Times New Roman"/>
          <w:sz w:val="24"/>
          <w:szCs w:val="24"/>
          <w:lang w:val="en-US"/>
        </w:rPr>
        <w:t>first studies</w:t>
      </w:r>
      <w:r w:rsidR="00E236C7" w:rsidRPr="002C24A8">
        <w:rPr>
          <w:rFonts w:ascii="Times New Roman" w:hAnsi="Times New Roman" w:cs="Times New Roman"/>
          <w:sz w:val="24"/>
          <w:szCs w:val="24"/>
          <w:lang w:val="en-US"/>
        </w:rPr>
        <w:t xml:space="preserve"> </w:t>
      </w:r>
      <w:r w:rsidR="007630BC" w:rsidRPr="002C24A8">
        <w:rPr>
          <w:rFonts w:ascii="Times New Roman" w:hAnsi="Times New Roman" w:cs="Times New Roman"/>
          <w:sz w:val="24"/>
          <w:szCs w:val="24"/>
          <w:lang w:val="en-US"/>
        </w:rPr>
        <w:t xml:space="preserve">was presented </w:t>
      </w:r>
      <w:r w:rsidR="008013CC" w:rsidRPr="002C24A8">
        <w:rPr>
          <w:rFonts w:ascii="Times New Roman" w:hAnsi="Times New Roman" w:cs="Times New Roman"/>
          <w:sz w:val="24"/>
          <w:szCs w:val="24"/>
          <w:lang w:val="en-US"/>
        </w:rPr>
        <w:t>by Jaffe</w:t>
      </w:r>
      <w:r w:rsidR="00E15846" w:rsidRPr="002C24A8">
        <w:rPr>
          <w:rFonts w:ascii="Times New Roman" w:hAnsi="Times New Roman" w:cs="Times New Roman"/>
          <w:sz w:val="24"/>
          <w:szCs w:val="24"/>
          <w:lang w:val="en-US"/>
        </w:rPr>
        <w:t xml:space="preserve"> and Palmer (1997)</w:t>
      </w:r>
      <w:r w:rsidR="007630BC" w:rsidRPr="002C24A8">
        <w:rPr>
          <w:rFonts w:ascii="Times New Roman" w:hAnsi="Times New Roman" w:cs="Times New Roman"/>
          <w:sz w:val="24"/>
          <w:szCs w:val="24"/>
          <w:lang w:val="en-US"/>
        </w:rPr>
        <w:t xml:space="preserve">. They provide </w:t>
      </w:r>
      <w:r w:rsidR="00E15846" w:rsidRPr="002C24A8">
        <w:rPr>
          <w:rFonts w:ascii="Times New Roman" w:hAnsi="Times New Roman" w:cs="Times New Roman"/>
          <w:sz w:val="24"/>
          <w:szCs w:val="24"/>
          <w:lang w:val="en-US"/>
        </w:rPr>
        <w:t>evidence of significant positive effect</w:t>
      </w:r>
      <w:r w:rsidR="00BB48CF" w:rsidRPr="002C24A8">
        <w:rPr>
          <w:rFonts w:ascii="Times New Roman" w:hAnsi="Times New Roman" w:cs="Times New Roman"/>
          <w:sz w:val="24"/>
          <w:szCs w:val="24"/>
          <w:lang w:val="en-US"/>
        </w:rPr>
        <w:t>s</w:t>
      </w:r>
      <w:r w:rsidR="00E15846" w:rsidRPr="002C24A8">
        <w:rPr>
          <w:rFonts w:ascii="Times New Roman" w:hAnsi="Times New Roman" w:cs="Times New Roman"/>
          <w:sz w:val="24"/>
          <w:szCs w:val="24"/>
          <w:lang w:val="en-US"/>
        </w:rPr>
        <w:t xml:space="preserve"> of environmental compliance expenditures on R&amp;D expenditure</w:t>
      </w:r>
      <w:r w:rsidR="00E236C7" w:rsidRPr="002C24A8">
        <w:rPr>
          <w:rFonts w:ascii="Times New Roman" w:hAnsi="Times New Roman" w:cs="Times New Roman"/>
          <w:sz w:val="24"/>
          <w:szCs w:val="24"/>
          <w:lang w:val="en-US"/>
        </w:rPr>
        <w:t xml:space="preserve"> for regulated industries.</w:t>
      </w:r>
      <w:r w:rsidR="006B7D57" w:rsidRPr="002C24A8">
        <w:rPr>
          <w:rStyle w:val="FootnoteReference"/>
          <w:rFonts w:ascii="Times New Roman" w:hAnsi="Times New Roman" w:cs="Times New Roman"/>
          <w:sz w:val="24"/>
          <w:szCs w:val="24"/>
          <w:lang w:val="en-US"/>
        </w:rPr>
        <w:footnoteReference w:id="4"/>
      </w:r>
      <w:r w:rsidR="00E15846" w:rsidRPr="002C24A8">
        <w:rPr>
          <w:rFonts w:ascii="Times New Roman" w:hAnsi="Times New Roman" w:cs="Times New Roman"/>
          <w:sz w:val="24"/>
          <w:szCs w:val="24"/>
          <w:lang w:val="en-US"/>
        </w:rPr>
        <w:t xml:space="preserve"> </w:t>
      </w:r>
      <w:r w:rsidR="00D7484C" w:rsidRPr="002C24A8">
        <w:rPr>
          <w:rFonts w:ascii="Times New Roman" w:hAnsi="Times New Roman" w:cs="Times New Roman"/>
          <w:sz w:val="24"/>
          <w:szCs w:val="24"/>
          <w:lang w:val="en-US"/>
        </w:rPr>
        <w:t>Similarly, McWilliams and Siegel (2000) provide empirical evidence for a positive correlation among CSR and R&amp;D investment</w:t>
      </w:r>
      <w:r w:rsidR="00166F2A" w:rsidRPr="002C24A8">
        <w:rPr>
          <w:rFonts w:ascii="Times New Roman" w:hAnsi="Times New Roman" w:cs="Times New Roman"/>
          <w:sz w:val="24"/>
          <w:szCs w:val="24"/>
          <w:lang w:val="en-US"/>
        </w:rPr>
        <w:t>.</w:t>
      </w:r>
    </w:p>
    <w:p w14:paraId="65A4D5C8" w14:textId="449DE356" w:rsidR="00786C02" w:rsidRPr="002C24A8" w:rsidRDefault="00E236C7" w:rsidP="00760F64">
      <w:pPr>
        <w:spacing w:line="480" w:lineRule="auto"/>
        <w:ind w:firstLine="72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This finding also aligns with</w:t>
      </w:r>
      <w:r w:rsidR="00E15846" w:rsidRPr="002C24A8">
        <w:rPr>
          <w:rFonts w:ascii="Times New Roman" w:hAnsi="Times New Roman" w:cs="Times New Roman"/>
          <w:sz w:val="24"/>
          <w:szCs w:val="24"/>
          <w:lang w:val="en-US"/>
        </w:rPr>
        <w:t xml:space="preserve"> Porter’s view</w:t>
      </w:r>
      <w:r w:rsidR="00F85EC4" w:rsidRPr="002C24A8">
        <w:rPr>
          <w:rFonts w:ascii="Times New Roman" w:hAnsi="Times New Roman" w:cs="Times New Roman"/>
          <w:sz w:val="24"/>
          <w:szCs w:val="24"/>
          <w:lang w:val="en-US"/>
        </w:rPr>
        <w:t xml:space="preserve"> (Porter 1991; Porter &amp; van der Linde, 1995)</w:t>
      </w:r>
      <w:r w:rsidR="00BB48CF" w:rsidRPr="002C24A8">
        <w:rPr>
          <w:rFonts w:ascii="Times New Roman" w:hAnsi="Times New Roman" w:cs="Times New Roman"/>
          <w:sz w:val="24"/>
          <w:szCs w:val="24"/>
          <w:lang w:val="en-US"/>
        </w:rPr>
        <w:t xml:space="preserve">. Porter </w:t>
      </w:r>
      <w:r w:rsidR="00F85EC4" w:rsidRPr="002C24A8">
        <w:rPr>
          <w:rFonts w:ascii="Times New Roman" w:hAnsi="Times New Roman" w:cs="Times New Roman"/>
          <w:sz w:val="24"/>
          <w:szCs w:val="24"/>
          <w:lang w:val="en-US"/>
        </w:rPr>
        <w:t xml:space="preserve">and colleagues </w:t>
      </w:r>
      <w:r w:rsidR="00BB48CF" w:rsidRPr="002C24A8">
        <w:rPr>
          <w:rFonts w:ascii="Times New Roman" w:hAnsi="Times New Roman" w:cs="Times New Roman"/>
          <w:sz w:val="24"/>
          <w:szCs w:val="24"/>
          <w:lang w:val="en-US"/>
        </w:rPr>
        <w:t>(</w:t>
      </w:r>
      <w:r w:rsidR="00F85EC4" w:rsidRPr="002C24A8">
        <w:rPr>
          <w:rFonts w:ascii="Times New Roman" w:hAnsi="Times New Roman" w:cs="Times New Roman"/>
          <w:sz w:val="24"/>
          <w:szCs w:val="24"/>
          <w:lang w:val="en-US"/>
        </w:rPr>
        <w:t xml:space="preserve">Porter, </w:t>
      </w:r>
      <w:r w:rsidR="00BB48CF" w:rsidRPr="002C24A8">
        <w:rPr>
          <w:rFonts w:ascii="Times New Roman" w:hAnsi="Times New Roman" w:cs="Times New Roman"/>
          <w:sz w:val="24"/>
          <w:szCs w:val="24"/>
          <w:lang w:val="en-US"/>
        </w:rPr>
        <w:t>1991</w:t>
      </w:r>
      <w:r w:rsidR="001018CF" w:rsidRPr="002C24A8">
        <w:rPr>
          <w:rFonts w:ascii="Times New Roman" w:hAnsi="Times New Roman" w:cs="Times New Roman"/>
          <w:sz w:val="24"/>
          <w:szCs w:val="24"/>
          <w:lang w:val="en-US"/>
        </w:rPr>
        <w:t>; Porter &amp; van</w:t>
      </w:r>
      <w:r w:rsidR="00F85EC4" w:rsidRPr="002C24A8">
        <w:rPr>
          <w:rFonts w:ascii="Times New Roman" w:hAnsi="Times New Roman" w:cs="Times New Roman"/>
          <w:sz w:val="24"/>
          <w:szCs w:val="24"/>
          <w:lang w:val="en-US"/>
        </w:rPr>
        <w:t xml:space="preserve"> der Linde 1995</w:t>
      </w:r>
      <w:r w:rsidR="00BB48CF" w:rsidRPr="002C24A8">
        <w:rPr>
          <w:rFonts w:ascii="Times New Roman" w:hAnsi="Times New Roman" w:cs="Times New Roman"/>
          <w:sz w:val="24"/>
          <w:szCs w:val="24"/>
          <w:lang w:val="en-US"/>
        </w:rPr>
        <w:t>) suggest</w:t>
      </w:r>
      <w:r w:rsidR="003A618B" w:rsidRPr="002C24A8">
        <w:rPr>
          <w:rFonts w:ascii="Times New Roman" w:hAnsi="Times New Roman" w:cs="Times New Roman"/>
          <w:sz w:val="24"/>
          <w:szCs w:val="24"/>
          <w:lang w:val="en-US"/>
        </w:rPr>
        <w:t>ed</w:t>
      </w:r>
      <w:r w:rsidR="00BB48CF" w:rsidRPr="002C24A8">
        <w:rPr>
          <w:rFonts w:ascii="Times New Roman" w:hAnsi="Times New Roman" w:cs="Times New Roman"/>
          <w:sz w:val="24"/>
          <w:szCs w:val="24"/>
          <w:lang w:val="en-US"/>
        </w:rPr>
        <w:t xml:space="preserve"> </w:t>
      </w:r>
      <w:r w:rsidR="00E15846" w:rsidRPr="002C24A8">
        <w:rPr>
          <w:rFonts w:ascii="Times New Roman" w:hAnsi="Times New Roman" w:cs="Times New Roman"/>
          <w:sz w:val="24"/>
          <w:szCs w:val="24"/>
          <w:lang w:val="en-US"/>
        </w:rPr>
        <w:t>that environmental regulation has a positive effect on firms’ performance levels</w:t>
      </w:r>
      <w:r w:rsidR="00745F30" w:rsidRPr="002C24A8">
        <w:rPr>
          <w:rFonts w:ascii="Times New Roman" w:hAnsi="Times New Roman" w:cs="Times New Roman"/>
          <w:sz w:val="24"/>
          <w:szCs w:val="24"/>
          <w:lang w:val="en-US"/>
        </w:rPr>
        <w:t xml:space="preserve"> through the enhancement of innovation and competitiveness</w:t>
      </w:r>
      <w:r w:rsidR="00E15846" w:rsidRPr="002C24A8">
        <w:rPr>
          <w:rFonts w:ascii="Times New Roman" w:hAnsi="Times New Roman" w:cs="Times New Roman"/>
          <w:sz w:val="24"/>
          <w:szCs w:val="24"/>
          <w:lang w:val="en-US"/>
        </w:rPr>
        <w:t xml:space="preserve">. </w:t>
      </w:r>
      <w:r w:rsidR="00F85EC4" w:rsidRPr="002C24A8">
        <w:rPr>
          <w:rFonts w:ascii="Times New Roman" w:hAnsi="Times New Roman" w:cs="Times New Roman"/>
          <w:sz w:val="24"/>
          <w:szCs w:val="24"/>
          <w:lang w:val="en-US"/>
        </w:rPr>
        <w:t>More recently, Porter &amp; Kramer (</w:t>
      </w:r>
      <w:r w:rsidR="008338F8" w:rsidRPr="002C24A8">
        <w:rPr>
          <w:rFonts w:ascii="Times New Roman" w:hAnsi="Times New Roman" w:cs="Times New Roman"/>
          <w:sz w:val="24"/>
          <w:szCs w:val="24"/>
          <w:lang w:val="en-US"/>
        </w:rPr>
        <w:t xml:space="preserve">2007, </w:t>
      </w:r>
      <w:r w:rsidR="00F85EC4" w:rsidRPr="002C24A8">
        <w:rPr>
          <w:rFonts w:ascii="Times New Roman" w:hAnsi="Times New Roman" w:cs="Times New Roman"/>
          <w:sz w:val="24"/>
          <w:szCs w:val="24"/>
          <w:lang w:val="en-US"/>
        </w:rPr>
        <w:t xml:space="preserve">2011) </w:t>
      </w:r>
      <w:r w:rsidR="008338F8" w:rsidRPr="002C24A8">
        <w:rPr>
          <w:rFonts w:ascii="Times New Roman" w:hAnsi="Times New Roman" w:cs="Times New Roman"/>
          <w:sz w:val="24"/>
          <w:szCs w:val="24"/>
          <w:lang w:val="en-US"/>
        </w:rPr>
        <w:t xml:space="preserve">advocate that CSR can be a potent source of innovation and competitive advantage and </w:t>
      </w:r>
      <w:r w:rsidR="00F85EC4" w:rsidRPr="002C24A8">
        <w:rPr>
          <w:rFonts w:ascii="Times New Roman" w:hAnsi="Times New Roman" w:cs="Times New Roman"/>
          <w:sz w:val="24"/>
          <w:szCs w:val="24"/>
          <w:lang w:val="en-US"/>
        </w:rPr>
        <w:t xml:space="preserve">have refined these ideas in </w:t>
      </w:r>
      <w:r w:rsidR="001018CF" w:rsidRPr="002C24A8">
        <w:rPr>
          <w:rFonts w:ascii="Times New Roman" w:hAnsi="Times New Roman" w:cs="Times New Roman"/>
          <w:sz w:val="24"/>
          <w:szCs w:val="24"/>
          <w:lang w:val="en-US"/>
        </w:rPr>
        <w:t>the notion of shared</w:t>
      </w:r>
      <w:r w:rsidR="00A03779" w:rsidRPr="002C24A8">
        <w:rPr>
          <w:rFonts w:ascii="Times New Roman" w:hAnsi="Times New Roman" w:cs="Times New Roman"/>
          <w:sz w:val="24"/>
          <w:szCs w:val="24"/>
          <w:lang w:val="en-US"/>
        </w:rPr>
        <w:t xml:space="preserve">-value creation. </w:t>
      </w:r>
      <w:r w:rsidR="00760F64" w:rsidRPr="002C24A8">
        <w:rPr>
          <w:rFonts w:ascii="Times New Roman" w:hAnsi="Times New Roman" w:cs="Times New Roman"/>
          <w:sz w:val="24"/>
          <w:szCs w:val="24"/>
          <w:lang w:val="en-US"/>
        </w:rPr>
        <w:t>More recently, Saedi et al. (2015) offer evidence that link competitive advantage and financial performance to CSR engagement for the businesses they surveyed.</w:t>
      </w:r>
    </w:p>
    <w:p w14:paraId="374D7A81" w14:textId="7827441D" w:rsidR="003F0360" w:rsidRPr="002C24A8" w:rsidRDefault="00760F64" w:rsidP="003F0360">
      <w:pPr>
        <w:spacing w:line="480" w:lineRule="auto"/>
        <w:ind w:firstLine="72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Hull and Rothenberg (2008) suggest that firms’ involvement in CSR activities affect positively their performance through the adoption of innovation related processes. In particular they argue that CSR activities enhance firms’ innovation capacity</w:t>
      </w:r>
      <w:r w:rsidR="001B54D8">
        <w:rPr>
          <w:rFonts w:ascii="Times New Roman" w:hAnsi="Times New Roman" w:cs="Times New Roman"/>
          <w:sz w:val="24"/>
          <w:szCs w:val="24"/>
          <w:lang w:val="en-US"/>
        </w:rPr>
        <w:t>,</w:t>
      </w:r>
      <w:r w:rsidRPr="002C24A8">
        <w:rPr>
          <w:rFonts w:ascii="Times New Roman" w:hAnsi="Times New Roman" w:cs="Times New Roman"/>
          <w:sz w:val="24"/>
          <w:szCs w:val="24"/>
          <w:lang w:val="en-US"/>
        </w:rPr>
        <w:t xml:space="preserve"> from which they increase their </w:t>
      </w:r>
      <w:r w:rsidRPr="002C24A8">
        <w:rPr>
          <w:rFonts w:ascii="Times New Roman" w:hAnsi="Times New Roman" w:cs="Times New Roman"/>
          <w:sz w:val="24"/>
          <w:szCs w:val="24"/>
          <w:lang w:val="en-US"/>
        </w:rPr>
        <w:lastRenderedPageBreak/>
        <w:t>ability to differentiate and gain competitive advantages (Hart, 1995; McGahan and Porter, 1997; Russo and Fouts, 1997).</w:t>
      </w:r>
      <w:r w:rsidR="003F0360" w:rsidRPr="002C24A8">
        <w:rPr>
          <w:rFonts w:ascii="Times New Roman" w:hAnsi="Times New Roman" w:cs="Times New Roman"/>
          <w:sz w:val="24"/>
          <w:szCs w:val="24"/>
          <w:lang w:val="en-US"/>
        </w:rPr>
        <w:t xml:space="preserve"> This is supported also by </w:t>
      </w:r>
      <w:r w:rsidR="003F0360" w:rsidRPr="002C24A8">
        <w:rPr>
          <w:rStyle w:val="dbox-example"/>
          <w:rFonts w:ascii="Times New Roman" w:hAnsi="Times New Roman" w:cs="Times New Roman"/>
          <w:sz w:val="24"/>
          <w:szCs w:val="24"/>
          <w:lang w:val="en-US"/>
        </w:rPr>
        <w:t>Bocquet et al. (2013) who find that firms engaging in CSR activities are more likely to be innovative in terms of their processes and generation of products.</w:t>
      </w:r>
    </w:p>
    <w:p w14:paraId="172752C5" w14:textId="0DDE4FD0" w:rsidR="003F0360" w:rsidRPr="002C24A8" w:rsidRDefault="00786C02">
      <w:pPr>
        <w:spacing w:line="480" w:lineRule="auto"/>
        <w:ind w:firstLine="72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Following a stakeholder perspective</w:t>
      </w:r>
      <w:r w:rsidR="0019528A" w:rsidRPr="002C24A8">
        <w:rPr>
          <w:rFonts w:ascii="Times New Roman" w:hAnsi="Times New Roman" w:cs="Times New Roman"/>
          <w:sz w:val="24"/>
          <w:szCs w:val="24"/>
          <w:lang w:val="en-US"/>
        </w:rPr>
        <w:t xml:space="preserve">, authors, such as </w:t>
      </w:r>
      <w:r w:rsidRPr="002C24A8">
        <w:rPr>
          <w:rFonts w:ascii="Times New Roman" w:hAnsi="Times New Roman" w:cs="Times New Roman"/>
          <w:sz w:val="24"/>
          <w:szCs w:val="24"/>
          <w:lang w:val="en-US"/>
        </w:rPr>
        <w:t>Costa el.</w:t>
      </w:r>
      <w:r w:rsidR="0019528A" w:rsidRPr="002C24A8">
        <w:rPr>
          <w:rFonts w:ascii="Times New Roman" w:hAnsi="Times New Roman" w:cs="Times New Roman"/>
          <w:sz w:val="24"/>
          <w:szCs w:val="24"/>
          <w:lang w:val="en-US"/>
        </w:rPr>
        <w:t xml:space="preserve"> (</w:t>
      </w:r>
      <w:r w:rsidRPr="002C24A8">
        <w:rPr>
          <w:rFonts w:ascii="Times New Roman" w:hAnsi="Times New Roman" w:cs="Times New Roman"/>
          <w:sz w:val="24"/>
          <w:szCs w:val="24"/>
          <w:lang w:val="en-US"/>
        </w:rPr>
        <w:t>2015</w:t>
      </w:r>
      <w:r w:rsidR="0082432E" w:rsidRPr="002C24A8">
        <w:rPr>
          <w:rFonts w:ascii="Times New Roman" w:hAnsi="Times New Roman" w:cs="Times New Roman"/>
          <w:sz w:val="24"/>
          <w:szCs w:val="24"/>
          <w:lang w:val="en-US"/>
        </w:rPr>
        <w:t xml:space="preserve">) and </w:t>
      </w:r>
      <w:r w:rsidRPr="002C24A8">
        <w:rPr>
          <w:rFonts w:ascii="Times New Roman" w:hAnsi="Times New Roman" w:cs="Times New Roman"/>
          <w:sz w:val="24"/>
          <w:szCs w:val="24"/>
          <w:lang w:val="en-US"/>
        </w:rPr>
        <w:t>Herrera</w:t>
      </w:r>
      <w:r w:rsidR="0019528A" w:rsidRPr="002C24A8">
        <w:rPr>
          <w:rFonts w:ascii="Times New Roman" w:hAnsi="Times New Roman" w:cs="Times New Roman"/>
          <w:sz w:val="24"/>
          <w:szCs w:val="24"/>
          <w:lang w:val="en-US"/>
        </w:rPr>
        <w:t xml:space="preserve"> (</w:t>
      </w:r>
      <w:r w:rsidRPr="002C24A8">
        <w:rPr>
          <w:rFonts w:ascii="Times New Roman" w:hAnsi="Times New Roman" w:cs="Times New Roman"/>
          <w:sz w:val="24"/>
          <w:szCs w:val="24"/>
          <w:lang w:val="en-US"/>
        </w:rPr>
        <w:t>2015)</w:t>
      </w:r>
      <w:r w:rsidR="00AB6135" w:rsidRPr="002C24A8">
        <w:rPr>
          <w:rFonts w:ascii="Times New Roman" w:hAnsi="Times New Roman" w:cs="Times New Roman"/>
          <w:sz w:val="24"/>
          <w:szCs w:val="24"/>
          <w:lang w:val="en-US"/>
        </w:rPr>
        <w:t>,</w:t>
      </w:r>
      <w:r w:rsidR="0019528A" w:rsidRPr="002C24A8">
        <w:rPr>
          <w:rFonts w:ascii="Times New Roman" w:hAnsi="Times New Roman" w:cs="Times New Roman"/>
          <w:sz w:val="24"/>
          <w:szCs w:val="24"/>
          <w:lang w:val="en-US"/>
        </w:rPr>
        <w:t xml:space="preserve"> suggest that</w:t>
      </w:r>
      <w:r w:rsidR="00AB6135" w:rsidRPr="002C24A8">
        <w:rPr>
          <w:rFonts w:ascii="Times New Roman" w:hAnsi="Times New Roman" w:cs="Times New Roman"/>
          <w:sz w:val="24"/>
          <w:szCs w:val="24"/>
          <w:lang w:val="en-US"/>
        </w:rPr>
        <w:t xml:space="preserve"> management is better placed to identify and respond to strategic opportunities and challenges </w:t>
      </w:r>
      <w:r w:rsidR="0019528A" w:rsidRPr="002C24A8">
        <w:rPr>
          <w:rFonts w:ascii="Times New Roman" w:hAnsi="Times New Roman" w:cs="Times New Roman"/>
          <w:sz w:val="24"/>
          <w:szCs w:val="24"/>
          <w:lang w:val="en-US"/>
        </w:rPr>
        <w:t xml:space="preserve">thanks to </w:t>
      </w:r>
      <w:r w:rsidR="00AB6135" w:rsidRPr="002C24A8">
        <w:rPr>
          <w:rFonts w:ascii="Times New Roman" w:hAnsi="Times New Roman" w:cs="Times New Roman"/>
          <w:sz w:val="24"/>
          <w:szCs w:val="24"/>
          <w:lang w:val="en-US"/>
        </w:rPr>
        <w:t xml:space="preserve">them </w:t>
      </w:r>
      <w:r w:rsidR="0019528A" w:rsidRPr="002C24A8">
        <w:rPr>
          <w:rFonts w:ascii="Times New Roman" w:hAnsi="Times New Roman" w:cs="Times New Roman"/>
          <w:sz w:val="24"/>
          <w:szCs w:val="24"/>
          <w:lang w:val="en-US"/>
        </w:rPr>
        <w:t xml:space="preserve">engaging in </w:t>
      </w:r>
      <w:r w:rsidRPr="002C24A8">
        <w:rPr>
          <w:rFonts w:ascii="Times New Roman" w:hAnsi="Times New Roman" w:cs="Times New Roman"/>
          <w:sz w:val="24"/>
          <w:szCs w:val="24"/>
          <w:lang w:val="en-US"/>
        </w:rPr>
        <w:t xml:space="preserve">CSR </w:t>
      </w:r>
      <w:r w:rsidR="0019528A" w:rsidRPr="002C24A8">
        <w:rPr>
          <w:rFonts w:ascii="Times New Roman" w:hAnsi="Times New Roman" w:cs="Times New Roman"/>
          <w:sz w:val="24"/>
          <w:szCs w:val="24"/>
          <w:lang w:val="en-US"/>
        </w:rPr>
        <w:t xml:space="preserve">and </w:t>
      </w:r>
      <w:r w:rsidRPr="002C24A8">
        <w:rPr>
          <w:rFonts w:ascii="Times New Roman" w:hAnsi="Times New Roman" w:cs="Times New Roman"/>
          <w:sz w:val="24"/>
          <w:szCs w:val="24"/>
          <w:lang w:val="en-US"/>
        </w:rPr>
        <w:t>continually evaluating corporate influences and relationships with s</w:t>
      </w:r>
      <w:r w:rsidR="00AB6135" w:rsidRPr="002C24A8">
        <w:rPr>
          <w:rFonts w:ascii="Times New Roman" w:hAnsi="Times New Roman" w:cs="Times New Roman"/>
          <w:sz w:val="24"/>
          <w:szCs w:val="24"/>
          <w:lang w:val="en-US"/>
        </w:rPr>
        <w:t>takeholders and the environment</w:t>
      </w:r>
      <w:r w:rsidRPr="002C24A8">
        <w:rPr>
          <w:rFonts w:ascii="Times New Roman" w:hAnsi="Times New Roman" w:cs="Times New Roman"/>
          <w:sz w:val="24"/>
          <w:szCs w:val="24"/>
          <w:lang w:val="en-US"/>
        </w:rPr>
        <w:t xml:space="preserve">. </w:t>
      </w:r>
      <w:r w:rsidR="0082432E" w:rsidRPr="002C24A8">
        <w:rPr>
          <w:rFonts w:ascii="Times New Roman" w:hAnsi="Times New Roman" w:cs="Times New Roman"/>
          <w:sz w:val="24"/>
          <w:szCs w:val="24"/>
          <w:lang w:val="en-US"/>
        </w:rPr>
        <w:t xml:space="preserve">Stakeholder and macro-environment assessments are seen as critical for successful innovation and achieving competitive advantage (Ferauge, 2013; Herrera, 2007; Li &amp; Liu, 2014). </w:t>
      </w:r>
      <w:r w:rsidR="00760F64" w:rsidRPr="002C24A8">
        <w:rPr>
          <w:rFonts w:ascii="Times New Roman" w:hAnsi="Times New Roman" w:cs="Times New Roman"/>
          <w:sz w:val="24"/>
          <w:szCs w:val="24"/>
          <w:lang w:val="en-US"/>
        </w:rPr>
        <w:t>As Herrera (2015) argues drawing on case studies at 3M and Intel, i</w:t>
      </w:r>
      <w:r w:rsidRPr="002C24A8">
        <w:rPr>
          <w:rFonts w:ascii="Times New Roman" w:hAnsi="Times New Roman" w:cs="Times New Roman"/>
          <w:sz w:val="24"/>
          <w:szCs w:val="24"/>
          <w:lang w:val="en-US"/>
        </w:rPr>
        <w:t xml:space="preserve">mplementing CSR </w:t>
      </w:r>
      <w:r w:rsidR="00760F64" w:rsidRPr="002C24A8">
        <w:rPr>
          <w:rFonts w:ascii="Times New Roman" w:hAnsi="Times New Roman" w:cs="Times New Roman"/>
          <w:sz w:val="24"/>
          <w:szCs w:val="24"/>
          <w:lang w:val="en-US"/>
        </w:rPr>
        <w:t xml:space="preserve">and </w:t>
      </w:r>
      <w:r w:rsidR="001B54D8" w:rsidRPr="00907DAC">
        <w:rPr>
          <w:rFonts w:ascii="Times New Roman" w:hAnsi="Times New Roman" w:cs="Times New Roman"/>
          <w:sz w:val="24"/>
          <w:szCs w:val="24"/>
          <w:lang w:val="en-US"/>
        </w:rPr>
        <w:t>institutionalizing</w:t>
      </w:r>
      <w:r w:rsidR="00760F64" w:rsidRPr="002C24A8">
        <w:rPr>
          <w:rFonts w:ascii="Times New Roman" w:hAnsi="Times New Roman" w:cs="Times New Roman"/>
          <w:sz w:val="24"/>
          <w:szCs w:val="24"/>
          <w:lang w:val="en-US"/>
        </w:rPr>
        <w:t xml:space="preserve"> social innovation </w:t>
      </w:r>
      <w:r w:rsidRPr="002C24A8">
        <w:rPr>
          <w:rFonts w:ascii="Times New Roman" w:hAnsi="Times New Roman" w:cs="Times New Roman"/>
          <w:sz w:val="24"/>
          <w:szCs w:val="24"/>
          <w:lang w:val="en-US"/>
        </w:rPr>
        <w:t xml:space="preserve">can </w:t>
      </w:r>
      <w:r w:rsidR="00760F64" w:rsidRPr="002C24A8">
        <w:rPr>
          <w:rFonts w:ascii="Times New Roman" w:hAnsi="Times New Roman" w:cs="Times New Roman"/>
          <w:sz w:val="24"/>
          <w:szCs w:val="24"/>
          <w:lang w:val="en-US"/>
        </w:rPr>
        <w:t>allow firms to secure a competitive advantage while improving</w:t>
      </w:r>
      <w:r w:rsidRPr="002C24A8">
        <w:rPr>
          <w:rFonts w:ascii="Times New Roman" w:hAnsi="Times New Roman" w:cs="Times New Roman"/>
          <w:sz w:val="24"/>
          <w:szCs w:val="24"/>
          <w:lang w:val="en-US"/>
        </w:rPr>
        <w:t xml:space="preserve"> corporate social and financial performance. </w:t>
      </w:r>
      <w:r w:rsidR="003F0360" w:rsidRPr="002C24A8">
        <w:rPr>
          <w:rFonts w:ascii="Times New Roman" w:hAnsi="Times New Roman" w:cs="Times New Roman"/>
          <w:sz w:val="24"/>
          <w:szCs w:val="24"/>
          <w:lang w:val="en-US"/>
        </w:rPr>
        <w:t xml:space="preserve">Other recent </w:t>
      </w:r>
      <w:r w:rsidR="00166F2A" w:rsidRPr="002C24A8">
        <w:rPr>
          <w:rFonts w:ascii="Times New Roman" w:hAnsi="Times New Roman" w:cs="Times New Roman"/>
          <w:sz w:val="24"/>
          <w:szCs w:val="24"/>
          <w:lang w:val="en-US"/>
        </w:rPr>
        <w:t xml:space="preserve">work offers further </w:t>
      </w:r>
      <w:r w:rsidR="003F0360" w:rsidRPr="002C24A8">
        <w:rPr>
          <w:rFonts w:ascii="Times New Roman" w:hAnsi="Times New Roman" w:cs="Times New Roman"/>
          <w:sz w:val="24"/>
          <w:szCs w:val="24"/>
          <w:lang w:val="en-US"/>
        </w:rPr>
        <w:t>support</w:t>
      </w:r>
      <w:r w:rsidR="00166F2A" w:rsidRPr="002C24A8">
        <w:rPr>
          <w:rFonts w:ascii="Times New Roman" w:hAnsi="Times New Roman" w:cs="Times New Roman"/>
          <w:sz w:val="24"/>
          <w:szCs w:val="24"/>
          <w:lang w:val="en-US"/>
        </w:rPr>
        <w:t xml:space="preserve"> for</w:t>
      </w:r>
      <w:r w:rsidR="003F0360" w:rsidRPr="002C24A8">
        <w:rPr>
          <w:rFonts w:ascii="Times New Roman" w:hAnsi="Times New Roman" w:cs="Times New Roman"/>
          <w:sz w:val="24"/>
          <w:szCs w:val="24"/>
          <w:lang w:val="en-US"/>
        </w:rPr>
        <w:t xml:space="preserve"> this</w:t>
      </w:r>
      <w:r w:rsidR="00166F2A" w:rsidRPr="002C24A8">
        <w:rPr>
          <w:rFonts w:ascii="Times New Roman" w:hAnsi="Times New Roman" w:cs="Times New Roman"/>
          <w:sz w:val="24"/>
          <w:szCs w:val="24"/>
          <w:lang w:val="en-US"/>
        </w:rPr>
        <w:t xml:space="preserve"> notion</w:t>
      </w:r>
      <w:r w:rsidR="003F0360" w:rsidRPr="002C24A8">
        <w:rPr>
          <w:rFonts w:ascii="Times New Roman" w:hAnsi="Times New Roman" w:cs="Times New Roman"/>
          <w:sz w:val="24"/>
          <w:szCs w:val="24"/>
          <w:lang w:val="en-US"/>
        </w:rPr>
        <w:t>.</w:t>
      </w:r>
      <w:r w:rsidR="00166F2A" w:rsidRPr="002C24A8">
        <w:rPr>
          <w:rStyle w:val="FootnoteReference"/>
          <w:rFonts w:ascii="Times New Roman" w:hAnsi="Times New Roman" w:cs="Times New Roman"/>
          <w:sz w:val="24"/>
          <w:szCs w:val="24"/>
          <w:lang w:val="en-US"/>
        </w:rPr>
        <w:footnoteReference w:id="5"/>
      </w:r>
      <w:r w:rsidR="003F0360" w:rsidRPr="002C24A8">
        <w:rPr>
          <w:rFonts w:ascii="Times New Roman" w:hAnsi="Times New Roman" w:cs="Times New Roman"/>
          <w:sz w:val="24"/>
          <w:szCs w:val="24"/>
          <w:lang w:val="en-US"/>
        </w:rPr>
        <w:t xml:space="preserve"> </w:t>
      </w:r>
    </w:p>
    <w:p w14:paraId="20D703A2" w14:textId="7332477A" w:rsidR="003F0360" w:rsidRPr="002C24A8" w:rsidRDefault="00166F2A" w:rsidP="003F0360">
      <w:pPr>
        <w:spacing w:line="480" w:lineRule="auto"/>
        <w:ind w:firstLine="720"/>
        <w:jc w:val="both"/>
        <w:rPr>
          <w:rStyle w:val="dbox-example"/>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The </w:t>
      </w:r>
      <w:r w:rsidR="003F0360" w:rsidRPr="002C24A8">
        <w:rPr>
          <w:rFonts w:ascii="Times New Roman" w:hAnsi="Times New Roman" w:cs="Times New Roman"/>
          <w:sz w:val="24"/>
          <w:szCs w:val="24"/>
          <w:lang w:val="en-US"/>
        </w:rPr>
        <w:t xml:space="preserve">studies </w:t>
      </w:r>
      <w:r w:rsidRPr="002C24A8">
        <w:rPr>
          <w:rFonts w:ascii="Times New Roman" w:hAnsi="Times New Roman" w:cs="Times New Roman"/>
          <w:sz w:val="24"/>
          <w:szCs w:val="24"/>
          <w:lang w:val="en-US"/>
        </w:rPr>
        <w:t xml:space="preserve">presented so far </w:t>
      </w:r>
      <w:r w:rsidR="003F0360" w:rsidRPr="002C24A8">
        <w:rPr>
          <w:rFonts w:ascii="Times New Roman" w:hAnsi="Times New Roman" w:cs="Times New Roman"/>
          <w:sz w:val="24"/>
          <w:szCs w:val="24"/>
          <w:lang w:val="en-US"/>
        </w:rPr>
        <w:t>have in common that they link externally focused activities (R&amp;D, CSR, stakeholder and macro-environment assessments) to innovation capacity and/or financial performance. Padgett and Galan (2010) emphasize the fact that both R&amp;D investments and CSR policies are based on firms’ ability to</w:t>
      </w:r>
      <w:r w:rsidR="003F0360" w:rsidRPr="002C24A8">
        <w:rPr>
          <w:rStyle w:val="dbox-example"/>
          <w:rFonts w:ascii="Times New Roman" w:hAnsi="Times New Roman" w:cs="Times New Roman"/>
          <w:sz w:val="24"/>
          <w:szCs w:val="24"/>
          <w:lang w:val="en-US"/>
        </w:rPr>
        <w:t xml:space="preserve"> possess intangible resources</w:t>
      </w:r>
      <w:r w:rsidRPr="002C24A8">
        <w:rPr>
          <w:rStyle w:val="dbox-example"/>
          <w:rFonts w:ascii="Times New Roman" w:hAnsi="Times New Roman" w:cs="Times New Roman"/>
          <w:sz w:val="24"/>
          <w:szCs w:val="24"/>
          <w:lang w:val="en-US"/>
        </w:rPr>
        <w:t xml:space="preserve"> which they link to firms’ </w:t>
      </w:r>
      <w:r w:rsidR="003F0360" w:rsidRPr="002C24A8">
        <w:rPr>
          <w:rStyle w:val="dbox-example"/>
          <w:rFonts w:ascii="Times New Roman" w:hAnsi="Times New Roman" w:cs="Times New Roman"/>
          <w:sz w:val="24"/>
          <w:szCs w:val="24"/>
          <w:lang w:val="en-US"/>
        </w:rPr>
        <w:t>competitive advantage.</w:t>
      </w:r>
      <w:r w:rsidR="00DD146F" w:rsidRPr="002C24A8">
        <w:rPr>
          <w:rStyle w:val="dbox-example"/>
          <w:rFonts w:ascii="Times New Roman" w:hAnsi="Times New Roman" w:cs="Times New Roman"/>
          <w:sz w:val="24"/>
          <w:szCs w:val="24"/>
          <w:lang w:val="en-US"/>
        </w:rPr>
        <w:t xml:space="preserve"> Studying technology exporters, Costa et al. (2015) find that there is a positive relationship between CSR and exploratory (rather than exploitative) innovation. Their results show that CSR can be used to develop innovation competencies that are new to the firm. </w:t>
      </w:r>
      <w:r w:rsidR="00DD146F" w:rsidRPr="002C24A8">
        <w:rPr>
          <w:rStyle w:val="dbox-example"/>
          <w:rFonts w:ascii="Times New Roman" w:hAnsi="Times New Roman" w:cs="Times New Roman"/>
          <w:sz w:val="24"/>
          <w:szCs w:val="24"/>
          <w:lang w:val="en-US"/>
        </w:rPr>
        <w:lastRenderedPageBreak/>
        <w:t>Interestingly, they also found that, at least in the in the sector they studied, implementing CSR principles is not associated with what they termed ‘exploitative’ innovation, i.e., fostering efficiency, cost reduction, or superior delivery of customers’ needs in international markets (exploitation). In the authors’ view, CSR principles may be more associated with process than product innovation.</w:t>
      </w:r>
      <w:r w:rsidR="009E1CD6" w:rsidRPr="002C24A8">
        <w:rPr>
          <w:rStyle w:val="dbox-example"/>
          <w:rFonts w:ascii="Times New Roman" w:hAnsi="Times New Roman" w:cs="Times New Roman"/>
          <w:sz w:val="24"/>
          <w:szCs w:val="24"/>
          <w:lang w:val="en-US"/>
        </w:rPr>
        <w:t xml:space="preserve"> The observed divergence may also help explain the more divergent findings in previous research.</w:t>
      </w:r>
    </w:p>
    <w:p w14:paraId="1D62B8F8" w14:textId="77777777" w:rsidR="006B7D57" w:rsidRPr="002C24A8" w:rsidRDefault="006B7D57" w:rsidP="002C24A8">
      <w:pPr>
        <w:spacing w:line="480" w:lineRule="auto"/>
        <w:ind w:firstLine="720"/>
        <w:jc w:val="both"/>
        <w:rPr>
          <w:rFonts w:ascii="Times New Roman" w:eastAsia="Times New Roman" w:hAnsi="Times New Roman" w:cs="Times New Roman"/>
          <w:i/>
          <w:sz w:val="24"/>
          <w:szCs w:val="24"/>
          <w:lang w:val="en-US"/>
        </w:rPr>
      </w:pPr>
    </w:p>
    <w:p w14:paraId="6A4AC5CA" w14:textId="3FE5BE99" w:rsidR="00EC4E07" w:rsidRPr="002C24A8" w:rsidRDefault="007D14F1" w:rsidP="00E11D5D">
      <w:pPr>
        <w:spacing w:line="480" w:lineRule="auto"/>
        <w:jc w:val="both"/>
        <w:rPr>
          <w:rFonts w:ascii="Times New Roman" w:eastAsia="Times New Roman" w:hAnsi="Times New Roman" w:cs="Times New Roman"/>
          <w:sz w:val="24"/>
          <w:szCs w:val="24"/>
          <w:lang w:val="en-US"/>
        </w:rPr>
      </w:pPr>
      <w:r w:rsidRPr="002C24A8">
        <w:rPr>
          <w:rFonts w:ascii="Times New Roman" w:eastAsia="Times New Roman" w:hAnsi="Times New Roman" w:cs="Times New Roman"/>
          <w:sz w:val="24"/>
          <w:szCs w:val="24"/>
          <w:lang w:val="en-US"/>
        </w:rPr>
        <w:t>2.3</w:t>
      </w:r>
      <w:r w:rsidR="00EC4E07" w:rsidRPr="002C24A8">
        <w:rPr>
          <w:rFonts w:ascii="Times New Roman" w:eastAsia="Times New Roman" w:hAnsi="Times New Roman" w:cs="Times New Roman"/>
          <w:sz w:val="24"/>
          <w:szCs w:val="24"/>
          <w:lang w:val="en-US"/>
        </w:rPr>
        <w:t>.</w:t>
      </w:r>
      <w:r w:rsidR="00DE5C10" w:rsidRPr="002C24A8">
        <w:rPr>
          <w:rFonts w:ascii="Times New Roman" w:eastAsia="Times New Roman" w:hAnsi="Times New Roman" w:cs="Times New Roman"/>
          <w:sz w:val="24"/>
          <w:szCs w:val="24"/>
          <w:lang w:val="en-US"/>
        </w:rPr>
        <w:t>2</w:t>
      </w:r>
      <w:r w:rsidR="00EC4E07" w:rsidRPr="002C24A8">
        <w:rPr>
          <w:rFonts w:ascii="Times New Roman" w:eastAsia="Times New Roman" w:hAnsi="Times New Roman" w:cs="Times New Roman"/>
          <w:sz w:val="24"/>
          <w:szCs w:val="24"/>
          <w:lang w:val="en-US"/>
        </w:rPr>
        <w:t xml:space="preserve"> Capturing innovation capacity</w:t>
      </w:r>
    </w:p>
    <w:p w14:paraId="500EC675" w14:textId="531A7005" w:rsidR="00356115" w:rsidRPr="002C24A8" w:rsidRDefault="006B7D57">
      <w:pPr>
        <w:spacing w:line="480" w:lineRule="auto"/>
        <w:ind w:firstLine="720"/>
        <w:jc w:val="both"/>
        <w:rPr>
          <w:rFonts w:ascii="Times New Roman" w:eastAsia="Times New Roman" w:hAnsi="Times New Roman" w:cs="Times New Roman"/>
          <w:sz w:val="24"/>
          <w:szCs w:val="24"/>
          <w:lang w:val="en-US"/>
        </w:rPr>
      </w:pPr>
      <w:r w:rsidRPr="002C24A8">
        <w:rPr>
          <w:rFonts w:ascii="Times New Roman" w:eastAsia="Times New Roman" w:hAnsi="Times New Roman" w:cs="Times New Roman"/>
          <w:sz w:val="24"/>
          <w:szCs w:val="24"/>
          <w:lang w:val="en-US"/>
        </w:rPr>
        <w:t xml:space="preserve">Innovation capacity can be defined in many ways and </w:t>
      </w:r>
      <w:r w:rsidR="00FA765C" w:rsidRPr="002C24A8">
        <w:rPr>
          <w:rFonts w:ascii="Times New Roman" w:eastAsia="Times New Roman" w:hAnsi="Times New Roman" w:cs="Times New Roman"/>
          <w:sz w:val="24"/>
          <w:szCs w:val="24"/>
          <w:lang w:val="en-US"/>
        </w:rPr>
        <w:t xml:space="preserve">at </w:t>
      </w:r>
      <w:r w:rsidRPr="002C24A8">
        <w:rPr>
          <w:rFonts w:ascii="Times New Roman" w:eastAsia="Times New Roman" w:hAnsi="Times New Roman" w:cs="Times New Roman"/>
          <w:sz w:val="24"/>
          <w:szCs w:val="24"/>
          <w:lang w:val="en-US"/>
        </w:rPr>
        <w:t xml:space="preserve">various levels. </w:t>
      </w:r>
      <w:r w:rsidR="00360EBA" w:rsidRPr="002C24A8">
        <w:rPr>
          <w:rFonts w:ascii="Times New Roman" w:eastAsia="Times New Roman" w:hAnsi="Times New Roman" w:cs="Times New Roman"/>
          <w:sz w:val="24"/>
          <w:szCs w:val="24"/>
          <w:lang w:val="en-US"/>
        </w:rPr>
        <w:t xml:space="preserve">According to </w:t>
      </w:r>
      <w:r w:rsidR="00900176" w:rsidRPr="002C24A8">
        <w:rPr>
          <w:rFonts w:ascii="Times New Roman" w:eastAsia="Times New Roman" w:hAnsi="Times New Roman" w:cs="Times New Roman"/>
          <w:sz w:val="24"/>
          <w:szCs w:val="24"/>
          <w:lang w:val="en-US"/>
        </w:rPr>
        <w:t>Szeto (2000)</w:t>
      </w:r>
      <w:r w:rsidR="00360EBA" w:rsidRPr="002C24A8">
        <w:rPr>
          <w:rFonts w:ascii="Times New Roman" w:eastAsia="Times New Roman" w:hAnsi="Times New Roman" w:cs="Times New Roman"/>
          <w:sz w:val="24"/>
          <w:szCs w:val="24"/>
          <w:lang w:val="en-US"/>
        </w:rPr>
        <w:t>,</w:t>
      </w:r>
      <w:r w:rsidR="00900176" w:rsidRPr="002C24A8">
        <w:rPr>
          <w:rFonts w:ascii="Times New Roman" w:eastAsia="Times New Roman" w:hAnsi="Times New Roman" w:cs="Times New Roman"/>
          <w:sz w:val="24"/>
          <w:szCs w:val="24"/>
          <w:lang w:val="en-US"/>
        </w:rPr>
        <w:t xml:space="preserve"> innovation capacity </w:t>
      </w:r>
      <w:r w:rsidR="00360EBA" w:rsidRPr="002C24A8">
        <w:rPr>
          <w:rFonts w:ascii="Times New Roman" w:eastAsia="Times New Roman" w:hAnsi="Times New Roman" w:cs="Times New Roman"/>
          <w:sz w:val="24"/>
          <w:szCs w:val="24"/>
          <w:lang w:val="en-US"/>
        </w:rPr>
        <w:t>is “a continuous improvement of the overall capability of firms to generate innovation for developing ne</w:t>
      </w:r>
      <w:r w:rsidR="008148B3" w:rsidRPr="002C24A8">
        <w:rPr>
          <w:rFonts w:ascii="Times New Roman" w:eastAsia="Times New Roman" w:hAnsi="Times New Roman" w:cs="Times New Roman"/>
          <w:sz w:val="24"/>
          <w:szCs w:val="24"/>
          <w:lang w:val="en-US"/>
        </w:rPr>
        <w:t>w products to meet market needs</w:t>
      </w:r>
      <w:r w:rsidR="00360EBA" w:rsidRPr="002C24A8">
        <w:rPr>
          <w:rFonts w:ascii="Times New Roman" w:eastAsia="Times New Roman" w:hAnsi="Times New Roman" w:cs="Times New Roman"/>
          <w:sz w:val="24"/>
          <w:szCs w:val="24"/>
          <w:lang w:val="en-US"/>
        </w:rPr>
        <w:t xml:space="preserve">” </w:t>
      </w:r>
      <w:r w:rsidR="008148B3" w:rsidRPr="002C24A8">
        <w:rPr>
          <w:rFonts w:ascii="Times New Roman" w:eastAsia="Times New Roman" w:hAnsi="Times New Roman" w:cs="Times New Roman"/>
          <w:sz w:val="24"/>
          <w:szCs w:val="24"/>
          <w:lang w:val="en-US"/>
        </w:rPr>
        <w:t>(Szeto, 2000, p. 150).</w:t>
      </w:r>
      <w:r w:rsidR="008148B3" w:rsidRPr="002C24A8">
        <w:rPr>
          <w:rStyle w:val="FootnoteReference"/>
          <w:rFonts w:ascii="Times New Roman" w:eastAsia="Times New Roman" w:hAnsi="Times New Roman" w:cs="Times New Roman"/>
          <w:sz w:val="24"/>
          <w:szCs w:val="24"/>
          <w:lang w:val="en-US"/>
        </w:rPr>
        <w:footnoteReference w:id="6"/>
      </w:r>
      <w:r w:rsidR="008148B3" w:rsidRPr="002C24A8">
        <w:rPr>
          <w:rFonts w:ascii="Times New Roman" w:eastAsia="Times New Roman" w:hAnsi="Times New Roman" w:cs="Times New Roman"/>
          <w:sz w:val="24"/>
          <w:szCs w:val="24"/>
          <w:lang w:val="en-US"/>
        </w:rPr>
        <w:t xml:space="preserve">  </w:t>
      </w:r>
      <w:r w:rsidR="00004E8F" w:rsidRPr="002C24A8">
        <w:rPr>
          <w:rFonts w:ascii="Times New Roman" w:eastAsia="Times New Roman" w:hAnsi="Times New Roman" w:cs="Times New Roman"/>
          <w:sz w:val="24"/>
          <w:szCs w:val="24"/>
          <w:lang w:val="en-US"/>
        </w:rPr>
        <w:t xml:space="preserve">Irrespective of level (micro, meso or macro), often innovation capacity is operationalized via proxy measures that are focused on technological change, </w:t>
      </w:r>
      <w:r w:rsidR="00FA765C" w:rsidRPr="002C24A8">
        <w:rPr>
          <w:rFonts w:ascii="Times New Roman" w:eastAsia="Times New Roman" w:hAnsi="Times New Roman" w:cs="Times New Roman"/>
          <w:sz w:val="24"/>
          <w:szCs w:val="24"/>
          <w:lang w:val="en-US"/>
        </w:rPr>
        <w:t xml:space="preserve">i.e., </w:t>
      </w:r>
      <w:r w:rsidR="00004E8F" w:rsidRPr="002C24A8">
        <w:rPr>
          <w:rFonts w:ascii="Times New Roman" w:eastAsia="Times New Roman" w:hAnsi="Times New Roman" w:cs="Times New Roman"/>
          <w:sz w:val="24"/>
          <w:szCs w:val="24"/>
          <w:lang w:val="en-US"/>
        </w:rPr>
        <w:t>R&amp;D expenditures, technology output, such as patents or patent applications</w:t>
      </w:r>
      <w:r w:rsidR="008148B3" w:rsidRPr="002C24A8">
        <w:rPr>
          <w:rFonts w:ascii="Times New Roman" w:eastAsia="Times New Roman" w:hAnsi="Times New Roman" w:cs="Times New Roman"/>
          <w:sz w:val="24"/>
          <w:szCs w:val="24"/>
          <w:lang w:val="en-US"/>
        </w:rPr>
        <w:t xml:space="preserve">. At the aggregated level, Furman et al. (2002) provide evidence that innovation capacity is associated with total factor productivity growth. Similarly, Hamidi et al. (2018) suggest that innovation capacity refers to productivity growth or other innovative processes, products and/or services. </w:t>
      </w:r>
      <w:r w:rsidR="00004E8F" w:rsidRPr="002C24A8">
        <w:rPr>
          <w:rFonts w:ascii="Times New Roman" w:eastAsia="Times New Roman" w:hAnsi="Times New Roman" w:cs="Times New Roman"/>
          <w:sz w:val="24"/>
          <w:szCs w:val="24"/>
          <w:lang w:val="en-US"/>
        </w:rPr>
        <w:t xml:space="preserve">Halkos &amp; </w:t>
      </w:r>
      <w:r w:rsidR="008148B3" w:rsidRPr="002C24A8">
        <w:rPr>
          <w:rFonts w:ascii="Times New Roman" w:eastAsia="Times New Roman" w:hAnsi="Times New Roman" w:cs="Times New Roman"/>
          <w:sz w:val="24"/>
          <w:szCs w:val="24"/>
          <w:lang w:val="en-US"/>
        </w:rPr>
        <w:t>Skouloudis</w:t>
      </w:r>
      <w:r w:rsidR="00004E8F" w:rsidRPr="002C24A8">
        <w:rPr>
          <w:rFonts w:ascii="Times New Roman" w:eastAsia="Times New Roman" w:hAnsi="Times New Roman" w:cs="Times New Roman"/>
          <w:sz w:val="24"/>
          <w:szCs w:val="24"/>
          <w:lang w:val="en-US"/>
        </w:rPr>
        <w:t xml:space="preserve"> </w:t>
      </w:r>
      <w:r w:rsidR="008148B3" w:rsidRPr="002C24A8">
        <w:rPr>
          <w:rFonts w:ascii="Times New Roman" w:eastAsia="Times New Roman" w:hAnsi="Times New Roman" w:cs="Times New Roman"/>
          <w:sz w:val="24"/>
          <w:szCs w:val="24"/>
          <w:lang w:val="en-US"/>
        </w:rPr>
        <w:t>(</w:t>
      </w:r>
      <w:r w:rsidR="00004E8F" w:rsidRPr="002C24A8">
        <w:rPr>
          <w:rFonts w:ascii="Times New Roman" w:eastAsia="Times New Roman" w:hAnsi="Times New Roman" w:cs="Times New Roman"/>
          <w:sz w:val="24"/>
          <w:szCs w:val="24"/>
          <w:lang w:val="en-US"/>
        </w:rPr>
        <w:t>2018)</w:t>
      </w:r>
      <w:r w:rsidR="008148B3" w:rsidRPr="002C24A8">
        <w:rPr>
          <w:rFonts w:ascii="Times New Roman" w:eastAsia="Times New Roman" w:hAnsi="Times New Roman" w:cs="Times New Roman"/>
          <w:sz w:val="24"/>
          <w:szCs w:val="24"/>
          <w:lang w:val="en-US"/>
        </w:rPr>
        <w:t xml:space="preserve"> offer an overview of macro-level indicators that underline this</w:t>
      </w:r>
      <w:r w:rsidR="00004E8F" w:rsidRPr="002C24A8">
        <w:rPr>
          <w:rFonts w:ascii="Times New Roman" w:eastAsia="Times New Roman" w:hAnsi="Times New Roman" w:cs="Times New Roman"/>
          <w:sz w:val="24"/>
          <w:szCs w:val="24"/>
          <w:lang w:val="en-US"/>
        </w:rPr>
        <w:t>.</w:t>
      </w:r>
      <w:r w:rsidR="00426F2E" w:rsidRPr="002C24A8">
        <w:rPr>
          <w:rStyle w:val="FootnoteReference"/>
          <w:rFonts w:ascii="Times New Roman" w:eastAsia="Times New Roman" w:hAnsi="Times New Roman" w:cs="Times New Roman"/>
          <w:sz w:val="24"/>
          <w:szCs w:val="24"/>
          <w:lang w:val="en-US"/>
        </w:rPr>
        <w:footnoteReference w:id="7"/>
      </w:r>
      <w:r w:rsidR="00FA765C" w:rsidRPr="002C24A8">
        <w:rPr>
          <w:rFonts w:ascii="Times New Roman" w:eastAsia="Times New Roman" w:hAnsi="Times New Roman" w:cs="Times New Roman"/>
          <w:sz w:val="24"/>
          <w:szCs w:val="24"/>
          <w:lang w:val="en-US"/>
        </w:rPr>
        <w:t xml:space="preserve"> </w:t>
      </w:r>
      <w:r w:rsidR="008148B3" w:rsidRPr="002C24A8">
        <w:rPr>
          <w:rFonts w:ascii="Times New Roman" w:eastAsia="Times New Roman" w:hAnsi="Times New Roman" w:cs="Times New Roman"/>
          <w:sz w:val="24"/>
          <w:szCs w:val="24"/>
          <w:lang w:val="en-US"/>
        </w:rPr>
        <w:t>Acknowledging that</w:t>
      </w:r>
      <w:r w:rsidR="00C67C4F" w:rsidRPr="002C24A8">
        <w:rPr>
          <w:rFonts w:ascii="Times New Roman" w:eastAsia="Times New Roman" w:hAnsi="Times New Roman" w:cs="Times New Roman"/>
          <w:sz w:val="24"/>
          <w:szCs w:val="24"/>
          <w:lang w:val="en-US"/>
        </w:rPr>
        <w:t>,</w:t>
      </w:r>
      <w:r w:rsidR="008148B3" w:rsidRPr="002C24A8">
        <w:rPr>
          <w:rFonts w:ascii="Times New Roman" w:eastAsia="Times New Roman" w:hAnsi="Times New Roman" w:cs="Times New Roman"/>
          <w:sz w:val="24"/>
          <w:szCs w:val="24"/>
          <w:lang w:val="en-US"/>
        </w:rPr>
        <w:t xml:space="preserve"> </w:t>
      </w:r>
      <w:r w:rsidR="00C67C4F" w:rsidRPr="002C24A8">
        <w:rPr>
          <w:rFonts w:ascii="Times New Roman" w:eastAsia="Times New Roman" w:hAnsi="Times New Roman" w:cs="Times New Roman"/>
          <w:sz w:val="24"/>
          <w:szCs w:val="24"/>
          <w:lang w:val="en-US"/>
        </w:rPr>
        <w:t xml:space="preserve">also at firm-level, </w:t>
      </w:r>
      <w:r w:rsidR="008148B3" w:rsidRPr="002C24A8">
        <w:rPr>
          <w:rFonts w:ascii="Times New Roman" w:eastAsia="Times New Roman" w:hAnsi="Times New Roman" w:cs="Times New Roman"/>
          <w:sz w:val="24"/>
          <w:szCs w:val="24"/>
          <w:lang w:val="en-US"/>
        </w:rPr>
        <w:t xml:space="preserve">innovation </w:t>
      </w:r>
      <w:r w:rsidR="008148B3" w:rsidRPr="002C24A8">
        <w:rPr>
          <w:rFonts w:ascii="Times New Roman" w:eastAsia="Times New Roman" w:hAnsi="Times New Roman" w:cs="Times New Roman"/>
          <w:sz w:val="24"/>
          <w:szCs w:val="24"/>
          <w:lang w:val="en-US"/>
        </w:rPr>
        <w:lastRenderedPageBreak/>
        <w:t xml:space="preserve">capacity is </w:t>
      </w:r>
      <w:r w:rsidR="00C67C4F" w:rsidRPr="002C24A8">
        <w:rPr>
          <w:rFonts w:ascii="Times New Roman" w:eastAsia="Times New Roman" w:hAnsi="Times New Roman" w:cs="Times New Roman"/>
          <w:sz w:val="24"/>
          <w:szCs w:val="24"/>
          <w:lang w:val="en-US"/>
        </w:rPr>
        <w:t xml:space="preserve">often </w:t>
      </w:r>
      <w:r w:rsidR="008148B3" w:rsidRPr="002C24A8">
        <w:rPr>
          <w:rFonts w:ascii="Times New Roman" w:eastAsia="Times New Roman" w:hAnsi="Times New Roman" w:cs="Times New Roman"/>
          <w:sz w:val="24"/>
          <w:szCs w:val="24"/>
          <w:lang w:val="en-US"/>
        </w:rPr>
        <w:t>associated with formal R&amp;D activities and innovation output with new products (</w:t>
      </w:r>
      <w:r w:rsidR="00C67C4F" w:rsidRPr="002C24A8">
        <w:rPr>
          <w:rFonts w:ascii="Times New Roman" w:eastAsia="Times New Roman" w:hAnsi="Times New Roman" w:cs="Times New Roman"/>
          <w:sz w:val="24"/>
          <w:szCs w:val="24"/>
          <w:lang w:val="en-US"/>
        </w:rPr>
        <w:t>e.g., Kirner et al., 2009)</w:t>
      </w:r>
      <w:r w:rsidR="008148B3" w:rsidRPr="002C24A8">
        <w:rPr>
          <w:rFonts w:ascii="Times New Roman" w:eastAsia="Times New Roman" w:hAnsi="Times New Roman" w:cs="Times New Roman"/>
          <w:sz w:val="24"/>
          <w:szCs w:val="24"/>
          <w:lang w:val="en-US"/>
        </w:rPr>
        <w:t xml:space="preserve">, Forsman (2011) argues that innovation cannot be created </w:t>
      </w:r>
      <w:r w:rsidR="00C67C4F" w:rsidRPr="002C24A8">
        <w:rPr>
          <w:rFonts w:ascii="Times New Roman" w:eastAsia="Times New Roman" w:hAnsi="Times New Roman" w:cs="Times New Roman"/>
          <w:sz w:val="24"/>
          <w:szCs w:val="24"/>
          <w:lang w:val="en-US"/>
        </w:rPr>
        <w:t xml:space="preserve">simply </w:t>
      </w:r>
      <w:r w:rsidR="008148B3" w:rsidRPr="002C24A8">
        <w:rPr>
          <w:rFonts w:ascii="Times New Roman" w:eastAsia="Times New Roman" w:hAnsi="Times New Roman" w:cs="Times New Roman"/>
          <w:sz w:val="24"/>
          <w:szCs w:val="24"/>
          <w:lang w:val="en-US"/>
        </w:rPr>
        <w:t xml:space="preserve">by R&amp;D investment, but </w:t>
      </w:r>
      <w:r w:rsidR="00C67C4F" w:rsidRPr="002C24A8">
        <w:rPr>
          <w:rFonts w:ascii="Times New Roman" w:eastAsia="Times New Roman" w:hAnsi="Times New Roman" w:cs="Times New Roman"/>
          <w:sz w:val="24"/>
          <w:szCs w:val="24"/>
          <w:lang w:val="en-US"/>
        </w:rPr>
        <w:t>i</w:t>
      </w:r>
      <w:r w:rsidR="00776987">
        <w:rPr>
          <w:rFonts w:ascii="Times New Roman" w:eastAsia="Times New Roman" w:hAnsi="Times New Roman" w:cs="Times New Roman"/>
          <w:sz w:val="24"/>
          <w:szCs w:val="24"/>
          <w:lang w:val="en-US"/>
        </w:rPr>
        <w:t xml:space="preserve">nstead </w:t>
      </w:r>
      <w:r w:rsidR="00AD299B">
        <w:rPr>
          <w:rFonts w:ascii="Times New Roman" w:eastAsia="Times New Roman" w:hAnsi="Times New Roman" w:cs="Times New Roman"/>
          <w:sz w:val="24"/>
          <w:szCs w:val="24"/>
          <w:lang w:val="en-US"/>
        </w:rPr>
        <w:t>emerges</w:t>
      </w:r>
      <w:r w:rsidR="00776987">
        <w:rPr>
          <w:rFonts w:ascii="Times New Roman" w:eastAsia="Times New Roman" w:hAnsi="Times New Roman" w:cs="Times New Roman"/>
          <w:sz w:val="24"/>
          <w:szCs w:val="24"/>
          <w:lang w:val="en-US"/>
        </w:rPr>
        <w:t xml:space="preserve"> from</w:t>
      </w:r>
      <w:r w:rsidR="00C67C4F" w:rsidRPr="002C24A8">
        <w:rPr>
          <w:rFonts w:ascii="Times New Roman" w:eastAsia="Times New Roman" w:hAnsi="Times New Roman" w:cs="Times New Roman"/>
          <w:sz w:val="24"/>
          <w:szCs w:val="24"/>
          <w:lang w:val="en-US"/>
        </w:rPr>
        <w:t xml:space="preserve"> a complex </w:t>
      </w:r>
      <w:r w:rsidR="008148B3" w:rsidRPr="002C24A8">
        <w:rPr>
          <w:rFonts w:ascii="Times New Roman" w:eastAsia="Times New Roman" w:hAnsi="Times New Roman" w:cs="Times New Roman"/>
          <w:sz w:val="24"/>
          <w:szCs w:val="24"/>
          <w:lang w:val="en-US"/>
        </w:rPr>
        <w:t>process of business development and the optimization of firms’ production processes. Several studies (e.g., de Jong and Marsili 2006; Hirsch-Kreinsen, 2008; Santamaría et al., 2009) link innovation capacity also to experimentation, lear</w:t>
      </w:r>
      <w:r w:rsidR="00C67C4F" w:rsidRPr="002C24A8">
        <w:rPr>
          <w:rFonts w:ascii="Times New Roman" w:eastAsia="Times New Roman" w:hAnsi="Times New Roman" w:cs="Times New Roman"/>
          <w:sz w:val="24"/>
          <w:szCs w:val="24"/>
          <w:lang w:val="en-US"/>
        </w:rPr>
        <w:t>ning, technological catch-up</w:t>
      </w:r>
      <w:r w:rsidR="008148B3" w:rsidRPr="002C24A8">
        <w:rPr>
          <w:rFonts w:ascii="Times New Roman" w:eastAsia="Times New Roman" w:hAnsi="Times New Roman" w:cs="Times New Roman"/>
          <w:sz w:val="24"/>
          <w:szCs w:val="24"/>
          <w:lang w:val="en-US"/>
        </w:rPr>
        <w:t xml:space="preserve"> </w:t>
      </w:r>
      <w:r w:rsidR="00C67C4F" w:rsidRPr="002C24A8">
        <w:rPr>
          <w:rFonts w:ascii="Times New Roman" w:eastAsia="Times New Roman" w:hAnsi="Times New Roman" w:cs="Times New Roman"/>
          <w:sz w:val="24"/>
          <w:szCs w:val="24"/>
          <w:lang w:val="en-US"/>
        </w:rPr>
        <w:t xml:space="preserve">which </w:t>
      </w:r>
      <w:r w:rsidR="008148B3" w:rsidRPr="002C24A8">
        <w:rPr>
          <w:rFonts w:ascii="Times New Roman" w:eastAsia="Times New Roman" w:hAnsi="Times New Roman" w:cs="Times New Roman"/>
          <w:sz w:val="24"/>
          <w:szCs w:val="24"/>
          <w:lang w:val="en-US"/>
        </w:rPr>
        <w:t xml:space="preserve">is not </w:t>
      </w:r>
      <w:r w:rsidR="00C67C4F" w:rsidRPr="002C24A8">
        <w:rPr>
          <w:rFonts w:ascii="Times New Roman" w:eastAsia="Times New Roman" w:hAnsi="Times New Roman" w:cs="Times New Roman"/>
          <w:sz w:val="24"/>
          <w:szCs w:val="24"/>
          <w:lang w:val="en-US"/>
        </w:rPr>
        <w:t xml:space="preserve">necessarily linked </w:t>
      </w:r>
      <w:r w:rsidR="008148B3" w:rsidRPr="002C24A8">
        <w:rPr>
          <w:rFonts w:ascii="Times New Roman" w:eastAsia="Times New Roman" w:hAnsi="Times New Roman" w:cs="Times New Roman"/>
          <w:sz w:val="24"/>
          <w:szCs w:val="24"/>
          <w:lang w:val="en-US"/>
        </w:rPr>
        <w:t xml:space="preserve">to the engagement </w:t>
      </w:r>
      <w:r w:rsidR="00356115" w:rsidRPr="002C24A8">
        <w:rPr>
          <w:rFonts w:ascii="Times New Roman" w:eastAsia="Times New Roman" w:hAnsi="Times New Roman" w:cs="Times New Roman"/>
          <w:sz w:val="24"/>
          <w:szCs w:val="24"/>
          <w:lang w:val="en-US"/>
        </w:rPr>
        <w:t xml:space="preserve">in </w:t>
      </w:r>
      <w:r w:rsidR="008148B3" w:rsidRPr="002C24A8">
        <w:rPr>
          <w:rFonts w:ascii="Times New Roman" w:eastAsia="Times New Roman" w:hAnsi="Times New Roman" w:cs="Times New Roman"/>
          <w:sz w:val="24"/>
          <w:szCs w:val="24"/>
          <w:lang w:val="en-US"/>
        </w:rPr>
        <w:t>formal R&amp;D activities.</w:t>
      </w:r>
      <w:r w:rsidR="00C67C4F" w:rsidRPr="002C24A8">
        <w:rPr>
          <w:rFonts w:ascii="Times New Roman" w:eastAsia="Times New Roman" w:hAnsi="Times New Roman" w:cs="Times New Roman"/>
          <w:sz w:val="24"/>
          <w:szCs w:val="24"/>
          <w:lang w:val="en-US"/>
        </w:rPr>
        <w:t xml:space="preserve"> We recognize the point these authors make and acknowledge that future research will need to explore new ways of capturing </w:t>
      </w:r>
      <w:r w:rsidR="00356115" w:rsidRPr="002C24A8">
        <w:rPr>
          <w:rFonts w:ascii="Times New Roman" w:eastAsia="Times New Roman" w:hAnsi="Times New Roman" w:cs="Times New Roman"/>
          <w:sz w:val="24"/>
          <w:szCs w:val="24"/>
          <w:lang w:val="en-US"/>
        </w:rPr>
        <w:t xml:space="preserve">innovation capacity. </w:t>
      </w:r>
    </w:p>
    <w:p w14:paraId="581FE7A6" w14:textId="405D22D9" w:rsidR="00356115" w:rsidRPr="002C24A8" w:rsidRDefault="00356115">
      <w:pPr>
        <w:spacing w:line="480" w:lineRule="auto"/>
        <w:ind w:firstLine="720"/>
        <w:jc w:val="both"/>
        <w:rPr>
          <w:rFonts w:ascii="Times New Roman" w:eastAsia="Times New Roman" w:hAnsi="Times New Roman" w:cs="Times New Roman"/>
          <w:sz w:val="24"/>
          <w:szCs w:val="24"/>
          <w:lang w:val="en-US"/>
        </w:rPr>
      </w:pPr>
      <w:r w:rsidRPr="002C24A8">
        <w:rPr>
          <w:rFonts w:ascii="Times New Roman" w:eastAsia="Times New Roman" w:hAnsi="Times New Roman" w:cs="Times New Roman"/>
          <w:sz w:val="24"/>
          <w:szCs w:val="24"/>
          <w:lang w:val="en-US"/>
        </w:rPr>
        <w:t xml:space="preserve">For the purpose of this study we follow Shao and Lin (2016) in suggesting that firms’ technological change levels (i.e. movements of firms’ technological production frontier) reveal firms’ innovation capacity levels. We contend that improvements of firm’s technological levels can signify also higher innovation capacity levels. Boly et al. (2014) show that innovation capacity can be described by a three-stage innovation process containing resources, activities and innovation outcome. </w:t>
      </w:r>
    </w:p>
    <w:p w14:paraId="0A8543E9" w14:textId="3687CA0B" w:rsidR="00356115" w:rsidRPr="002C24A8" w:rsidRDefault="00356115">
      <w:pPr>
        <w:spacing w:line="480" w:lineRule="auto"/>
        <w:ind w:firstLine="720"/>
        <w:jc w:val="both"/>
        <w:rPr>
          <w:rFonts w:ascii="Times New Roman" w:eastAsia="Times New Roman" w:hAnsi="Times New Roman" w:cs="Times New Roman"/>
          <w:sz w:val="24"/>
          <w:szCs w:val="24"/>
          <w:lang w:val="en-US"/>
        </w:rPr>
      </w:pPr>
      <w:r w:rsidRPr="002C24A8">
        <w:rPr>
          <w:rFonts w:ascii="Times New Roman" w:eastAsia="Times New Roman" w:hAnsi="Times New Roman" w:cs="Times New Roman"/>
          <w:sz w:val="24"/>
          <w:szCs w:val="24"/>
          <w:lang w:val="en-US"/>
        </w:rPr>
        <w:lastRenderedPageBreak/>
        <w:t>Furthermore, in an extensive review of the literature Boly et al. (2014) conclude that innovation capacity among other factors interrelates to firms’ ability</w:t>
      </w:r>
      <w:r w:rsidRPr="002C24A8">
        <w:rPr>
          <w:lang w:val="en-US"/>
        </w:rPr>
        <w:t xml:space="preserve"> to </w:t>
      </w:r>
      <w:r w:rsidRPr="002C24A8">
        <w:rPr>
          <w:rFonts w:ascii="Times New Roman" w:eastAsia="Times New Roman" w:hAnsi="Times New Roman" w:cs="Times New Roman"/>
          <w:sz w:val="24"/>
          <w:szCs w:val="24"/>
          <w:lang w:val="en-US"/>
        </w:rPr>
        <w:t xml:space="preserve">adopt and foresee technological changes. Firms’ ability to utilize effectively their resources has been proven to be an incremental factor within firms’ innovation capacity processes (Yam et al., 2004; Guan et al., 2006). Therefore, we contend that firms’ ability to increase their technological change levels </w:t>
      </w:r>
      <w:r w:rsidR="00536421" w:rsidRPr="002C24A8">
        <w:rPr>
          <w:rFonts w:ascii="Times New Roman" w:eastAsia="Times New Roman" w:hAnsi="Times New Roman" w:cs="Times New Roman"/>
          <w:sz w:val="24"/>
          <w:szCs w:val="24"/>
          <w:lang w:val="en-US"/>
        </w:rPr>
        <w:t xml:space="preserve">is a reasonable </w:t>
      </w:r>
      <w:r w:rsidRPr="002C24A8">
        <w:rPr>
          <w:rFonts w:ascii="Times New Roman" w:eastAsia="Times New Roman" w:hAnsi="Times New Roman" w:cs="Times New Roman"/>
          <w:sz w:val="24"/>
          <w:szCs w:val="24"/>
          <w:lang w:val="en-US"/>
        </w:rPr>
        <w:t>prox</w:t>
      </w:r>
      <w:r w:rsidR="00536421" w:rsidRPr="002C24A8">
        <w:rPr>
          <w:rFonts w:ascii="Times New Roman" w:eastAsia="Times New Roman" w:hAnsi="Times New Roman" w:cs="Times New Roman"/>
          <w:sz w:val="24"/>
          <w:szCs w:val="24"/>
          <w:lang w:val="en-US"/>
        </w:rPr>
        <w:t xml:space="preserve">y for </w:t>
      </w:r>
      <w:r w:rsidRPr="002C24A8">
        <w:rPr>
          <w:rFonts w:ascii="Times New Roman" w:eastAsia="Times New Roman" w:hAnsi="Times New Roman" w:cs="Times New Roman"/>
          <w:sz w:val="24"/>
          <w:szCs w:val="24"/>
          <w:lang w:val="en-US"/>
        </w:rPr>
        <w:t xml:space="preserve">their </w:t>
      </w:r>
      <w:r w:rsidR="00536421" w:rsidRPr="002C24A8">
        <w:rPr>
          <w:rFonts w:ascii="Times New Roman" w:eastAsia="Times New Roman" w:hAnsi="Times New Roman" w:cs="Times New Roman"/>
          <w:sz w:val="24"/>
          <w:szCs w:val="24"/>
          <w:lang w:val="en-US"/>
        </w:rPr>
        <w:t xml:space="preserve">innovation capacity </w:t>
      </w:r>
      <w:r w:rsidRPr="002C24A8">
        <w:rPr>
          <w:rFonts w:ascii="Times New Roman" w:eastAsia="Times New Roman" w:hAnsi="Times New Roman" w:cs="Times New Roman"/>
          <w:sz w:val="24"/>
          <w:szCs w:val="24"/>
          <w:lang w:val="en-US"/>
        </w:rPr>
        <w:t>(Furman et al., 2002; Shao and Lin, 2016; Hamidi et al., 2018)</w:t>
      </w:r>
      <w:r w:rsidR="00536421" w:rsidRPr="002C24A8">
        <w:rPr>
          <w:rFonts w:ascii="Times New Roman" w:eastAsia="Times New Roman" w:hAnsi="Times New Roman" w:cs="Times New Roman"/>
          <w:sz w:val="24"/>
          <w:szCs w:val="24"/>
          <w:lang w:val="en-US"/>
        </w:rPr>
        <w:t>.</w:t>
      </w:r>
    </w:p>
    <w:p w14:paraId="229FEFA0" w14:textId="77777777" w:rsidR="00B740E6" w:rsidRPr="002C24A8" w:rsidRDefault="00B740E6" w:rsidP="00E11D5D">
      <w:pPr>
        <w:spacing w:line="480" w:lineRule="auto"/>
        <w:jc w:val="both"/>
        <w:rPr>
          <w:rFonts w:ascii="Times New Roman" w:hAnsi="Times New Roman" w:cs="Times New Roman"/>
          <w:i/>
          <w:sz w:val="24"/>
          <w:szCs w:val="24"/>
          <w:lang w:val="en-US"/>
        </w:rPr>
      </w:pPr>
    </w:p>
    <w:p w14:paraId="4E098E46" w14:textId="4296D078" w:rsidR="00EC4E07" w:rsidRPr="002C24A8" w:rsidRDefault="007D14F1" w:rsidP="00E11D5D">
      <w:pPr>
        <w:spacing w:line="480" w:lineRule="auto"/>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2.3</w:t>
      </w:r>
      <w:r w:rsidR="00DE5C10" w:rsidRPr="002C24A8">
        <w:rPr>
          <w:rFonts w:ascii="Times New Roman" w:hAnsi="Times New Roman" w:cs="Times New Roman"/>
          <w:sz w:val="24"/>
          <w:szCs w:val="24"/>
          <w:lang w:val="en-US"/>
        </w:rPr>
        <w:t>.3 CSR and non-technological innovation</w:t>
      </w:r>
    </w:p>
    <w:p w14:paraId="0DD1A681" w14:textId="691E7C46" w:rsidR="00A036E7" w:rsidRPr="002C24A8" w:rsidRDefault="00A036E7" w:rsidP="0073295E">
      <w:pPr>
        <w:spacing w:line="480" w:lineRule="auto"/>
        <w:ind w:firstLine="720"/>
        <w:jc w:val="both"/>
        <w:rPr>
          <w:rFonts w:ascii="Times New Roman" w:hAnsi="Times New Roman" w:cs="Times New Roman"/>
          <w:sz w:val="24"/>
          <w:szCs w:val="24"/>
          <w:lang w:val="en-US"/>
        </w:rPr>
      </w:pPr>
      <w:bookmarkStart w:id="10" w:name="_Hlk7363248"/>
      <w:r w:rsidRPr="002C24A8">
        <w:rPr>
          <w:rFonts w:ascii="Times New Roman" w:hAnsi="Times New Roman" w:cs="Times New Roman"/>
          <w:sz w:val="24"/>
          <w:szCs w:val="24"/>
          <w:lang w:val="en-US"/>
        </w:rPr>
        <w:t xml:space="preserve">Much of the focus of innovation literature is on technological innovation, captured usually through a variety of R&amp;D related outcomes. </w:t>
      </w:r>
      <w:r w:rsidR="009C4AA0" w:rsidRPr="002C24A8">
        <w:rPr>
          <w:rFonts w:ascii="Times New Roman" w:hAnsi="Times New Roman" w:cs="Times New Roman"/>
          <w:sz w:val="24"/>
          <w:szCs w:val="24"/>
          <w:lang w:val="en-US"/>
        </w:rPr>
        <w:t>However</w:t>
      </w:r>
      <w:r w:rsidR="00637BFE" w:rsidRPr="002C24A8">
        <w:rPr>
          <w:rFonts w:ascii="Times New Roman" w:hAnsi="Times New Roman" w:cs="Times New Roman"/>
          <w:sz w:val="24"/>
          <w:szCs w:val="24"/>
          <w:lang w:val="en-US"/>
        </w:rPr>
        <w:t>,</w:t>
      </w:r>
      <w:r w:rsidR="009C4AA0" w:rsidRPr="002C24A8">
        <w:rPr>
          <w:rFonts w:ascii="Times New Roman" w:hAnsi="Times New Roman" w:cs="Times New Roman"/>
          <w:sz w:val="24"/>
          <w:szCs w:val="24"/>
          <w:lang w:val="en-US"/>
        </w:rPr>
        <w:t xml:space="preserve"> there are many more nuanced innovation outcomes, non-technological in nature, which can underpin firm performance. We </w:t>
      </w:r>
      <w:r w:rsidR="003404D9" w:rsidRPr="002C24A8">
        <w:rPr>
          <w:rFonts w:ascii="Times New Roman" w:hAnsi="Times New Roman" w:cs="Times New Roman"/>
          <w:sz w:val="24"/>
          <w:szCs w:val="24"/>
          <w:lang w:val="en-US"/>
        </w:rPr>
        <w:t>develop</w:t>
      </w:r>
      <w:r w:rsidR="009C4AA0" w:rsidRPr="002C24A8">
        <w:rPr>
          <w:rFonts w:ascii="Times New Roman" w:hAnsi="Times New Roman" w:cs="Times New Roman"/>
          <w:sz w:val="24"/>
          <w:szCs w:val="24"/>
          <w:lang w:val="en-US"/>
        </w:rPr>
        <w:t xml:space="preserve"> the case here that CSR related initiatives may </w:t>
      </w:r>
      <w:r w:rsidR="003404D9" w:rsidRPr="002C24A8">
        <w:rPr>
          <w:rFonts w:ascii="Times New Roman" w:hAnsi="Times New Roman" w:cs="Times New Roman"/>
          <w:sz w:val="24"/>
          <w:szCs w:val="24"/>
          <w:lang w:val="en-US"/>
        </w:rPr>
        <w:t xml:space="preserve">contribute to such non-technological </w:t>
      </w:r>
      <w:r w:rsidR="00637BFE" w:rsidRPr="002C24A8">
        <w:rPr>
          <w:rFonts w:ascii="Times New Roman" w:hAnsi="Times New Roman" w:cs="Times New Roman"/>
          <w:sz w:val="24"/>
          <w:szCs w:val="24"/>
          <w:lang w:val="en-US"/>
        </w:rPr>
        <w:t>innovation processes.</w:t>
      </w:r>
    </w:p>
    <w:bookmarkEnd w:id="10"/>
    <w:p w14:paraId="64C03D25" w14:textId="02A47733" w:rsidR="006E4CA4" w:rsidRPr="002C24A8" w:rsidRDefault="009E3CE4" w:rsidP="0073295E">
      <w:pPr>
        <w:spacing w:line="480" w:lineRule="auto"/>
        <w:ind w:firstLine="72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A</w:t>
      </w:r>
      <w:r w:rsidR="00DE19BA" w:rsidRPr="002C24A8">
        <w:rPr>
          <w:rFonts w:ascii="Times New Roman" w:hAnsi="Times New Roman" w:cs="Times New Roman"/>
          <w:sz w:val="24"/>
          <w:szCs w:val="24"/>
          <w:lang w:val="en-US"/>
        </w:rPr>
        <w:t xml:space="preserve">t the firm level, </w:t>
      </w:r>
      <w:r w:rsidRPr="002C24A8">
        <w:rPr>
          <w:rFonts w:ascii="Times New Roman" w:hAnsi="Times New Roman" w:cs="Times New Roman"/>
          <w:sz w:val="24"/>
          <w:szCs w:val="24"/>
          <w:lang w:val="en-US"/>
        </w:rPr>
        <w:t xml:space="preserve">there is </w:t>
      </w:r>
      <w:r w:rsidR="00DE19BA" w:rsidRPr="002C24A8">
        <w:rPr>
          <w:rFonts w:ascii="Times New Roman" w:hAnsi="Times New Roman" w:cs="Times New Roman"/>
          <w:sz w:val="24"/>
          <w:szCs w:val="24"/>
          <w:lang w:val="en-US"/>
        </w:rPr>
        <w:t>an interwoven nexus spanning exploration and exploitation that can be levered to promote the supply, demand and spatial search for innovation by employees</w:t>
      </w:r>
      <w:r w:rsidRPr="002C24A8">
        <w:rPr>
          <w:rFonts w:ascii="Times New Roman" w:hAnsi="Times New Roman" w:cs="Times New Roman"/>
          <w:sz w:val="24"/>
          <w:szCs w:val="24"/>
          <w:lang w:val="en-US"/>
        </w:rPr>
        <w:t xml:space="preserve"> (</w:t>
      </w:r>
      <w:r w:rsidR="00DE19BA" w:rsidRPr="002C24A8">
        <w:rPr>
          <w:rFonts w:ascii="Times New Roman" w:hAnsi="Times New Roman" w:cs="Times New Roman"/>
          <w:sz w:val="24"/>
          <w:szCs w:val="24"/>
          <w:lang w:val="en-US"/>
        </w:rPr>
        <w:t>Sidhu et al.</w:t>
      </w:r>
      <w:r w:rsidRPr="002C24A8">
        <w:rPr>
          <w:rFonts w:ascii="Times New Roman" w:hAnsi="Times New Roman" w:cs="Times New Roman"/>
          <w:sz w:val="24"/>
          <w:szCs w:val="24"/>
          <w:lang w:val="en-US"/>
        </w:rPr>
        <w:t>,</w:t>
      </w:r>
      <w:r w:rsidR="00DE19BA" w:rsidRPr="002C24A8">
        <w:rPr>
          <w:rFonts w:ascii="Times New Roman" w:hAnsi="Times New Roman" w:cs="Times New Roman"/>
          <w:sz w:val="24"/>
          <w:szCs w:val="24"/>
          <w:lang w:val="en-US"/>
        </w:rPr>
        <w:t xml:space="preserve"> 2007). </w:t>
      </w:r>
      <w:r w:rsidR="006E4CA4" w:rsidRPr="002C24A8">
        <w:rPr>
          <w:rFonts w:ascii="Times New Roman" w:hAnsi="Times New Roman" w:cs="Times New Roman"/>
          <w:sz w:val="24"/>
          <w:szCs w:val="24"/>
          <w:lang w:val="en-US"/>
        </w:rPr>
        <w:t xml:space="preserve">In a </w:t>
      </w:r>
      <w:r w:rsidR="00DE19BA" w:rsidRPr="002C24A8">
        <w:rPr>
          <w:rFonts w:ascii="Times New Roman" w:hAnsi="Times New Roman" w:cs="Times New Roman"/>
          <w:sz w:val="24"/>
          <w:szCs w:val="24"/>
          <w:lang w:val="en-US"/>
        </w:rPr>
        <w:t>somewhat</w:t>
      </w:r>
      <w:r w:rsidR="006E4CA4" w:rsidRPr="002C24A8">
        <w:rPr>
          <w:rFonts w:ascii="Times New Roman" w:hAnsi="Times New Roman" w:cs="Times New Roman"/>
          <w:sz w:val="24"/>
          <w:szCs w:val="24"/>
          <w:lang w:val="en-US"/>
        </w:rPr>
        <w:t xml:space="preserve"> nuanced strand of the literature</w:t>
      </w:r>
      <w:r w:rsidRPr="002C24A8">
        <w:rPr>
          <w:rFonts w:ascii="Times New Roman" w:hAnsi="Times New Roman" w:cs="Times New Roman"/>
          <w:sz w:val="24"/>
          <w:szCs w:val="24"/>
          <w:lang w:val="en-US"/>
        </w:rPr>
        <w:t>,</w:t>
      </w:r>
      <w:r w:rsidR="006E4CA4" w:rsidRPr="002C24A8">
        <w:rPr>
          <w:rFonts w:ascii="Times New Roman" w:hAnsi="Times New Roman" w:cs="Times New Roman"/>
          <w:sz w:val="24"/>
          <w:szCs w:val="24"/>
          <w:lang w:val="en-US"/>
        </w:rPr>
        <w:t xml:space="preserve"> it has been demonstrated that innovation </w:t>
      </w:r>
      <w:r w:rsidR="004060CF" w:rsidRPr="002C24A8">
        <w:rPr>
          <w:rFonts w:ascii="Times New Roman" w:hAnsi="Times New Roman" w:cs="Times New Roman"/>
          <w:sz w:val="24"/>
          <w:szCs w:val="24"/>
          <w:lang w:val="en-US"/>
        </w:rPr>
        <w:t>can be fostered</w:t>
      </w:r>
      <w:r w:rsidR="006E4CA4" w:rsidRPr="002C24A8">
        <w:rPr>
          <w:rFonts w:ascii="Times New Roman" w:hAnsi="Times New Roman" w:cs="Times New Roman"/>
          <w:sz w:val="24"/>
          <w:szCs w:val="24"/>
          <w:lang w:val="en-US"/>
        </w:rPr>
        <w:t xml:space="preserve"> through non-technological developments (social innovation) as well, in some cases more </w:t>
      </w:r>
      <w:r w:rsidR="00AA0B0E" w:rsidRPr="002C24A8">
        <w:rPr>
          <w:rFonts w:ascii="Times New Roman" w:hAnsi="Times New Roman" w:cs="Times New Roman"/>
          <w:sz w:val="24"/>
          <w:szCs w:val="24"/>
          <w:lang w:val="en-US"/>
        </w:rPr>
        <w:t>impactful benefits</w:t>
      </w:r>
      <w:r w:rsidR="006E4CA4" w:rsidRPr="002C24A8">
        <w:rPr>
          <w:rFonts w:ascii="Times New Roman" w:hAnsi="Times New Roman" w:cs="Times New Roman"/>
          <w:sz w:val="24"/>
          <w:szCs w:val="24"/>
          <w:lang w:val="en-US"/>
        </w:rPr>
        <w:t xml:space="preserve"> than</w:t>
      </w:r>
      <w:r w:rsidR="00AA0B0E" w:rsidRPr="002C24A8">
        <w:rPr>
          <w:rFonts w:ascii="Times New Roman" w:hAnsi="Times New Roman" w:cs="Times New Roman"/>
          <w:sz w:val="24"/>
          <w:szCs w:val="24"/>
          <w:lang w:val="en-US"/>
        </w:rPr>
        <w:t xml:space="preserve"> from pure</w:t>
      </w:r>
      <w:r w:rsidR="006E4CA4" w:rsidRPr="002C24A8">
        <w:rPr>
          <w:rFonts w:ascii="Times New Roman" w:hAnsi="Times New Roman" w:cs="Times New Roman"/>
          <w:sz w:val="24"/>
          <w:szCs w:val="24"/>
          <w:lang w:val="en-US"/>
        </w:rPr>
        <w:t xml:space="preserve"> technological change. Research on absorptive capacity and ambidexterity also demonstrates the importance of social and </w:t>
      </w:r>
      <w:r w:rsidR="00747281" w:rsidRPr="002C24A8">
        <w:rPr>
          <w:rFonts w:ascii="Times New Roman" w:hAnsi="Times New Roman" w:cs="Times New Roman"/>
          <w:sz w:val="24"/>
          <w:szCs w:val="24"/>
          <w:lang w:val="en-US"/>
        </w:rPr>
        <w:t>organizational</w:t>
      </w:r>
      <w:r w:rsidR="006E4CA4" w:rsidRPr="002C24A8">
        <w:rPr>
          <w:rFonts w:ascii="Times New Roman" w:hAnsi="Times New Roman" w:cs="Times New Roman"/>
          <w:sz w:val="24"/>
          <w:szCs w:val="24"/>
          <w:lang w:val="en-US"/>
        </w:rPr>
        <w:t xml:space="preserve"> factors in fostering value-enhancing exploratory innovation, see for example Jansen et al. (2005, 2006). Bridging the connection to our own work, CSR may be taken as an antecedent which gives rise to </w:t>
      </w:r>
      <w:r w:rsidR="006E4CA4" w:rsidRPr="002C24A8">
        <w:rPr>
          <w:rFonts w:ascii="Times New Roman" w:hAnsi="Times New Roman" w:cs="Times New Roman"/>
          <w:sz w:val="24"/>
          <w:szCs w:val="24"/>
          <w:lang w:val="en-US"/>
        </w:rPr>
        <w:lastRenderedPageBreak/>
        <w:t xml:space="preserve">heightened levels of </w:t>
      </w:r>
      <w:r w:rsidR="004B17B8" w:rsidRPr="002C24A8">
        <w:rPr>
          <w:rFonts w:ascii="Times New Roman" w:hAnsi="Times New Roman" w:cs="Times New Roman"/>
          <w:sz w:val="24"/>
          <w:szCs w:val="24"/>
          <w:lang w:val="en-US"/>
        </w:rPr>
        <w:t>organizational</w:t>
      </w:r>
      <w:r w:rsidR="006E4CA4" w:rsidRPr="002C24A8">
        <w:rPr>
          <w:rFonts w:ascii="Times New Roman" w:hAnsi="Times New Roman" w:cs="Times New Roman"/>
          <w:sz w:val="24"/>
          <w:szCs w:val="24"/>
          <w:lang w:val="en-US"/>
        </w:rPr>
        <w:t xml:space="preserve"> ambidexterity </w:t>
      </w:r>
      <w:r w:rsidR="004B17B8" w:rsidRPr="002C24A8">
        <w:rPr>
          <w:rFonts w:ascii="Times New Roman" w:hAnsi="Times New Roman" w:cs="Times New Roman"/>
          <w:sz w:val="24"/>
          <w:szCs w:val="24"/>
          <w:lang w:val="en-US"/>
        </w:rPr>
        <w:t>thereby</w:t>
      </w:r>
      <w:r w:rsidR="006E4CA4" w:rsidRPr="002C24A8">
        <w:rPr>
          <w:rFonts w:ascii="Times New Roman" w:hAnsi="Times New Roman" w:cs="Times New Roman"/>
          <w:sz w:val="24"/>
          <w:szCs w:val="24"/>
          <w:lang w:val="en-US"/>
        </w:rPr>
        <w:t xml:space="preserve"> foster</w:t>
      </w:r>
      <w:r w:rsidR="004B17B8" w:rsidRPr="002C24A8">
        <w:rPr>
          <w:rFonts w:ascii="Times New Roman" w:hAnsi="Times New Roman" w:cs="Times New Roman"/>
          <w:sz w:val="24"/>
          <w:szCs w:val="24"/>
          <w:lang w:val="en-US"/>
        </w:rPr>
        <w:t>ing both exploitative and explorative</w:t>
      </w:r>
      <w:r w:rsidR="006E4CA4" w:rsidRPr="002C24A8">
        <w:rPr>
          <w:rFonts w:ascii="Times New Roman" w:hAnsi="Times New Roman" w:cs="Times New Roman"/>
          <w:sz w:val="24"/>
          <w:szCs w:val="24"/>
          <w:lang w:val="en-US"/>
        </w:rPr>
        <w:t xml:space="preserve"> innovation. </w:t>
      </w:r>
      <w:bookmarkStart w:id="11" w:name="_Hlk7365094"/>
      <w:r w:rsidR="006E4CA4" w:rsidRPr="002C24A8">
        <w:rPr>
          <w:rFonts w:ascii="Times New Roman" w:hAnsi="Times New Roman" w:cs="Times New Roman"/>
          <w:sz w:val="24"/>
          <w:szCs w:val="24"/>
          <w:lang w:val="en-US"/>
        </w:rPr>
        <w:t xml:space="preserve">Management innovation, </w:t>
      </w:r>
      <w:r w:rsidR="00C729BA" w:rsidRPr="002C24A8">
        <w:rPr>
          <w:rFonts w:ascii="Times New Roman" w:hAnsi="Times New Roman" w:cs="Times New Roman"/>
          <w:sz w:val="24"/>
          <w:szCs w:val="24"/>
          <w:lang w:val="en-US"/>
        </w:rPr>
        <w:t xml:space="preserve">which may </w:t>
      </w:r>
      <w:r w:rsidR="006F3921" w:rsidRPr="002C24A8">
        <w:rPr>
          <w:rFonts w:ascii="Times New Roman" w:hAnsi="Times New Roman" w:cs="Times New Roman"/>
          <w:sz w:val="24"/>
          <w:szCs w:val="24"/>
          <w:lang w:val="en-US"/>
        </w:rPr>
        <w:t>result from enhanced CSR activities</w:t>
      </w:r>
      <w:r w:rsidR="00DE19BA" w:rsidRPr="002C24A8">
        <w:rPr>
          <w:rFonts w:ascii="Times New Roman" w:hAnsi="Times New Roman" w:cs="Times New Roman"/>
          <w:sz w:val="24"/>
          <w:szCs w:val="24"/>
          <w:lang w:val="en-US"/>
        </w:rPr>
        <w:t xml:space="preserve">, </w:t>
      </w:r>
      <w:r w:rsidR="006F3921" w:rsidRPr="002C24A8">
        <w:rPr>
          <w:rFonts w:ascii="Times New Roman" w:hAnsi="Times New Roman" w:cs="Times New Roman"/>
          <w:sz w:val="24"/>
          <w:szCs w:val="24"/>
          <w:lang w:val="en-US"/>
        </w:rPr>
        <w:t xml:space="preserve">can </w:t>
      </w:r>
      <w:r w:rsidR="00DE19BA" w:rsidRPr="002C24A8">
        <w:rPr>
          <w:rFonts w:ascii="Times New Roman" w:hAnsi="Times New Roman" w:cs="Times New Roman"/>
          <w:sz w:val="24"/>
          <w:szCs w:val="24"/>
          <w:lang w:val="en-US"/>
        </w:rPr>
        <w:t xml:space="preserve">improve the underlying conditions for innovation within a firm </w:t>
      </w:r>
      <w:bookmarkEnd w:id="11"/>
      <w:r w:rsidR="00DE19BA" w:rsidRPr="002C24A8">
        <w:rPr>
          <w:rFonts w:ascii="Times New Roman" w:hAnsi="Times New Roman" w:cs="Times New Roman"/>
          <w:sz w:val="24"/>
          <w:szCs w:val="24"/>
          <w:lang w:val="en-US"/>
        </w:rPr>
        <w:t>as emphasized by Vo</w:t>
      </w:r>
      <w:r w:rsidR="00871748" w:rsidRPr="002C24A8">
        <w:rPr>
          <w:rFonts w:ascii="Times New Roman" w:hAnsi="Times New Roman" w:cs="Times New Roman"/>
          <w:sz w:val="24"/>
          <w:szCs w:val="24"/>
          <w:lang w:val="en-US"/>
        </w:rPr>
        <w:t>l</w:t>
      </w:r>
      <w:r w:rsidR="00DE19BA" w:rsidRPr="002C24A8">
        <w:rPr>
          <w:rFonts w:ascii="Times New Roman" w:hAnsi="Times New Roman" w:cs="Times New Roman"/>
          <w:sz w:val="24"/>
          <w:szCs w:val="24"/>
          <w:lang w:val="en-US"/>
        </w:rPr>
        <w:t>berda et al. (2013) and Walker et al. (2015).</w:t>
      </w:r>
      <w:r w:rsidR="004060CF" w:rsidRPr="002C24A8">
        <w:rPr>
          <w:rFonts w:ascii="Times New Roman" w:hAnsi="Times New Roman" w:cs="Times New Roman"/>
          <w:sz w:val="24"/>
          <w:szCs w:val="24"/>
          <w:lang w:val="en-US"/>
        </w:rPr>
        <w:t xml:space="preserve"> While in this paper we do not go as far as disentangling the unique effects of individual CSR dimensions to innovation capacity, this additional strand of literature helps to reinforce our underlying hypothesis that enhance</w:t>
      </w:r>
      <w:r w:rsidR="003457DC" w:rsidRPr="002C24A8">
        <w:rPr>
          <w:rFonts w:ascii="Times New Roman" w:hAnsi="Times New Roman" w:cs="Times New Roman"/>
          <w:sz w:val="24"/>
          <w:szCs w:val="24"/>
          <w:lang w:val="en-US"/>
        </w:rPr>
        <w:t>d</w:t>
      </w:r>
      <w:r w:rsidR="004060CF" w:rsidRPr="002C24A8">
        <w:rPr>
          <w:rFonts w:ascii="Times New Roman" w:hAnsi="Times New Roman" w:cs="Times New Roman"/>
          <w:sz w:val="24"/>
          <w:szCs w:val="24"/>
          <w:lang w:val="en-US"/>
        </w:rPr>
        <w:t xml:space="preserve"> CSP creates the potential, likelihood even, for superior innovation capacity. </w:t>
      </w:r>
    </w:p>
    <w:p w14:paraId="64AA9449" w14:textId="2BBB9259" w:rsidR="00245A7A" w:rsidRPr="002C24A8" w:rsidRDefault="00245A7A" w:rsidP="0073295E">
      <w:pPr>
        <w:spacing w:line="480" w:lineRule="auto"/>
        <w:ind w:firstLine="720"/>
        <w:jc w:val="both"/>
        <w:rPr>
          <w:rFonts w:ascii="Times New Roman" w:hAnsi="Times New Roman" w:cs="Times New Roman"/>
          <w:sz w:val="24"/>
          <w:szCs w:val="24"/>
          <w:lang w:val="en-US"/>
        </w:rPr>
      </w:pPr>
    </w:p>
    <w:p w14:paraId="0689AF6B" w14:textId="77777777" w:rsidR="00FF0E79" w:rsidRPr="002C24A8" w:rsidRDefault="00FF0E79" w:rsidP="00FF0E79">
      <w:pPr>
        <w:spacing w:after="0" w:line="480" w:lineRule="auto"/>
        <w:jc w:val="both"/>
        <w:rPr>
          <w:rFonts w:ascii="Times New Roman" w:hAnsi="Times New Roman" w:cs="Times New Roman"/>
          <w:b/>
          <w:sz w:val="24"/>
          <w:szCs w:val="24"/>
          <w:lang w:val="en-US"/>
        </w:rPr>
      </w:pPr>
      <w:r w:rsidRPr="002C24A8">
        <w:rPr>
          <w:rFonts w:ascii="Times New Roman" w:hAnsi="Times New Roman" w:cs="Times New Roman"/>
          <w:b/>
          <w:sz w:val="24"/>
          <w:szCs w:val="24"/>
          <w:lang w:val="en-US"/>
        </w:rPr>
        <w:t>3. Data Description and Methodological framework</w:t>
      </w:r>
    </w:p>
    <w:p w14:paraId="6B1B40A9" w14:textId="77777777" w:rsidR="00255F20" w:rsidRPr="002C24A8" w:rsidRDefault="00C252A2" w:rsidP="00FF0E79">
      <w:pPr>
        <w:spacing w:after="0" w:line="480" w:lineRule="auto"/>
        <w:jc w:val="both"/>
        <w:rPr>
          <w:rFonts w:ascii="Times New Roman" w:hAnsi="Times New Roman" w:cs="Times New Roman"/>
          <w:i/>
          <w:sz w:val="24"/>
          <w:szCs w:val="24"/>
          <w:lang w:val="en-US"/>
        </w:rPr>
      </w:pPr>
      <w:r w:rsidRPr="002C24A8">
        <w:rPr>
          <w:rFonts w:ascii="Times New Roman" w:hAnsi="Times New Roman" w:cs="Times New Roman"/>
          <w:i/>
          <w:sz w:val="24"/>
          <w:szCs w:val="24"/>
          <w:lang w:val="en-US"/>
        </w:rPr>
        <w:t>3.1 Data d</w:t>
      </w:r>
      <w:r w:rsidR="00FF0E79" w:rsidRPr="002C24A8">
        <w:rPr>
          <w:rFonts w:ascii="Times New Roman" w:hAnsi="Times New Roman" w:cs="Times New Roman"/>
          <w:i/>
          <w:sz w:val="24"/>
          <w:szCs w:val="24"/>
          <w:lang w:val="en-US"/>
        </w:rPr>
        <w:t>escription</w:t>
      </w:r>
    </w:p>
    <w:p w14:paraId="0F8C745B" w14:textId="645A0428" w:rsidR="00255F20" w:rsidRPr="002C24A8" w:rsidRDefault="00BB48CF" w:rsidP="00F716A3">
      <w:pPr>
        <w:spacing w:after="0" w:line="480" w:lineRule="auto"/>
        <w:ind w:firstLine="72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In our analysis, </w:t>
      </w:r>
      <w:r w:rsidR="003B1EBC" w:rsidRPr="002C24A8">
        <w:rPr>
          <w:rFonts w:ascii="Times New Roman" w:hAnsi="Times New Roman" w:cs="Times New Roman"/>
          <w:sz w:val="24"/>
          <w:szCs w:val="24"/>
          <w:lang w:val="en-US"/>
        </w:rPr>
        <w:t xml:space="preserve">we use a sample of 320 Japanese firms over the period 2008-2016 </w:t>
      </w:r>
      <w:r w:rsidRPr="002C24A8">
        <w:rPr>
          <w:rFonts w:ascii="Times New Roman" w:hAnsi="Times New Roman" w:cs="Times New Roman"/>
          <w:sz w:val="24"/>
          <w:szCs w:val="24"/>
          <w:lang w:val="en-US"/>
        </w:rPr>
        <w:t xml:space="preserve">that are collected </w:t>
      </w:r>
      <w:r w:rsidR="003B1EBC" w:rsidRPr="002C24A8">
        <w:rPr>
          <w:rFonts w:ascii="Times New Roman" w:hAnsi="Times New Roman" w:cs="Times New Roman"/>
          <w:sz w:val="24"/>
          <w:szCs w:val="24"/>
          <w:lang w:val="en-US"/>
        </w:rPr>
        <w:t>from</w:t>
      </w:r>
      <w:r w:rsidR="003B1EBC" w:rsidRPr="002C24A8">
        <w:rPr>
          <w:lang w:val="en-US"/>
        </w:rPr>
        <w:t xml:space="preserve"> </w:t>
      </w:r>
      <w:r w:rsidR="003B1EBC" w:rsidRPr="002C24A8">
        <w:rPr>
          <w:rFonts w:ascii="Times New Roman" w:hAnsi="Times New Roman" w:cs="Times New Roman"/>
          <w:sz w:val="24"/>
          <w:szCs w:val="24"/>
          <w:lang w:val="en-US"/>
        </w:rPr>
        <w:t>Bloomberg</w:t>
      </w:r>
      <w:r w:rsidRPr="002C24A8">
        <w:rPr>
          <w:rFonts w:ascii="Times New Roman" w:hAnsi="Times New Roman" w:cs="Times New Roman"/>
          <w:sz w:val="24"/>
          <w:szCs w:val="24"/>
          <w:lang w:val="en-US"/>
        </w:rPr>
        <w:t>.</w:t>
      </w:r>
      <w:r w:rsidR="00F3724B" w:rsidRPr="002C24A8">
        <w:rPr>
          <w:rStyle w:val="FootnoteReference"/>
          <w:rFonts w:ascii="Times New Roman" w:hAnsi="Times New Roman" w:cs="Times New Roman"/>
          <w:sz w:val="24"/>
          <w:szCs w:val="24"/>
          <w:lang w:val="en-US"/>
        </w:rPr>
        <w:footnoteReference w:id="8"/>
      </w:r>
      <w:r w:rsidRPr="002C24A8">
        <w:rPr>
          <w:rFonts w:ascii="Times New Roman" w:hAnsi="Times New Roman" w:cs="Times New Roman"/>
          <w:sz w:val="24"/>
          <w:szCs w:val="24"/>
          <w:lang w:val="en-US"/>
        </w:rPr>
        <w:t xml:space="preserve"> </w:t>
      </w:r>
      <w:r w:rsidR="003B1EBC" w:rsidRPr="002C24A8">
        <w:rPr>
          <w:rFonts w:ascii="Times New Roman" w:hAnsi="Times New Roman" w:cs="Times New Roman"/>
          <w:sz w:val="24"/>
          <w:szCs w:val="24"/>
          <w:lang w:val="en-US"/>
        </w:rPr>
        <w:t xml:space="preserve">The reason why we have used the particular sample is twofold. </w:t>
      </w:r>
      <w:r w:rsidR="00B8032A" w:rsidRPr="002C24A8">
        <w:rPr>
          <w:rFonts w:ascii="Times New Roman" w:hAnsi="Times New Roman" w:cs="Times New Roman"/>
          <w:sz w:val="24"/>
          <w:szCs w:val="24"/>
          <w:lang w:val="en-US"/>
        </w:rPr>
        <w:t>Firstly,</w:t>
      </w:r>
      <w:r w:rsidR="003B1EBC" w:rsidRPr="002C24A8">
        <w:rPr>
          <w:rFonts w:ascii="Times New Roman" w:hAnsi="Times New Roman" w:cs="Times New Roman"/>
          <w:sz w:val="24"/>
          <w:szCs w:val="24"/>
          <w:lang w:val="en-US"/>
        </w:rPr>
        <w:t xml:space="preserve"> by choosing firms from a single country we are able to eliminate any institutional differences which appear in cross country studies and can mask over the estimated </w:t>
      </w:r>
      <w:r w:rsidR="00A73589" w:rsidRPr="002C24A8">
        <w:rPr>
          <w:rFonts w:ascii="Times New Roman" w:hAnsi="Times New Roman" w:cs="Times New Roman"/>
          <w:sz w:val="24"/>
          <w:szCs w:val="24"/>
          <w:lang w:val="en-US"/>
        </w:rPr>
        <w:t xml:space="preserve">CSR </w:t>
      </w:r>
      <w:r w:rsidR="003B1EBC" w:rsidRPr="002C24A8">
        <w:rPr>
          <w:rFonts w:ascii="Times New Roman" w:hAnsi="Times New Roman" w:cs="Times New Roman"/>
          <w:sz w:val="24"/>
          <w:szCs w:val="24"/>
          <w:lang w:val="en-US"/>
        </w:rPr>
        <w:t>effect</w:t>
      </w:r>
      <w:r w:rsidR="00A73589" w:rsidRPr="002C24A8">
        <w:rPr>
          <w:lang w:val="en-US"/>
        </w:rPr>
        <w:t xml:space="preserve"> (</w:t>
      </w:r>
      <w:r w:rsidR="00A73589" w:rsidRPr="002C24A8">
        <w:rPr>
          <w:rFonts w:ascii="Times New Roman" w:hAnsi="Times New Roman" w:cs="Times New Roman"/>
          <w:sz w:val="24"/>
          <w:szCs w:val="24"/>
          <w:lang w:val="en-US"/>
        </w:rPr>
        <w:t>Cai et al. 2016</w:t>
      </w:r>
      <w:r w:rsidR="002225C8" w:rsidRPr="002C24A8">
        <w:rPr>
          <w:rFonts w:ascii="Times New Roman" w:hAnsi="Times New Roman" w:cs="Times New Roman"/>
          <w:sz w:val="24"/>
          <w:szCs w:val="24"/>
          <w:lang w:val="en-US"/>
        </w:rPr>
        <w:t xml:space="preserve">). </w:t>
      </w:r>
      <w:r w:rsidR="003B1EBC" w:rsidRPr="002C24A8">
        <w:rPr>
          <w:rFonts w:ascii="Times New Roman" w:hAnsi="Times New Roman" w:cs="Times New Roman"/>
          <w:sz w:val="24"/>
          <w:szCs w:val="24"/>
          <w:lang w:val="en-US"/>
        </w:rPr>
        <w:t>Moreover, we follow Reverte et al. (2016) and we choose a sample of eco-responsible firms’. In the Bloomberg database these firms are those which report their CO2 emissions (among other pollutants)</w:t>
      </w:r>
      <w:r w:rsidR="00A33C3A">
        <w:rPr>
          <w:rFonts w:ascii="Times New Roman" w:hAnsi="Times New Roman" w:cs="Times New Roman"/>
          <w:sz w:val="24"/>
          <w:szCs w:val="24"/>
          <w:lang w:val="en-US"/>
        </w:rPr>
        <w:t xml:space="preserve"> and </w:t>
      </w:r>
      <w:r w:rsidR="003B1EBC" w:rsidRPr="002C24A8">
        <w:rPr>
          <w:rFonts w:ascii="Times New Roman" w:hAnsi="Times New Roman" w:cs="Times New Roman"/>
          <w:sz w:val="24"/>
          <w:szCs w:val="24"/>
          <w:lang w:val="en-US"/>
        </w:rPr>
        <w:t xml:space="preserve">provide unique access to </w:t>
      </w:r>
      <w:r w:rsidR="00A73589" w:rsidRPr="002C24A8">
        <w:rPr>
          <w:rFonts w:ascii="Times New Roman" w:hAnsi="Times New Roman" w:cs="Times New Roman"/>
          <w:sz w:val="24"/>
          <w:szCs w:val="24"/>
          <w:lang w:val="en-US"/>
        </w:rPr>
        <w:t>firm level emission</w:t>
      </w:r>
      <w:r w:rsidR="00A33C3A">
        <w:rPr>
          <w:rFonts w:ascii="Times New Roman" w:hAnsi="Times New Roman" w:cs="Times New Roman"/>
          <w:sz w:val="24"/>
          <w:szCs w:val="24"/>
          <w:lang w:val="en-US"/>
        </w:rPr>
        <w:t>s</w:t>
      </w:r>
      <w:r w:rsidR="00A73589" w:rsidRPr="002C24A8">
        <w:rPr>
          <w:rFonts w:ascii="Times New Roman" w:hAnsi="Times New Roman" w:cs="Times New Roman"/>
          <w:sz w:val="24"/>
          <w:szCs w:val="24"/>
          <w:lang w:val="en-US"/>
        </w:rPr>
        <w:t xml:space="preserve"> </w:t>
      </w:r>
      <w:r w:rsidR="003B1EBC" w:rsidRPr="002C24A8">
        <w:rPr>
          <w:rFonts w:ascii="Times New Roman" w:hAnsi="Times New Roman" w:cs="Times New Roman"/>
          <w:sz w:val="24"/>
          <w:szCs w:val="24"/>
          <w:lang w:val="en-US"/>
        </w:rPr>
        <w:t>data over several years.</w:t>
      </w:r>
      <w:r w:rsidR="0077750D" w:rsidRPr="002C24A8">
        <w:rPr>
          <w:rFonts w:ascii="Times New Roman" w:hAnsi="Times New Roman" w:cs="Times New Roman"/>
          <w:sz w:val="24"/>
          <w:szCs w:val="24"/>
          <w:lang w:val="en-US"/>
        </w:rPr>
        <w:t xml:space="preserve"> As a proxy of firms’ corporate social </w:t>
      </w:r>
      <w:r w:rsidR="002225C8" w:rsidRPr="002C24A8">
        <w:rPr>
          <w:rFonts w:ascii="Times New Roman" w:hAnsi="Times New Roman" w:cs="Times New Roman"/>
          <w:sz w:val="24"/>
          <w:szCs w:val="24"/>
          <w:lang w:val="en-US"/>
        </w:rPr>
        <w:t>responsibility (CSR),</w:t>
      </w:r>
      <w:r w:rsidR="0077750D" w:rsidRPr="002C24A8">
        <w:rPr>
          <w:rFonts w:ascii="Times New Roman" w:hAnsi="Times New Roman" w:cs="Times New Roman"/>
          <w:sz w:val="24"/>
          <w:szCs w:val="24"/>
          <w:lang w:val="en-US"/>
        </w:rPr>
        <w:t xml:space="preserve"> </w:t>
      </w:r>
      <w:r w:rsidR="00D35A40" w:rsidRPr="002C24A8">
        <w:rPr>
          <w:rFonts w:ascii="Times New Roman" w:hAnsi="Times New Roman" w:cs="Times New Roman"/>
          <w:sz w:val="24"/>
          <w:szCs w:val="24"/>
          <w:lang w:val="en-US"/>
        </w:rPr>
        <w:t>we use a third-party rating calculation (ESG Disclosure Score) developed by Bloomberg</w:t>
      </w:r>
      <w:r w:rsidR="0077750D" w:rsidRPr="002C24A8">
        <w:rPr>
          <w:rFonts w:ascii="Times New Roman" w:hAnsi="Times New Roman" w:cs="Times New Roman"/>
          <w:sz w:val="24"/>
          <w:szCs w:val="24"/>
          <w:lang w:val="en-US"/>
        </w:rPr>
        <w:t>.</w:t>
      </w:r>
      <w:r w:rsidR="00F3724B" w:rsidRPr="002C24A8">
        <w:rPr>
          <w:rStyle w:val="FootnoteReference"/>
          <w:rFonts w:ascii="Times New Roman" w:hAnsi="Times New Roman" w:cs="Times New Roman"/>
          <w:sz w:val="24"/>
          <w:szCs w:val="24"/>
          <w:lang w:val="en-US"/>
        </w:rPr>
        <w:footnoteReference w:id="9"/>
      </w:r>
      <w:r w:rsidR="0077750D" w:rsidRPr="002C24A8">
        <w:rPr>
          <w:rFonts w:ascii="Times New Roman" w:hAnsi="Times New Roman" w:cs="Times New Roman"/>
          <w:sz w:val="24"/>
          <w:szCs w:val="24"/>
          <w:lang w:val="en-US"/>
        </w:rPr>
        <w:t xml:space="preserve"> </w:t>
      </w:r>
      <w:r w:rsidR="00257FF9" w:rsidRPr="002C24A8">
        <w:rPr>
          <w:rFonts w:ascii="Times New Roman" w:hAnsi="Times New Roman" w:cs="Times New Roman"/>
          <w:sz w:val="24"/>
          <w:szCs w:val="24"/>
          <w:lang w:val="en-US"/>
        </w:rPr>
        <w:t>Husted and de Sousa-Filho (2018) show that th</w:t>
      </w:r>
      <w:r w:rsidR="00D35A40" w:rsidRPr="002C24A8">
        <w:rPr>
          <w:rFonts w:ascii="Times New Roman" w:hAnsi="Times New Roman" w:cs="Times New Roman"/>
          <w:sz w:val="24"/>
          <w:szCs w:val="24"/>
          <w:lang w:val="en-US"/>
        </w:rPr>
        <w:t xml:space="preserve">e </w:t>
      </w:r>
      <w:r w:rsidR="00D35A40" w:rsidRPr="002C24A8">
        <w:rPr>
          <w:rFonts w:ascii="Times New Roman" w:hAnsi="Times New Roman" w:cs="Times New Roman"/>
          <w:sz w:val="24"/>
          <w:szCs w:val="24"/>
          <w:lang w:val="en-US"/>
        </w:rPr>
        <w:lastRenderedPageBreak/>
        <w:t>Bloomberg ESG</w:t>
      </w:r>
      <w:r w:rsidR="00257FF9" w:rsidRPr="002C24A8">
        <w:rPr>
          <w:rFonts w:ascii="Times New Roman" w:hAnsi="Times New Roman" w:cs="Times New Roman"/>
          <w:sz w:val="24"/>
          <w:szCs w:val="24"/>
          <w:lang w:val="en-US"/>
        </w:rPr>
        <w:t xml:space="preserve"> measures </w:t>
      </w:r>
      <w:r w:rsidR="00D35A40" w:rsidRPr="002C24A8">
        <w:rPr>
          <w:rFonts w:ascii="Times New Roman" w:hAnsi="Times New Roman" w:cs="Times New Roman"/>
          <w:sz w:val="24"/>
          <w:szCs w:val="24"/>
          <w:lang w:val="en-US"/>
        </w:rPr>
        <w:t>provide consistent and</w:t>
      </w:r>
      <w:r w:rsidR="00257FF9" w:rsidRPr="002C24A8">
        <w:rPr>
          <w:rFonts w:ascii="Times New Roman" w:hAnsi="Times New Roman" w:cs="Times New Roman"/>
          <w:sz w:val="24"/>
          <w:szCs w:val="24"/>
          <w:lang w:val="en-US"/>
        </w:rPr>
        <w:t xml:space="preserve"> comprehensive </w:t>
      </w:r>
      <w:r w:rsidR="00D35A40" w:rsidRPr="002C24A8">
        <w:rPr>
          <w:rFonts w:ascii="Times New Roman" w:hAnsi="Times New Roman" w:cs="Times New Roman"/>
          <w:sz w:val="24"/>
          <w:szCs w:val="24"/>
          <w:lang w:val="en-US"/>
        </w:rPr>
        <w:t xml:space="preserve">estimates of </w:t>
      </w:r>
      <w:r w:rsidR="00257FF9" w:rsidRPr="002C24A8">
        <w:rPr>
          <w:rFonts w:ascii="Times New Roman" w:hAnsi="Times New Roman" w:cs="Times New Roman"/>
          <w:sz w:val="24"/>
          <w:szCs w:val="24"/>
          <w:lang w:val="en-US"/>
        </w:rPr>
        <w:t>CSR practices that minimize the potential error in measurement.</w:t>
      </w:r>
      <w:r w:rsidR="00D35A40" w:rsidRPr="002C24A8">
        <w:rPr>
          <w:rFonts w:ascii="Times New Roman" w:hAnsi="Times New Roman" w:cs="Times New Roman"/>
          <w:sz w:val="24"/>
          <w:szCs w:val="24"/>
          <w:lang w:val="en-US"/>
        </w:rPr>
        <w:t xml:space="preserve"> </w:t>
      </w:r>
      <w:r w:rsidR="0077750D" w:rsidRPr="002C24A8">
        <w:rPr>
          <w:rFonts w:ascii="Times New Roman" w:hAnsi="Times New Roman" w:cs="Times New Roman"/>
          <w:sz w:val="24"/>
          <w:szCs w:val="24"/>
          <w:lang w:val="en-US"/>
        </w:rPr>
        <w:t xml:space="preserve">This ESG score evaluates the quality and comprehensiveness of firms’ Environmental and Social Governance disclosure and reporting </w:t>
      </w:r>
      <w:r w:rsidR="00163BB9" w:rsidRPr="002C24A8">
        <w:rPr>
          <w:rFonts w:ascii="Times New Roman" w:hAnsi="Times New Roman" w:cs="Times New Roman"/>
          <w:sz w:val="24"/>
          <w:szCs w:val="24"/>
          <w:lang w:val="en-US"/>
        </w:rPr>
        <w:t>activities and</w:t>
      </w:r>
      <w:r w:rsidR="0077750D" w:rsidRPr="002C24A8">
        <w:rPr>
          <w:rFonts w:ascii="Times New Roman" w:hAnsi="Times New Roman" w:cs="Times New Roman"/>
          <w:sz w:val="24"/>
          <w:szCs w:val="24"/>
          <w:lang w:val="en-US"/>
        </w:rPr>
        <w:t xml:space="preserve"> is based on several quantitative and policy-related measures. The ESG scores range from 0.1 for firms that disclose a minimum amount of ESG data to 100 for those that disclose every data point collected by Bloomberg</w:t>
      </w:r>
      <w:r w:rsidR="0036030F" w:rsidRPr="002C24A8">
        <w:rPr>
          <w:rFonts w:ascii="Times New Roman" w:hAnsi="Times New Roman" w:cs="Times New Roman"/>
          <w:sz w:val="24"/>
          <w:szCs w:val="24"/>
          <w:lang w:val="en-US"/>
        </w:rPr>
        <w:t>, where each data-point reflects a type of CSR activity and with some mediation by Bloomberg to account for the quality of reporting</w:t>
      </w:r>
      <w:r w:rsidR="0077750D" w:rsidRPr="002C24A8">
        <w:rPr>
          <w:rFonts w:ascii="Times New Roman" w:hAnsi="Times New Roman" w:cs="Times New Roman"/>
          <w:sz w:val="24"/>
          <w:szCs w:val="24"/>
          <w:lang w:val="en-US"/>
        </w:rPr>
        <w:t xml:space="preserve">. As a </w:t>
      </w:r>
      <w:r w:rsidR="00B8032A" w:rsidRPr="002C24A8">
        <w:rPr>
          <w:rFonts w:ascii="Times New Roman" w:hAnsi="Times New Roman" w:cs="Times New Roman"/>
          <w:sz w:val="24"/>
          <w:szCs w:val="24"/>
          <w:lang w:val="en-US"/>
        </w:rPr>
        <w:t>result,</w:t>
      </w:r>
      <w:r w:rsidR="0077750D" w:rsidRPr="002C24A8">
        <w:rPr>
          <w:rFonts w:ascii="Times New Roman" w:hAnsi="Times New Roman" w:cs="Times New Roman"/>
          <w:sz w:val="24"/>
          <w:szCs w:val="24"/>
          <w:lang w:val="en-US"/>
        </w:rPr>
        <w:t xml:space="preserve"> the higher the ESG score the higher the firms’ </w:t>
      </w:r>
      <w:r w:rsidRPr="002C24A8">
        <w:rPr>
          <w:rFonts w:ascii="Times New Roman" w:hAnsi="Times New Roman" w:cs="Times New Roman"/>
          <w:sz w:val="24"/>
          <w:szCs w:val="24"/>
          <w:lang w:val="en-US"/>
        </w:rPr>
        <w:t>involvement i</w:t>
      </w:r>
      <w:r w:rsidR="0077750D" w:rsidRPr="002C24A8">
        <w:rPr>
          <w:rFonts w:ascii="Times New Roman" w:hAnsi="Times New Roman" w:cs="Times New Roman"/>
          <w:sz w:val="24"/>
          <w:szCs w:val="24"/>
          <w:lang w:val="en-US"/>
        </w:rPr>
        <w:t xml:space="preserve">n CSR activities. </w:t>
      </w:r>
      <w:r w:rsidR="004D571F" w:rsidRPr="002C24A8">
        <w:rPr>
          <w:rFonts w:ascii="Times New Roman" w:hAnsi="Times New Roman" w:cs="Times New Roman"/>
          <w:sz w:val="24"/>
          <w:szCs w:val="24"/>
          <w:lang w:val="en-US"/>
        </w:rPr>
        <w:t xml:space="preserve">For the estimation of </w:t>
      </w:r>
      <w:r w:rsidRPr="002C24A8">
        <w:rPr>
          <w:rFonts w:ascii="Times New Roman" w:hAnsi="Times New Roman" w:cs="Times New Roman"/>
          <w:sz w:val="24"/>
          <w:szCs w:val="24"/>
          <w:lang w:val="en-US"/>
        </w:rPr>
        <w:t xml:space="preserve">the </w:t>
      </w:r>
      <w:r w:rsidR="004D571F" w:rsidRPr="002C24A8">
        <w:rPr>
          <w:rFonts w:ascii="Times New Roman" w:hAnsi="Times New Roman" w:cs="Times New Roman"/>
          <w:sz w:val="24"/>
          <w:szCs w:val="24"/>
          <w:lang w:val="en-US"/>
        </w:rPr>
        <w:t>firm</w:t>
      </w:r>
      <w:r w:rsidRPr="002C24A8">
        <w:rPr>
          <w:rFonts w:ascii="Times New Roman" w:hAnsi="Times New Roman" w:cs="Times New Roman"/>
          <w:sz w:val="24"/>
          <w:szCs w:val="24"/>
          <w:lang w:val="en-US"/>
        </w:rPr>
        <w:t>s’</w:t>
      </w:r>
      <w:r w:rsidR="004D571F" w:rsidRPr="002C24A8">
        <w:rPr>
          <w:rFonts w:ascii="Times New Roman" w:hAnsi="Times New Roman" w:cs="Times New Roman"/>
          <w:sz w:val="24"/>
          <w:szCs w:val="24"/>
          <w:lang w:val="en-US"/>
        </w:rPr>
        <w:t xml:space="preserve"> production function</w:t>
      </w:r>
      <w:r w:rsidRPr="002C24A8">
        <w:rPr>
          <w:rFonts w:ascii="Times New Roman" w:hAnsi="Times New Roman" w:cs="Times New Roman"/>
          <w:sz w:val="24"/>
          <w:szCs w:val="24"/>
          <w:lang w:val="en-US"/>
        </w:rPr>
        <w:t>,</w:t>
      </w:r>
      <w:r w:rsidR="004D571F" w:rsidRPr="002C24A8">
        <w:rPr>
          <w:rFonts w:ascii="Times New Roman" w:hAnsi="Times New Roman" w:cs="Times New Roman"/>
          <w:sz w:val="24"/>
          <w:szCs w:val="24"/>
          <w:lang w:val="en-US"/>
        </w:rPr>
        <w:t xml:space="preserve"> we </w:t>
      </w:r>
      <w:r w:rsidRPr="002C24A8">
        <w:rPr>
          <w:rFonts w:ascii="Times New Roman" w:hAnsi="Times New Roman" w:cs="Times New Roman"/>
          <w:sz w:val="24"/>
          <w:szCs w:val="24"/>
          <w:lang w:val="en-US"/>
        </w:rPr>
        <w:t xml:space="preserve">use </w:t>
      </w:r>
      <w:r w:rsidR="004D571F" w:rsidRPr="002C24A8">
        <w:rPr>
          <w:rFonts w:ascii="Times New Roman" w:hAnsi="Times New Roman" w:cs="Times New Roman"/>
          <w:sz w:val="24"/>
          <w:szCs w:val="24"/>
          <w:lang w:val="en-US"/>
        </w:rPr>
        <w:t>as inputs firms’ total employee number</w:t>
      </w:r>
      <w:r w:rsidR="0036030F" w:rsidRPr="002C24A8">
        <w:rPr>
          <w:rFonts w:ascii="Times New Roman" w:hAnsi="Times New Roman" w:cs="Times New Roman"/>
          <w:sz w:val="24"/>
          <w:szCs w:val="24"/>
          <w:lang w:val="en-US"/>
        </w:rPr>
        <w:t>s</w:t>
      </w:r>
      <w:r w:rsidR="004D571F" w:rsidRPr="002C24A8">
        <w:rPr>
          <w:rFonts w:ascii="Times New Roman" w:hAnsi="Times New Roman" w:cs="Times New Roman"/>
          <w:sz w:val="24"/>
          <w:szCs w:val="24"/>
          <w:lang w:val="en-US"/>
        </w:rPr>
        <w:t xml:space="preserve"> and total assets, </w:t>
      </w:r>
      <w:r w:rsidR="0036030F" w:rsidRPr="002C24A8">
        <w:rPr>
          <w:rFonts w:ascii="Times New Roman" w:hAnsi="Times New Roman" w:cs="Times New Roman"/>
          <w:sz w:val="24"/>
          <w:szCs w:val="24"/>
          <w:lang w:val="en-US"/>
        </w:rPr>
        <w:t xml:space="preserve">while </w:t>
      </w:r>
      <w:r w:rsidR="004D571F" w:rsidRPr="002C24A8">
        <w:rPr>
          <w:rFonts w:ascii="Times New Roman" w:hAnsi="Times New Roman" w:cs="Times New Roman"/>
          <w:sz w:val="24"/>
          <w:szCs w:val="24"/>
          <w:lang w:val="en-US"/>
        </w:rPr>
        <w:t>total revenues are used as the only output.</w:t>
      </w:r>
      <w:r w:rsidR="004D571F" w:rsidRPr="002C24A8">
        <w:rPr>
          <w:rStyle w:val="FootnoteReference"/>
          <w:rFonts w:ascii="Times New Roman" w:hAnsi="Times New Roman" w:cs="Times New Roman"/>
          <w:sz w:val="24"/>
          <w:szCs w:val="24"/>
          <w:lang w:val="en-US"/>
        </w:rPr>
        <w:footnoteReference w:id="10"/>
      </w:r>
      <w:r w:rsidR="00B2684A" w:rsidRPr="002C24A8">
        <w:rPr>
          <w:rFonts w:ascii="Times New Roman" w:hAnsi="Times New Roman" w:cs="Times New Roman"/>
          <w:sz w:val="24"/>
          <w:szCs w:val="24"/>
          <w:lang w:val="en-US"/>
        </w:rPr>
        <w:t xml:space="preserve"> Table 1 presents diachronically the descriptive statistics of the variables used in our analysis</w:t>
      </w:r>
      <w:r w:rsidR="0092613F" w:rsidRPr="002C24A8">
        <w:rPr>
          <w:rFonts w:ascii="Times New Roman" w:hAnsi="Times New Roman" w:cs="Times New Roman"/>
          <w:sz w:val="24"/>
          <w:szCs w:val="24"/>
          <w:lang w:val="en-US"/>
        </w:rPr>
        <w:t>. It is evident that</w:t>
      </w:r>
      <w:r w:rsidR="000B142E" w:rsidRPr="002C24A8">
        <w:rPr>
          <w:rFonts w:ascii="Times New Roman" w:hAnsi="Times New Roman" w:cs="Times New Roman"/>
          <w:sz w:val="24"/>
          <w:szCs w:val="24"/>
          <w:lang w:val="en-US"/>
        </w:rPr>
        <w:t>,</w:t>
      </w:r>
      <w:r w:rsidR="0092613F" w:rsidRPr="002C24A8">
        <w:rPr>
          <w:rFonts w:ascii="Times New Roman" w:hAnsi="Times New Roman" w:cs="Times New Roman"/>
          <w:sz w:val="24"/>
          <w:szCs w:val="24"/>
          <w:lang w:val="en-US"/>
        </w:rPr>
        <w:t xml:space="preserve"> over the years</w:t>
      </w:r>
      <w:r w:rsidR="000B142E" w:rsidRPr="002C24A8">
        <w:rPr>
          <w:rFonts w:ascii="Times New Roman" w:hAnsi="Times New Roman" w:cs="Times New Roman"/>
          <w:sz w:val="24"/>
          <w:szCs w:val="24"/>
          <w:lang w:val="en-US"/>
        </w:rPr>
        <w:t>,</w:t>
      </w:r>
      <w:r w:rsidR="0092613F" w:rsidRPr="002C24A8">
        <w:rPr>
          <w:rFonts w:ascii="Times New Roman" w:hAnsi="Times New Roman" w:cs="Times New Roman"/>
          <w:sz w:val="24"/>
          <w:szCs w:val="24"/>
          <w:lang w:val="en-US"/>
        </w:rPr>
        <w:t xml:space="preserve"> firms’ ESG scores are varying (in average terms) </w:t>
      </w:r>
      <w:r w:rsidR="00B8032A" w:rsidRPr="002C24A8">
        <w:rPr>
          <w:rFonts w:ascii="Times New Roman" w:hAnsi="Times New Roman" w:cs="Times New Roman"/>
          <w:sz w:val="24"/>
          <w:szCs w:val="24"/>
          <w:lang w:val="en-US"/>
        </w:rPr>
        <w:t xml:space="preserve">from </w:t>
      </w:r>
      <w:r w:rsidR="0092613F" w:rsidRPr="002C24A8">
        <w:rPr>
          <w:rFonts w:ascii="Times New Roman" w:hAnsi="Times New Roman" w:cs="Times New Roman"/>
          <w:sz w:val="24"/>
          <w:szCs w:val="24"/>
          <w:lang w:val="en-US"/>
        </w:rPr>
        <w:t>35 to 40 suggesting a medium ESG compliance.</w:t>
      </w:r>
    </w:p>
    <w:p w14:paraId="5333FC5D" w14:textId="77777777" w:rsidR="009B286C" w:rsidRPr="002C24A8" w:rsidRDefault="009B286C" w:rsidP="0092613F">
      <w:pPr>
        <w:spacing w:after="0" w:line="480" w:lineRule="auto"/>
        <w:jc w:val="center"/>
        <w:rPr>
          <w:rFonts w:ascii="Times New Roman" w:hAnsi="Times New Roman" w:cs="Times New Roman"/>
          <w:i/>
          <w:sz w:val="24"/>
          <w:szCs w:val="24"/>
          <w:lang w:val="en-US"/>
        </w:rPr>
      </w:pPr>
    </w:p>
    <w:p w14:paraId="1A587C56" w14:textId="72D43CF8" w:rsidR="0092613F" w:rsidRPr="002C24A8" w:rsidRDefault="0092613F" w:rsidP="0092613F">
      <w:pPr>
        <w:spacing w:after="0" w:line="480" w:lineRule="auto"/>
        <w:jc w:val="center"/>
        <w:rPr>
          <w:rFonts w:ascii="Times New Roman" w:hAnsi="Times New Roman" w:cs="Times New Roman"/>
          <w:i/>
          <w:sz w:val="24"/>
          <w:szCs w:val="24"/>
          <w:lang w:val="en-US"/>
        </w:rPr>
      </w:pPr>
      <w:r w:rsidRPr="002C24A8">
        <w:rPr>
          <w:rFonts w:ascii="Times New Roman" w:hAnsi="Times New Roman" w:cs="Times New Roman"/>
          <w:i/>
          <w:sz w:val="24"/>
          <w:szCs w:val="24"/>
          <w:lang w:val="en-US"/>
        </w:rPr>
        <w:t>Table 1 about here</w:t>
      </w:r>
    </w:p>
    <w:p w14:paraId="716AFF17" w14:textId="77777777" w:rsidR="009B286C" w:rsidRPr="002C24A8" w:rsidRDefault="009B286C" w:rsidP="0092613F">
      <w:pPr>
        <w:spacing w:after="0" w:line="480" w:lineRule="auto"/>
        <w:jc w:val="center"/>
        <w:rPr>
          <w:rFonts w:ascii="Times New Roman" w:hAnsi="Times New Roman" w:cs="Times New Roman"/>
          <w:i/>
          <w:sz w:val="24"/>
          <w:szCs w:val="24"/>
          <w:lang w:val="en-US"/>
        </w:rPr>
      </w:pPr>
    </w:p>
    <w:p w14:paraId="4FA6A856" w14:textId="77777777" w:rsidR="00FF0E79" w:rsidRPr="002C24A8" w:rsidRDefault="00FF0E79" w:rsidP="00FF0E79">
      <w:pPr>
        <w:spacing w:after="0" w:line="480" w:lineRule="auto"/>
        <w:jc w:val="both"/>
        <w:rPr>
          <w:rFonts w:ascii="Times New Roman" w:hAnsi="Times New Roman" w:cs="Times New Roman"/>
          <w:i/>
          <w:sz w:val="24"/>
          <w:szCs w:val="24"/>
          <w:lang w:val="en-US"/>
        </w:rPr>
      </w:pPr>
      <w:r w:rsidRPr="002C24A8">
        <w:rPr>
          <w:rFonts w:ascii="Times New Roman" w:hAnsi="Times New Roman" w:cs="Times New Roman"/>
          <w:i/>
          <w:sz w:val="24"/>
          <w:szCs w:val="24"/>
          <w:lang w:val="en-US"/>
        </w:rPr>
        <w:t>3.2 Methodological approach</w:t>
      </w:r>
    </w:p>
    <w:p w14:paraId="4794D4D1" w14:textId="476503B4" w:rsidR="00FF0E79" w:rsidRPr="002C24A8" w:rsidRDefault="0036030F" w:rsidP="00FF0E79">
      <w:pPr>
        <w:spacing w:after="0" w:line="480" w:lineRule="auto"/>
        <w:ind w:firstLine="72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In this section we outline our methodology, which is adapted from the framework outlined </w:t>
      </w:r>
      <w:r w:rsidR="006513E0" w:rsidRPr="002C24A8">
        <w:rPr>
          <w:rFonts w:ascii="Times New Roman" w:hAnsi="Times New Roman" w:cs="Times New Roman"/>
          <w:sz w:val="24"/>
          <w:szCs w:val="24"/>
          <w:lang w:val="en-US"/>
        </w:rPr>
        <w:t xml:space="preserve">by </w:t>
      </w:r>
      <w:r w:rsidR="00FF0E79" w:rsidRPr="002C24A8">
        <w:rPr>
          <w:rFonts w:ascii="Times New Roman" w:hAnsi="Times New Roman" w:cs="Times New Roman"/>
          <w:sz w:val="24"/>
          <w:szCs w:val="24"/>
          <w:lang w:val="en-US"/>
        </w:rPr>
        <w:t>Daraio and Simar (</w:t>
      </w:r>
      <w:r w:rsidR="006513E0" w:rsidRPr="002C24A8">
        <w:rPr>
          <w:rFonts w:ascii="Times New Roman" w:hAnsi="Times New Roman" w:cs="Times New Roman"/>
          <w:sz w:val="24"/>
          <w:szCs w:val="24"/>
          <w:lang w:val="en-US"/>
        </w:rPr>
        <w:t xml:space="preserve">2005, </w:t>
      </w:r>
      <w:r w:rsidR="00C252A2" w:rsidRPr="002C24A8">
        <w:rPr>
          <w:rFonts w:ascii="Times New Roman" w:hAnsi="Times New Roman" w:cs="Times New Roman"/>
          <w:sz w:val="24"/>
          <w:szCs w:val="24"/>
          <w:lang w:val="en-US"/>
        </w:rPr>
        <w:t xml:space="preserve">2006, </w:t>
      </w:r>
      <w:r w:rsidR="00FF0E79" w:rsidRPr="002C24A8">
        <w:rPr>
          <w:rFonts w:ascii="Times New Roman" w:hAnsi="Times New Roman" w:cs="Times New Roman"/>
          <w:sz w:val="24"/>
          <w:szCs w:val="24"/>
          <w:lang w:val="en-US"/>
        </w:rPr>
        <w:t>2007a</w:t>
      </w:r>
      <w:r w:rsidR="006513E0" w:rsidRPr="002C24A8">
        <w:rPr>
          <w:rFonts w:ascii="Times New Roman" w:hAnsi="Times New Roman" w:cs="Times New Roman"/>
          <w:sz w:val="24"/>
          <w:szCs w:val="24"/>
          <w:lang w:val="en-US"/>
        </w:rPr>
        <w:t xml:space="preserve">, </w:t>
      </w:r>
      <w:r w:rsidR="00503CB1" w:rsidRPr="002C24A8">
        <w:rPr>
          <w:rFonts w:ascii="Times New Roman" w:hAnsi="Times New Roman" w:cs="Times New Roman"/>
          <w:sz w:val="24"/>
          <w:szCs w:val="24"/>
          <w:lang w:val="en-US"/>
        </w:rPr>
        <w:t>2007</w:t>
      </w:r>
      <w:r w:rsidR="006513E0" w:rsidRPr="002C24A8">
        <w:rPr>
          <w:rFonts w:ascii="Times New Roman" w:hAnsi="Times New Roman" w:cs="Times New Roman"/>
          <w:sz w:val="24"/>
          <w:szCs w:val="24"/>
          <w:lang w:val="en-US"/>
        </w:rPr>
        <w:t>b</w:t>
      </w:r>
      <w:r w:rsidR="00FF0E79" w:rsidRPr="002C24A8">
        <w:rPr>
          <w:rFonts w:ascii="Times New Roman" w:hAnsi="Times New Roman" w:cs="Times New Roman"/>
          <w:sz w:val="24"/>
          <w:szCs w:val="24"/>
          <w:lang w:val="en-US"/>
        </w:rPr>
        <w:t>)</w:t>
      </w:r>
      <w:r w:rsidRPr="002C24A8">
        <w:rPr>
          <w:rFonts w:ascii="Times New Roman" w:hAnsi="Times New Roman" w:cs="Times New Roman"/>
          <w:sz w:val="24"/>
          <w:szCs w:val="24"/>
          <w:lang w:val="en-US"/>
        </w:rPr>
        <w:t>.</w:t>
      </w:r>
      <w:r w:rsidR="00FF0E79" w:rsidRPr="002C24A8">
        <w:rPr>
          <w:rFonts w:ascii="Times New Roman" w:hAnsi="Times New Roman" w:cs="Times New Roman"/>
          <w:sz w:val="24"/>
          <w:szCs w:val="24"/>
          <w:lang w:val="en-US"/>
        </w:rPr>
        <w:t xml:space="preserve"> </w:t>
      </w:r>
      <w:r w:rsidRPr="002C24A8">
        <w:rPr>
          <w:rFonts w:ascii="Times New Roman" w:hAnsi="Times New Roman" w:cs="Times New Roman"/>
          <w:sz w:val="24"/>
          <w:szCs w:val="24"/>
          <w:lang w:val="en-US"/>
        </w:rPr>
        <w:t xml:space="preserve">Let </w:t>
      </w:r>
      <m:oMath>
        <m:r>
          <w:rPr>
            <w:rFonts w:ascii="Cambria Math" w:hAnsi="Cambria Math" w:cs="Times New Roman"/>
            <w:sz w:val="24"/>
            <w:szCs w:val="24"/>
            <w:lang w:val="en-US"/>
          </w:rPr>
          <m:t>X∈</m:t>
        </m:r>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R</m:t>
            </m:r>
          </m:e>
          <m:sub>
            <m:r>
              <w:rPr>
                <w:rFonts w:ascii="Cambria Math" w:hAnsi="Cambria Math" w:cs="Times New Roman"/>
                <w:sz w:val="24"/>
                <w:szCs w:val="24"/>
                <w:lang w:val="en-US"/>
              </w:rPr>
              <m:t>+</m:t>
            </m:r>
          </m:sub>
          <m:sup>
            <m:r>
              <w:rPr>
                <w:rFonts w:ascii="Cambria Math" w:hAnsi="Cambria Math" w:cs="Times New Roman"/>
                <w:sz w:val="24"/>
                <w:szCs w:val="24"/>
                <w:lang w:val="en-US"/>
              </w:rPr>
              <m:t>p</m:t>
            </m:r>
          </m:sup>
        </m:sSubSup>
      </m:oMath>
      <w:r w:rsidR="00663B1B" w:rsidRPr="002C24A8">
        <w:rPr>
          <w:rFonts w:ascii="Times New Roman" w:eastAsiaTheme="minorEastAsia" w:hAnsi="Times New Roman" w:cs="Times New Roman"/>
          <w:sz w:val="24"/>
          <w:szCs w:val="24"/>
          <w:lang w:val="en-US"/>
        </w:rPr>
        <w:t xml:space="preserve"> </w:t>
      </w:r>
      <w:r w:rsidR="00FF0E79" w:rsidRPr="002C24A8">
        <w:rPr>
          <w:rFonts w:ascii="Times New Roman" w:hAnsi="Times New Roman" w:cs="Times New Roman"/>
          <w:sz w:val="24"/>
          <w:szCs w:val="24"/>
          <w:lang w:val="en-US"/>
        </w:rPr>
        <w:t xml:space="preserve">and </w:t>
      </w:r>
      <m:oMath>
        <m:r>
          <w:rPr>
            <w:rFonts w:ascii="Cambria Math" w:hAnsi="Cambria Math" w:cs="Times New Roman"/>
            <w:sz w:val="24"/>
            <w:szCs w:val="24"/>
            <w:lang w:val="en-US"/>
          </w:rPr>
          <m:t>Y∈</m:t>
        </m:r>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R</m:t>
            </m:r>
          </m:e>
          <m:sub>
            <m:r>
              <w:rPr>
                <w:rFonts w:ascii="Cambria Math" w:hAnsi="Cambria Math" w:cs="Times New Roman"/>
                <w:sz w:val="24"/>
                <w:szCs w:val="24"/>
                <w:lang w:val="en-US"/>
              </w:rPr>
              <m:t>+</m:t>
            </m:r>
          </m:sub>
          <m:sup>
            <m:r>
              <w:rPr>
                <w:rFonts w:ascii="Cambria Math" w:hAnsi="Cambria Math" w:cs="Times New Roman"/>
                <w:sz w:val="24"/>
                <w:szCs w:val="24"/>
                <w:lang w:val="en-US"/>
              </w:rPr>
              <m:t>q</m:t>
            </m:r>
          </m:sup>
        </m:sSubSup>
      </m:oMath>
      <w:r w:rsidR="00FF0E79" w:rsidRPr="002C24A8">
        <w:rPr>
          <w:rFonts w:ascii="Times New Roman" w:hAnsi="Times New Roman" w:cs="Times New Roman"/>
          <w:sz w:val="24"/>
          <w:szCs w:val="24"/>
          <w:lang w:val="en-US"/>
        </w:rPr>
        <w:t xml:space="preserve"> </w:t>
      </w:r>
      <w:r w:rsidR="006513E0" w:rsidRPr="002C24A8">
        <w:rPr>
          <w:rFonts w:ascii="Times New Roman" w:hAnsi="Times New Roman" w:cs="Times New Roman"/>
          <w:sz w:val="24"/>
          <w:szCs w:val="24"/>
          <w:lang w:val="en-US"/>
        </w:rPr>
        <w:t xml:space="preserve">denote the input and output vectors </w:t>
      </w:r>
      <w:r w:rsidR="000B142E" w:rsidRPr="002C24A8">
        <w:rPr>
          <w:rFonts w:ascii="Times New Roman" w:hAnsi="Times New Roman" w:cs="Times New Roman"/>
          <w:sz w:val="24"/>
          <w:szCs w:val="24"/>
          <w:lang w:val="en-US"/>
        </w:rPr>
        <w:t xml:space="preserve">relating to a </w:t>
      </w:r>
      <w:r w:rsidR="006513E0" w:rsidRPr="002C24A8">
        <w:rPr>
          <w:rFonts w:ascii="Times New Roman" w:hAnsi="Times New Roman" w:cs="Times New Roman"/>
          <w:sz w:val="24"/>
          <w:szCs w:val="24"/>
          <w:lang w:val="en-US"/>
        </w:rPr>
        <w:t>firms’ production process</w:t>
      </w:r>
      <w:r w:rsidR="00FF0E79" w:rsidRPr="002C24A8">
        <w:rPr>
          <w:rFonts w:ascii="Times New Roman" w:hAnsi="Times New Roman" w:cs="Times New Roman"/>
          <w:sz w:val="24"/>
          <w:szCs w:val="24"/>
          <w:lang w:val="en-US"/>
        </w:rPr>
        <w:t xml:space="preserve">. </w:t>
      </w:r>
      <w:r w:rsidR="000B142E" w:rsidRPr="002C24A8">
        <w:rPr>
          <w:rFonts w:ascii="Times New Roman" w:hAnsi="Times New Roman" w:cs="Times New Roman"/>
          <w:sz w:val="24"/>
          <w:szCs w:val="24"/>
          <w:lang w:val="en-US"/>
        </w:rPr>
        <w:t>Given these</w:t>
      </w:r>
      <w:r w:rsidR="00BB48CF" w:rsidRPr="002C24A8">
        <w:rPr>
          <w:rFonts w:ascii="Times New Roman" w:hAnsi="Times New Roman" w:cs="Times New Roman"/>
          <w:sz w:val="24"/>
          <w:szCs w:val="24"/>
          <w:lang w:val="en-US"/>
        </w:rPr>
        <w:t xml:space="preserve">, </w:t>
      </w:r>
      <w:r w:rsidR="006513E0" w:rsidRPr="002C24A8">
        <w:rPr>
          <w:rFonts w:ascii="Times New Roman" w:hAnsi="Times New Roman" w:cs="Times New Roman"/>
          <w:sz w:val="24"/>
          <w:szCs w:val="24"/>
          <w:lang w:val="en-US"/>
        </w:rPr>
        <w:t xml:space="preserve">the </w:t>
      </w:r>
      <w:r w:rsidR="000B142E" w:rsidRPr="002C24A8">
        <w:rPr>
          <w:rFonts w:ascii="Times New Roman" w:hAnsi="Times New Roman" w:cs="Times New Roman"/>
          <w:sz w:val="24"/>
          <w:szCs w:val="24"/>
          <w:lang w:val="en-US"/>
        </w:rPr>
        <w:t>‘</w:t>
      </w:r>
      <w:r w:rsidR="00FF0E79" w:rsidRPr="002C24A8">
        <w:rPr>
          <w:rFonts w:ascii="Times New Roman" w:hAnsi="Times New Roman" w:cs="Times New Roman"/>
          <w:sz w:val="24"/>
          <w:szCs w:val="24"/>
          <w:lang w:val="en-US"/>
        </w:rPr>
        <w:t>attainable</w:t>
      </w:r>
      <w:r w:rsidR="000B142E" w:rsidRPr="002C24A8">
        <w:rPr>
          <w:rFonts w:ascii="Times New Roman" w:hAnsi="Times New Roman" w:cs="Times New Roman"/>
          <w:sz w:val="24"/>
          <w:szCs w:val="24"/>
          <w:lang w:val="en-US"/>
        </w:rPr>
        <w:t>’</w:t>
      </w:r>
      <w:r w:rsidR="00FF0E79" w:rsidRPr="002C24A8">
        <w:rPr>
          <w:rFonts w:ascii="Times New Roman" w:hAnsi="Times New Roman" w:cs="Times New Roman"/>
          <w:sz w:val="24"/>
          <w:szCs w:val="24"/>
          <w:lang w:val="en-US"/>
        </w:rPr>
        <w:t xml:space="preserve"> set can be characterized as:</w:t>
      </w:r>
    </w:p>
    <w:p w14:paraId="33B52D25" w14:textId="77777777" w:rsidR="00FF0E79" w:rsidRPr="002C24A8" w:rsidRDefault="00287C6E" w:rsidP="00FF0E79">
      <w:pPr>
        <w:spacing w:after="0" w:line="480" w:lineRule="auto"/>
        <w:ind w:firstLine="720"/>
        <w:jc w:val="both"/>
        <w:rPr>
          <w:rFonts w:ascii="Times New Roman" w:hAnsi="Times New Roman" w:cs="Times New Roman"/>
          <w:sz w:val="24"/>
          <w:szCs w:val="24"/>
          <w:lang w:val="en-US"/>
        </w:rPr>
      </w:pPr>
      <m:oMath>
        <m:r>
          <w:rPr>
            <w:rFonts w:ascii="Cambria Math" w:hAnsi="Cambria Math" w:cs="Times New Roman"/>
            <w:sz w:val="24"/>
            <w:szCs w:val="24"/>
            <w:lang w:val="en-US"/>
          </w:rPr>
          <m:t>Ψ=</m:t>
        </m:r>
        <m:d>
          <m:dPr>
            <m:begChr m:val="{"/>
            <m:endChr m:val="}"/>
            <m:ctrlPr>
              <w:rPr>
                <w:rFonts w:ascii="Cambria Math" w:hAnsi="Cambria Math" w:cs="Times New Roman"/>
                <w:i/>
                <w:sz w:val="24"/>
                <w:szCs w:val="24"/>
                <w:lang w:val="en-US"/>
              </w:rPr>
            </m:ctrlPr>
          </m:dPr>
          <m:e>
            <m:d>
              <m:dPr>
                <m:begChr m:val=""/>
                <m:endChr m:val="|"/>
                <m:ctrlPr>
                  <w:rPr>
                    <w:rFonts w:ascii="Cambria Math" w:hAnsi="Cambria Math" w:cs="Times New Roman"/>
                    <w:i/>
                    <w:sz w:val="24"/>
                    <w:szCs w:val="24"/>
                    <w:lang w:val="en-US"/>
                  </w:rPr>
                </m:ctrlPr>
              </m:dPr>
              <m:e>
                <m:d>
                  <m:dPr>
                    <m:ctrlPr>
                      <w:rPr>
                        <w:rFonts w:ascii="Cambria Math" w:hAnsi="Cambria Math" w:cs="Times New Roman"/>
                        <w:i/>
                        <w:sz w:val="24"/>
                        <w:szCs w:val="24"/>
                        <w:lang w:val="en-US"/>
                      </w:rPr>
                    </m:ctrlPr>
                  </m:dPr>
                  <m:e>
                    <m:r>
                      <w:rPr>
                        <w:rFonts w:ascii="Cambria Math" w:hAnsi="Cambria Math" w:cs="Times New Roman"/>
                        <w:sz w:val="24"/>
                        <w:szCs w:val="24"/>
                        <w:lang w:val="en-US"/>
                      </w:rPr>
                      <m:t>x,y</m:t>
                    </m:r>
                  </m:e>
                </m:d>
                <m:r>
                  <w:rPr>
                    <w:rFonts w:ascii="Cambria Math" w:hAnsi="Cambria Math" w:cs="Times New Roman"/>
                    <w:sz w:val="24"/>
                    <w:szCs w:val="24"/>
                    <w:lang w:val="en-US"/>
                  </w:rPr>
                  <m:t>∈</m:t>
                </m:r>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R</m:t>
                    </m:r>
                  </m:e>
                  <m:sub>
                    <m:r>
                      <w:rPr>
                        <w:rFonts w:ascii="Cambria Math" w:hAnsi="Cambria Math" w:cs="Times New Roman"/>
                        <w:sz w:val="24"/>
                        <w:szCs w:val="24"/>
                        <w:lang w:val="en-US"/>
                      </w:rPr>
                      <m:t>+</m:t>
                    </m:r>
                  </m:sub>
                  <m:sup>
                    <m:r>
                      <w:rPr>
                        <w:rFonts w:ascii="Cambria Math" w:hAnsi="Cambria Math" w:cs="Times New Roman"/>
                        <w:sz w:val="24"/>
                        <w:szCs w:val="24"/>
                        <w:lang w:val="en-US"/>
                      </w:rPr>
                      <m:t>p+q</m:t>
                    </m:r>
                  </m:sup>
                </m:sSubSup>
              </m:e>
            </m:d>
            <m:r>
              <m:rPr>
                <m:sty m:val="p"/>
              </m:rPr>
              <w:rPr>
                <w:rFonts w:ascii="Cambria Math" w:hAnsi="Cambria Math" w:cs="Times New Roman"/>
                <w:sz w:val="24"/>
                <w:szCs w:val="24"/>
                <w:lang w:val="en-US"/>
              </w:rPr>
              <m:t>x can produce y</m:t>
            </m:r>
          </m:e>
        </m:d>
      </m:oMath>
      <w:r w:rsidR="00FF0E79" w:rsidRPr="002C24A8">
        <w:rPr>
          <w:rFonts w:ascii="Times New Roman" w:hAnsi="Times New Roman" w:cs="Times New Roman"/>
          <w:sz w:val="24"/>
          <w:szCs w:val="24"/>
          <w:lang w:val="en-US"/>
        </w:rPr>
        <w:t xml:space="preserve">, </w:t>
      </w:r>
      <w:r w:rsidR="00FF0E79" w:rsidRPr="002C24A8">
        <w:rPr>
          <w:rFonts w:ascii="Times New Roman" w:hAnsi="Times New Roman" w:cs="Times New Roman"/>
          <w:sz w:val="24"/>
          <w:szCs w:val="24"/>
          <w:lang w:val="en-US"/>
        </w:rPr>
        <w:tab/>
      </w:r>
      <w:r w:rsidR="00FF0E79" w:rsidRPr="002C24A8">
        <w:rPr>
          <w:rFonts w:ascii="Times New Roman" w:hAnsi="Times New Roman" w:cs="Times New Roman"/>
          <w:sz w:val="24"/>
          <w:szCs w:val="24"/>
          <w:lang w:val="en-US"/>
        </w:rPr>
        <w:tab/>
      </w:r>
      <w:r w:rsidR="00FF0E79" w:rsidRPr="002C24A8">
        <w:rPr>
          <w:rFonts w:ascii="Times New Roman" w:hAnsi="Times New Roman" w:cs="Times New Roman"/>
          <w:sz w:val="24"/>
          <w:szCs w:val="24"/>
          <w:lang w:val="en-US"/>
        </w:rPr>
        <w:tab/>
      </w:r>
      <w:r w:rsidR="00FF0E79" w:rsidRPr="002C24A8">
        <w:rPr>
          <w:rFonts w:ascii="Times New Roman" w:hAnsi="Times New Roman" w:cs="Times New Roman"/>
          <w:sz w:val="24"/>
          <w:szCs w:val="24"/>
          <w:lang w:val="en-US"/>
        </w:rPr>
        <w:tab/>
      </w:r>
      <w:r w:rsidR="00FF0E79" w:rsidRPr="002C24A8">
        <w:rPr>
          <w:rFonts w:ascii="Times New Roman" w:hAnsi="Times New Roman" w:cs="Times New Roman"/>
          <w:sz w:val="24"/>
          <w:szCs w:val="24"/>
          <w:lang w:val="en-US"/>
        </w:rPr>
        <w:tab/>
      </w:r>
      <w:r w:rsidR="00503CB1" w:rsidRPr="002C24A8">
        <w:rPr>
          <w:rFonts w:ascii="Times New Roman" w:hAnsi="Times New Roman" w:cs="Times New Roman"/>
          <w:sz w:val="24"/>
          <w:szCs w:val="24"/>
          <w:lang w:val="en-US"/>
        </w:rPr>
        <w:tab/>
      </w:r>
      <w:r w:rsidR="00F716A3" w:rsidRPr="002C24A8">
        <w:rPr>
          <w:rFonts w:ascii="Times New Roman" w:hAnsi="Times New Roman" w:cs="Times New Roman"/>
          <w:sz w:val="24"/>
          <w:szCs w:val="24"/>
          <w:lang w:val="en-US"/>
        </w:rPr>
        <w:t xml:space="preserve">       </w:t>
      </w:r>
      <w:r w:rsidR="00FF0E79" w:rsidRPr="002C24A8">
        <w:rPr>
          <w:rFonts w:ascii="Times New Roman" w:hAnsi="Times New Roman" w:cs="Times New Roman"/>
          <w:sz w:val="24"/>
          <w:szCs w:val="24"/>
          <w:lang w:val="en-US"/>
        </w:rPr>
        <w:t xml:space="preserve">(1) </w:t>
      </w:r>
    </w:p>
    <w:p w14:paraId="4891A867" w14:textId="77777777" w:rsidR="00FF0E79" w:rsidRPr="002C24A8" w:rsidRDefault="006513E0" w:rsidP="00FF0E79">
      <w:pPr>
        <w:spacing w:after="0" w:line="480" w:lineRule="auto"/>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lastRenderedPageBreak/>
        <w:t>and the</w:t>
      </w:r>
      <w:r w:rsidR="00FF0E79" w:rsidRPr="002C24A8">
        <w:rPr>
          <w:rFonts w:ascii="Times New Roman" w:hAnsi="Times New Roman" w:cs="Times New Roman"/>
          <w:sz w:val="24"/>
          <w:szCs w:val="24"/>
          <w:lang w:val="en-US"/>
        </w:rPr>
        <w:t xml:space="preserve"> output correspo</w:t>
      </w:r>
      <w:r w:rsidRPr="002C24A8">
        <w:rPr>
          <w:rFonts w:ascii="Times New Roman" w:hAnsi="Times New Roman" w:cs="Times New Roman"/>
          <w:sz w:val="24"/>
          <w:szCs w:val="24"/>
          <w:lang w:val="en-US"/>
        </w:rPr>
        <w:t>ndence set as</w:t>
      </w:r>
      <w:r w:rsidR="00FF0E79" w:rsidRPr="002C24A8">
        <w:rPr>
          <w:rFonts w:ascii="Times New Roman" w:hAnsi="Times New Roman" w:cs="Times New Roman"/>
          <w:sz w:val="24"/>
          <w:szCs w:val="24"/>
          <w:lang w:val="en-US"/>
        </w:rPr>
        <w:t>:</w:t>
      </w:r>
    </w:p>
    <w:p w14:paraId="16F64798" w14:textId="77777777" w:rsidR="00FF0E79" w:rsidRPr="002C24A8" w:rsidRDefault="00FE7251" w:rsidP="00FF0E79">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pict w14:anchorId="4C0AF9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5pt;height:25pt">
            <v:imagedata r:id="rId12" o:title=""/>
          </v:shape>
        </w:pict>
      </w:r>
      <w:r w:rsidR="00FF0E79" w:rsidRPr="002C24A8">
        <w:rPr>
          <w:rFonts w:ascii="Times New Roman" w:hAnsi="Times New Roman" w:cs="Times New Roman"/>
          <w:sz w:val="24"/>
          <w:szCs w:val="24"/>
          <w:lang w:val="en-US"/>
        </w:rPr>
        <w:t xml:space="preserve">. </w:t>
      </w:r>
      <w:r w:rsidR="00FF0E79" w:rsidRPr="002C24A8">
        <w:rPr>
          <w:rFonts w:ascii="Times New Roman" w:hAnsi="Times New Roman" w:cs="Times New Roman"/>
          <w:sz w:val="24"/>
          <w:szCs w:val="24"/>
          <w:lang w:val="en-US"/>
        </w:rPr>
        <w:tab/>
      </w:r>
      <w:r w:rsidR="00FF0E79" w:rsidRPr="002C24A8">
        <w:rPr>
          <w:rFonts w:ascii="Times New Roman" w:hAnsi="Times New Roman" w:cs="Times New Roman"/>
          <w:sz w:val="24"/>
          <w:szCs w:val="24"/>
          <w:lang w:val="en-US"/>
        </w:rPr>
        <w:tab/>
      </w:r>
      <w:r w:rsidR="00FF0E79" w:rsidRPr="002C24A8">
        <w:rPr>
          <w:rFonts w:ascii="Times New Roman" w:hAnsi="Times New Roman" w:cs="Times New Roman"/>
          <w:sz w:val="24"/>
          <w:szCs w:val="24"/>
          <w:lang w:val="en-US"/>
        </w:rPr>
        <w:tab/>
      </w:r>
      <w:r w:rsidR="00FF0E79" w:rsidRPr="002C24A8">
        <w:rPr>
          <w:rFonts w:ascii="Times New Roman" w:hAnsi="Times New Roman" w:cs="Times New Roman"/>
          <w:sz w:val="24"/>
          <w:szCs w:val="24"/>
          <w:lang w:val="en-US"/>
        </w:rPr>
        <w:tab/>
      </w:r>
      <w:r w:rsidR="00FF0E79" w:rsidRPr="002C24A8">
        <w:rPr>
          <w:rFonts w:ascii="Times New Roman" w:hAnsi="Times New Roman" w:cs="Times New Roman"/>
          <w:sz w:val="24"/>
          <w:szCs w:val="24"/>
          <w:lang w:val="en-US"/>
        </w:rPr>
        <w:tab/>
      </w:r>
      <w:r w:rsidR="00FF0E79" w:rsidRPr="002C24A8">
        <w:rPr>
          <w:rFonts w:ascii="Times New Roman" w:hAnsi="Times New Roman" w:cs="Times New Roman"/>
          <w:sz w:val="24"/>
          <w:szCs w:val="24"/>
          <w:lang w:val="en-US"/>
        </w:rPr>
        <w:tab/>
      </w:r>
      <w:r w:rsidR="00FF0E79" w:rsidRPr="002C24A8">
        <w:rPr>
          <w:rFonts w:ascii="Times New Roman" w:hAnsi="Times New Roman" w:cs="Times New Roman"/>
          <w:sz w:val="24"/>
          <w:szCs w:val="24"/>
          <w:lang w:val="en-US"/>
        </w:rPr>
        <w:tab/>
      </w:r>
      <w:r w:rsidR="00503CB1" w:rsidRPr="002C24A8">
        <w:rPr>
          <w:rFonts w:ascii="Times New Roman" w:hAnsi="Times New Roman" w:cs="Times New Roman"/>
          <w:sz w:val="24"/>
          <w:szCs w:val="24"/>
          <w:lang w:val="en-US"/>
        </w:rPr>
        <w:tab/>
      </w:r>
      <w:r w:rsidR="00F716A3" w:rsidRPr="002C24A8">
        <w:rPr>
          <w:rFonts w:ascii="Times New Roman" w:hAnsi="Times New Roman" w:cs="Times New Roman"/>
          <w:sz w:val="24"/>
          <w:szCs w:val="24"/>
          <w:lang w:val="en-US"/>
        </w:rPr>
        <w:t xml:space="preserve">       </w:t>
      </w:r>
      <w:r w:rsidR="00FF0E79" w:rsidRPr="002C24A8">
        <w:rPr>
          <w:rFonts w:ascii="Times New Roman" w:hAnsi="Times New Roman" w:cs="Times New Roman"/>
          <w:sz w:val="24"/>
          <w:szCs w:val="24"/>
          <w:lang w:val="en-US"/>
        </w:rPr>
        <w:t>(2)</w:t>
      </w:r>
    </w:p>
    <w:p w14:paraId="01255356" w14:textId="78E4604F" w:rsidR="00FF0E79" w:rsidRPr="002C24A8" w:rsidRDefault="000347FE" w:rsidP="00FF0E79">
      <w:pPr>
        <w:spacing w:after="0" w:line="480" w:lineRule="auto"/>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Following </w:t>
      </w:r>
      <w:r w:rsidR="00FF0E79" w:rsidRPr="002C24A8">
        <w:rPr>
          <w:rFonts w:ascii="Times New Roman" w:hAnsi="Times New Roman" w:cs="Times New Roman"/>
          <w:sz w:val="24"/>
          <w:szCs w:val="24"/>
          <w:lang w:val="en-US"/>
        </w:rPr>
        <w:t>the influential works by Debreu (1951), Farrell (1957) and Shephard (1970) the efficient boundaries (or the isoquants) can be defined in radial terms as:</w:t>
      </w:r>
    </w:p>
    <w:p w14:paraId="0FFAB7CD" w14:textId="77777777" w:rsidR="00FF0E79" w:rsidRPr="002C24A8" w:rsidRDefault="00FE7251" w:rsidP="00FF0E79">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pict w14:anchorId="5C185E59">
          <v:shape id="_x0000_i1026" type="#_x0000_t75" style="width:203.5pt;height:22.5pt">
            <v:imagedata r:id="rId13" o:title=""/>
          </v:shape>
        </w:pict>
      </w:r>
      <w:r w:rsidR="00FF0E79" w:rsidRPr="002C24A8">
        <w:rPr>
          <w:rFonts w:ascii="Times New Roman" w:hAnsi="Times New Roman" w:cs="Times New Roman"/>
          <w:sz w:val="24"/>
          <w:szCs w:val="24"/>
          <w:lang w:val="en-US"/>
        </w:rPr>
        <w:t xml:space="preserve">, </w:t>
      </w:r>
      <w:r w:rsidR="00FF0E79" w:rsidRPr="002C24A8">
        <w:rPr>
          <w:rFonts w:ascii="Times New Roman" w:hAnsi="Times New Roman" w:cs="Times New Roman"/>
          <w:sz w:val="24"/>
          <w:szCs w:val="24"/>
          <w:lang w:val="en-US"/>
        </w:rPr>
        <w:tab/>
      </w:r>
      <w:r w:rsidR="00FF0E79" w:rsidRPr="002C24A8">
        <w:rPr>
          <w:rFonts w:ascii="Times New Roman" w:hAnsi="Times New Roman" w:cs="Times New Roman"/>
          <w:sz w:val="24"/>
          <w:szCs w:val="24"/>
          <w:lang w:val="en-US"/>
        </w:rPr>
        <w:tab/>
      </w:r>
      <w:r w:rsidR="00FF0E79" w:rsidRPr="002C24A8">
        <w:rPr>
          <w:rFonts w:ascii="Times New Roman" w:hAnsi="Times New Roman" w:cs="Times New Roman"/>
          <w:sz w:val="24"/>
          <w:szCs w:val="24"/>
          <w:lang w:val="en-US"/>
        </w:rPr>
        <w:tab/>
      </w:r>
      <w:r w:rsidR="00FF0E79" w:rsidRPr="002C24A8">
        <w:rPr>
          <w:rFonts w:ascii="Times New Roman" w:hAnsi="Times New Roman" w:cs="Times New Roman"/>
          <w:sz w:val="24"/>
          <w:szCs w:val="24"/>
          <w:lang w:val="en-US"/>
        </w:rPr>
        <w:tab/>
      </w:r>
      <w:r w:rsidR="00FF0E79" w:rsidRPr="002C24A8">
        <w:rPr>
          <w:rFonts w:ascii="Times New Roman" w:hAnsi="Times New Roman" w:cs="Times New Roman"/>
          <w:sz w:val="24"/>
          <w:szCs w:val="24"/>
          <w:lang w:val="en-US"/>
        </w:rPr>
        <w:tab/>
      </w:r>
      <w:r w:rsidR="00FF0E79" w:rsidRPr="002C24A8">
        <w:rPr>
          <w:rFonts w:ascii="Times New Roman" w:hAnsi="Times New Roman" w:cs="Times New Roman"/>
          <w:sz w:val="24"/>
          <w:szCs w:val="24"/>
          <w:lang w:val="en-US"/>
        </w:rPr>
        <w:tab/>
      </w:r>
      <w:r w:rsidR="001575B0" w:rsidRPr="002C24A8">
        <w:rPr>
          <w:rFonts w:ascii="Times New Roman" w:hAnsi="Times New Roman" w:cs="Times New Roman"/>
          <w:sz w:val="24"/>
          <w:szCs w:val="24"/>
          <w:lang w:val="en-US"/>
        </w:rPr>
        <w:tab/>
      </w:r>
      <w:r w:rsidR="00287C6E" w:rsidRPr="002C24A8">
        <w:rPr>
          <w:rFonts w:ascii="Times New Roman" w:hAnsi="Times New Roman" w:cs="Times New Roman"/>
          <w:sz w:val="24"/>
          <w:szCs w:val="24"/>
          <w:lang w:val="en-US"/>
        </w:rPr>
        <w:t xml:space="preserve">       </w:t>
      </w:r>
      <w:r w:rsidR="00FF0E79" w:rsidRPr="002C24A8">
        <w:rPr>
          <w:rFonts w:ascii="Times New Roman" w:hAnsi="Times New Roman" w:cs="Times New Roman"/>
          <w:sz w:val="24"/>
          <w:szCs w:val="24"/>
          <w:lang w:val="en-US"/>
        </w:rPr>
        <w:t>(3)</w:t>
      </w:r>
    </w:p>
    <w:p w14:paraId="2069F7BC" w14:textId="094BF71F" w:rsidR="00FF0E79" w:rsidRPr="002C24A8" w:rsidRDefault="00FF0E79" w:rsidP="00FF0E79">
      <w:pPr>
        <w:spacing w:after="0" w:line="480" w:lineRule="auto"/>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whereas the output measure of efficiency for a </w:t>
      </w:r>
      <w:r w:rsidR="001575B0" w:rsidRPr="002C24A8">
        <w:rPr>
          <w:rFonts w:ascii="Times New Roman" w:hAnsi="Times New Roman" w:cs="Times New Roman"/>
          <w:sz w:val="24"/>
          <w:szCs w:val="24"/>
          <w:lang w:val="en-US"/>
        </w:rPr>
        <w:t>firm</w:t>
      </w:r>
      <w:r w:rsidRPr="002C24A8">
        <w:rPr>
          <w:rFonts w:ascii="Times New Roman" w:hAnsi="Times New Roman" w:cs="Times New Roman"/>
          <w:sz w:val="24"/>
          <w:szCs w:val="24"/>
          <w:lang w:val="en-US"/>
        </w:rPr>
        <w:t xml:space="preserve"> operating at level </w:t>
      </w:r>
      <m:oMath>
        <m:d>
          <m:dPr>
            <m:ctrlPr>
              <w:rPr>
                <w:rFonts w:ascii="Cambria Math" w:hAnsi="Cambria Math" w:cs="Times New Roman"/>
                <w:i/>
                <w:sz w:val="24"/>
                <w:szCs w:val="24"/>
                <w:lang w:val="en-US"/>
              </w:rPr>
            </m:ctrlPr>
          </m:dPr>
          <m:e>
            <m:r>
              <w:rPr>
                <w:rFonts w:ascii="Cambria Math" w:hAnsi="Cambria Math" w:cs="Times New Roman"/>
                <w:sz w:val="24"/>
                <w:szCs w:val="24"/>
                <w:lang w:val="en-US"/>
              </w:rPr>
              <m:t>x,y</m:t>
            </m:r>
          </m:e>
        </m:d>
      </m:oMath>
      <w:r w:rsidR="000B142E" w:rsidRPr="002C24A8">
        <w:rPr>
          <w:rFonts w:ascii="Times New Roman" w:eastAsiaTheme="minorEastAsia" w:hAnsi="Times New Roman" w:cs="Times New Roman"/>
          <w:sz w:val="24"/>
          <w:szCs w:val="24"/>
          <w:lang w:val="en-US"/>
        </w:rPr>
        <w:t xml:space="preserve"> </w:t>
      </w:r>
      <w:r w:rsidRPr="002C24A8">
        <w:rPr>
          <w:rFonts w:ascii="Times New Roman" w:hAnsi="Times New Roman" w:cs="Times New Roman"/>
          <w:sz w:val="24"/>
          <w:szCs w:val="24"/>
          <w:lang w:val="en-US"/>
        </w:rPr>
        <w:t>can be defined as</w:t>
      </w:r>
      <w:r w:rsidR="000B142E" w:rsidRPr="002C24A8">
        <w:rPr>
          <w:rFonts w:ascii="Times New Roman" w:hAnsi="Times New Roman" w:cs="Times New Roman"/>
          <w:sz w:val="24"/>
          <w:szCs w:val="24"/>
          <w:lang w:val="en-US"/>
        </w:rPr>
        <w:t>:</w:t>
      </w:r>
      <w:r w:rsidRPr="002C24A8">
        <w:rPr>
          <w:rFonts w:ascii="Times New Roman" w:hAnsi="Times New Roman" w:cs="Times New Roman"/>
          <w:sz w:val="24"/>
          <w:szCs w:val="24"/>
          <w:vertAlign w:val="superscript"/>
          <w:lang w:val="en-US"/>
        </w:rPr>
        <w:footnoteReference w:id="11"/>
      </w:r>
    </w:p>
    <w:p w14:paraId="1C51B87C" w14:textId="77777777" w:rsidR="00FF0E79" w:rsidRPr="002C24A8" w:rsidRDefault="00FE7251" w:rsidP="00FF0E79">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pict w14:anchorId="2DE85EA4">
          <v:shape id="_x0000_i1027" type="#_x0000_t75" style="width:246pt;height:22.5pt">
            <v:imagedata r:id="rId14" o:title=""/>
          </v:shape>
        </w:pict>
      </w:r>
      <w:r w:rsidR="00FF0E79" w:rsidRPr="002C24A8">
        <w:rPr>
          <w:rFonts w:ascii="Times New Roman" w:hAnsi="Times New Roman" w:cs="Times New Roman"/>
          <w:sz w:val="24"/>
          <w:szCs w:val="24"/>
          <w:lang w:val="en-US"/>
        </w:rPr>
        <w:t>.</w:t>
      </w:r>
      <w:r w:rsidR="00FF0E79" w:rsidRPr="002C24A8">
        <w:rPr>
          <w:rFonts w:ascii="Times New Roman" w:hAnsi="Times New Roman" w:cs="Times New Roman"/>
          <w:sz w:val="24"/>
          <w:szCs w:val="24"/>
          <w:lang w:val="en-US"/>
        </w:rPr>
        <w:tab/>
      </w:r>
      <w:r w:rsidR="00FF0E79" w:rsidRPr="002C24A8">
        <w:rPr>
          <w:rFonts w:ascii="Times New Roman" w:hAnsi="Times New Roman" w:cs="Times New Roman"/>
          <w:sz w:val="24"/>
          <w:szCs w:val="24"/>
          <w:lang w:val="en-US"/>
        </w:rPr>
        <w:tab/>
      </w:r>
      <w:r w:rsidR="00FF0E79" w:rsidRPr="002C24A8">
        <w:rPr>
          <w:rFonts w:ascii="Times New Roman" w:hAnsi="Times New Roman" w:cs="Times New Roman"/>
          <w:sz w:val="24"/>
          <w:szCs w:val="24"/>
          <w:lang w:val="en-US"/>
        </w:rPr>
        <w:tab/>
      </w:r>
      <w:r w:rsidR="00FF0E79" w:rsidRPr="002C24A8">
        <w:rPr>
          <w:rFonts w:ascii="Times New Roman" w:hAnsi="Times New Roman" w:cs="Times New Roman"/>
          <w:sz w:val="24"/>
          <w:szCs w:val="24"/>
          <w:lang w:val="en-US"/>
        </w:rPr>
        <w:tab/>
        <w:t xml:space="preserve"> </w:t>
      </w:r>
      <w:r w:rsidR="00FF0E79" w:rsidRPr="002C24A8">
        <w:rPr>
          <w:rFonts w:ascii="Times New Roman" w:hAnsi="Times New Roman" w:cs="Times New Roman"/>
          <w:sz w:val="24"/>
          <w:szCs w:val="24"/>
          <w:lang w:val="en-US"/>
        </w:rPr>
        <w:tab/>
      </w:r>
      <w:r w:rsidR="001575B0" w:rsidRPr="002C24A8">
        <w:rPr>
          <w:rFonts w:ascii="Times New Roman" w:hAnsi="Times New Roman" w:cs="Times New Roman"/>
          <w:sz w:val="24"/>
          <w:szCs w:val="24"/>
          <w:lang w:val="en-US"/>
        </w:rPr>
        <w:tab/>
      </w:r>
      <w:r w:rsidR="00287C6E" w:rsidRPr="002C24A8">
        <w:rPr>
          <w:rFonts w:ascii="Times New Roman" w:hAnsi="Times New Roman" w:cs="Times New Roman"/>
          <w:sz w:val="24"/>
          <w:szCs w:val="24"/>
          <w:lang w:val="en-US"/>
        </w:rPr>
        <w:t xml:space="preserve">       </w:t>
      </w:r>
      <w:r w:rsidR="00FF0E79" w:rsidRPr="002C24A8">
        <w:rPr>
          <w:rFonts w:ascii="Times New Roman" w:hAnsi="Times New Roman" w:cs="Times New Roman"/>
          <w:sz w:val="24"/>
          <w:szCs w:val="24"/>
          <w:lang w:val="en-US"/>
        </w:rPr>
        <w:t>(4)</w:t>
      </w:r>
    </w:p>
    <w:p w14:paraId="061F2C54" w14:textId="5D8DC9A0" w:rsidR="00FF0E79" w:rsidRPr="002C24A8" w:rsidRDefault="001575B0" w:rsidP="00FF0E79">
      <w:pPr>
        <w:spacing w:after="0" w:line="480" w:lineRule="auto"/>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B</w:t>
      </w:r>
      <w:r w:rsidR="000B142E" w:rsidRPr="002C24A8">
        <w:rPr>
          <w:rFonts w:ascii="Times New Roman" w:hAnsi="Times New Roman" w:cs="Times New Roman"/>
          <w:sz w:val="24"/>
          <w:szCs w:val="24"/>
          <w:lang w:val="en-US"/>
        </w:rPr>
        <w:t>uilding</w:t>
      </w:r>
      <w:r w:rsidR="00FF0E79" w:rsidRPr="002C24A8">
        <w:rPr>
          <w:rFonts w:ascii="Times New Roman" w:hAnsi="Times New Roman" w:cs="Times New Roman"/>
          <w:sz w:val="24"/>
          <w:szCs w:val="24"/>
          <w:lang w:val="en-US"/>
        </w:rPr>
        <w:t xml:space="preserve"> on t</w:t>
      </w:r>
      <w:r w:rsidRPr="002C24A8">
        <w:rPr>
          <w:rFonts w:ascii="Times New Roman" w:hAnsi="Times New Roman" w:cs="Times New Roman"/>
          <w:sz w:val="24"/>
          <w:szCs w:val="24"/>
          <w:lang w:val="en-US"/>
        </w:rPr>
        <w:t xml:space="preserve">he work by Cazals et al. (2002), Daraio and Simar (2005) </w:t>
      </w:r>
      <w:r w:rsidR="00FF0E79" w:rsidRPr="002C24A8">
        <w:rPr>
          <w:rFonts w:ascii="Times New Roman" w:hAnsi="Times New Roman" w:cs="Times New Roman"/>
          <w:sz w:val="24"/>
          <w:szCs w:val="24"/>
          <w:lang w:val="en-US"/>
        </w:rPr>
        <w:t xml:space="preserve">proposed a probabilistic approach </w:t>
      </w:r>
      <w:r w:rsidR="000B142E" w:rsidRPr="002C24A8">
        <w:rPr>
          <w:rFonts w:ascii="Times New Roman" w:hAnsi="Times New Roman" w:cs="Times New Roman"/>
          <w:sz w:val="24"/>
          <w:szCs w:val="24"/>
          <w:lang w:val="en-US"/>
        </w:rPr>
        <w:t>towards</w:t>
      </w:r>
      <w:r w:rsidR="00FF0E79" w:rsidRPr="002C24A8">
        <w:rPr>
          <w:rFonts w:ascii="Times New Roman" w:hAnsi="Times New Roman" w:cs="Times New Roman"/>
          <w:sz w:val="24"/>
          <w:szCs w:val="24"/>
          <w:lang w:val="en-US"/>
        </w:rPr>
        <w:t xml:space="preserve"> efficiency </w:t>
      </w:r>
      <w:r w:rsidR="00B8032A" w:rsidRPr="002C24A8">
        <w:rPr>
          <w:rFonts w:ascii="Times New Roman" w:hAnsi="Times New Roman" w:cs="Times New Roman"/>
          <w:sz w:val="24"/>
          <w:szCs w:val="24"/>
          <w:lang w:val="en-US"/>
        </w:rPr>
        <w:t>measurement that</w:t>
      </w:r>
      <w:r w:rsidR="00FF0E79" w:rsidRPr="002C24A8">
        <w:rPr>
          <w:rFonts w:ascii="Times New Roman" w:hAnsi="Times New Roman" w:cs="Times New Roman"/>
          <w:sz w:val="24"/>
          <w:szCs w:val="24"/>
          <w:lang w:val="en-US"/>
        </w:rPr>
        <w:t xml:space="preserve"> is based on the probability </w:t>
      </w:r>
      <m:oMath>
        <m:r>
          <w:rPr>
            <w:rFonts w:ascii="Cambria Math" w:hAnsi="Cambria Math" w:cs="Times New Roman"/>
            <w:sz w:val="24"/>
            <w:szCs w:val="24"/>
            <w:lang w:val="en-US"/>
          </w:rPr>
          <m:t>H</m:t>
        </m:r>
        <m:d>
          <m:dPr>
            <m:ctrlPr>
              <w:rPr>
                <w:rFonts w:ascii="Cambria Math" w:hAnsi="Cambria Math" w:cs="Times New Roman"/>
                <w:i/>
                <w:sz w:val="24"/>
                <w:szCs w:val="24"/>
                <w:lang w:val="en-US"/>
              </w:rPr>
            </m:ctrlPr>
          </m:dPr>
          <m:e>
            <m:r>
              <w:rPr>
                <w:rFonts w:ascii="Cambria Math" w:hAnsi="Cambria Math" w:cs="Times New Roman"/>
                <w:sz w:val="24"/>
                <w:szCs w:val="24"/>
                <w:lang w:val="en-US"/>
              </w:rPr>
              <m:t>x,y</m:t>
            </m:r>
          </m:e>
        </m:d>
      </m:oMath>
      <w:r w:rsidR="00FF0E79" w:rsidRPr="002C24A8">
        <w:rPr>
          <w:rFonts w:ascii="Times New Roman" w:hAnsi="Times New Roman" w:cs="Times New Roman"/>
          <w:sz w:val="24"/>
          <w:szCs w:val="24"/>
          <w:lang w:val="en-US"/>
        </w:rPr>
        <w:t xml:space="preserve"> of dominating a </w:t>
      </w:r>
      <w:r w:rsidRPr="002C24A8">
        <w:rPr>
          <w:rFonts w:ascii="Times New Roman" w:hAnsi="Times New Roman" w:cs="Times New Roman"/>
          <w:sz w:val="24"/>
          <w:szCs w:val="24"/>
          <w:lang w:val="en-US"/>
        </w:rPr>
        <w:t>firm</w:t>
      </w:r>
      <w:r w:rsidR="00FF0E79" w:rsidRPr="002C24A8">
        <w:rPr>
          <w:rFonts w:ascii="Times New Roman" w:hAnsi="Times New Roman" w:cs="Times New Roman"/>
          <w:sz w:val="24"/>
          <w:szCs w:val="24"/>
          <w:lang w:val="en-US"/>
        </w:rPr>
        <w:t xml:space="preserve"> operating at level</w:t>
      </w:r>
      <m:oMath>
        <m:r>
          <w:rPr>
            <w:rFonts w:ascii="Cambria Math" w:hAnsi="Cambria Math" w:cs="Times New Roman"/>
            <w:sz w:val="24"/>
            <w:szCs w:val="24"/>
            <w:lang w:val="en-US"/>
          </w:rPr>
          <m:t xml:space="preserve"> </m:t>
        </m:r>
        <m:d>
          <m:dPr>
            <m:ctrlPr>
              <w:rPr>
                <w:rFonts w:ascii="Cambria Math" w:hAnsi="Cambria Math" w:cs="Times New Roman"/>
                <w:i/>
                <w:sz w:val="24"/>
                <w:szCs w:val="24"/>
                <w:lang w:val="en-US"/>
              </w:rPr>
            </m:ctrlPr>
          </m:dPr>
          <m:e>
            <m:r>
              <w:rPr>
                <w:rFonts w:ascii="Cambria Math" w:hAnsi="Cambria Math" w:cs="Times New Roman"/>
                <w:sz w:val="24"/>
                <w:szCs w:val="24"/>
                <w:lang w:val="en-US"/>
              </w:rPr>
              <m:t>x,y</m:t>
            </m:r>
          </m:e>
        </m:d>
      </m:oMath>
      <w:r w:rsidRPr="002C24A8">
        <w:rPr>
          <w:rFonts w:ascii="Times New Roman" w:hAnsi="Times New Roman" w:cs="Times New Roman"/>
          <w:sz w:val="24"/>
          <w:szCs w:val="24"/>
          <w:lang w:val="en-US"/>
        </w:rPr>
        <w:t>. The probability</w:t>
      </w:r>
      <w:r w:rsidR="000B142E" w:rsidRPr="002C24A8">
        <w:rPr>
          <w:rFonts w:ascii="Times New Roman" w:hAnsi="Times New Roman" w:cs="Times New Roman"/>
          <w:sz w:val="24"/>
          <w:szCs w:val="24"/>
          <w:lang w:val="en-US"/>
        </w:rPr>
        <w:t>,</w:t>
      </w:r>
      <w:r w:rsidRPr="002C24A8">
        <w:rPr>
          <w:rFonts w:ascii="Times New Roman" w:hAnsi="Times New Roman" w:cs="Times New Roman"/>
          <w:sz w:val="24"/>
          <w:szCs w:val="24"/>
          <w:lang w:val="en-US"/>
        </w:rPr>
        <w:t xml:space="preserve"> </w:t>
      </w:r>
      <m:oMath>
        <m:r>
          <w:rPr>
            <w:rFonts w:ascii="Cambria Math" w:hAnsi="Cambria Math" w:cs="Times New Roman"/>
            <w:sz w:val="24"/>
            <w:szCs w:val="24"/>
            <w:lang w:val="en-US"/>
          </w:rPr>
          <m:t>H</m:t>
        </m:r>
        <m:d>
          <m:dPr>
            <m:ctrlPr>
              <w:rPr>
                <w:rFonts w:ascii="Cambria Math" w:hAnsi="Cambria Math" w:cs="Times New Roman"/>
                <w:i/>
                <w:sz w:val="24"/>
                <w:szCs w:val="24"/>
                <w:lang w:val="en-US"/>
              </w:rPr>
            </m:ctrlPr>
          </m:dPr>
          <m:e>
            <m:r>
              <w:rPr>
                <w:rFonts w:ascii="Cambria Math" w:hAnsi="Cambria Math" w:cs="Times New Roman"/>
                <w:sz w:val="24"/>
                <w:szCs w:val="24"/>
                <w:lang w:val="en-US"/>
              </w:rPr>
              <m:t>x,y</m:t>
            </m:r>
          </m:e>
        </m:d>
      </m:oMath>
      <w:r w:rsidR="000B142E" w:rsidRPr="002C24A8">
        <w:rPr>
          <w:rFonts w:ascii="Times New Roman" w:hAnsi="Times New Roman" w:cs="Times New Roman"/>
          <w:sz w:val="24"/>
          <w:szCs w:val="24"/>
          <w:lang w:val="en-US"/>
        </w:rPr>
        <w:t xml:space="preserve">, </w:t>
      </w:r>
      <w:r w:rsidRPr="002C24A8">
        <w:rPr>
          <w:rFonts w:ascii="Times New Roman" w:hAnsi="Times New Roman" w:cs="Times New Roman"/>
          <w:sz w:val="24"/>
          <w:szCs w:val="24"/>
          <w:lang w:val="en-US"/>
        </w:rPr>
        <w:t>can be expressed as</w:t>
      </w:r>
      <w:r w:rsidR="00FF0E79" w:rsidRPr="002C24A8">
        <w:rPr>
          <w:rFonts w:ascii="Times New Roman" w:hAnsi="Times New Roman" w:cs="Times New Roman"/>
          <w:sz w:val="24"/>
          <w:szCs w:val="24"/>
          <w:lang w:val="en-US"/>
        </w:rPr>
        <w:t>:</w:t>
      </w:r>
    </w:p>
    <w:p w14:paraId="74F441FB" w14:textId="77777777" w:rsidR="00FF0E79" w:rsidRPr="002C24A8" w:rsidRDefault="00FF0E79" w:rsidP="00FF0E79">
      <w:pPr>
        <w:spacing w:after="0" w:line="480" w:lineRule="auto"/>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 </w:t>
      </w:r>
      <w:r w:rsidR="00FE7251">
        <w:rPr>
          <w:rFonts w:ascii="Times New Roman" w:hAnsi="Times New Roman" w:cs="Times New Roman"/>
          <w:sz w:val="24"/>
          <w:szCs w:val="24"/>
          <w:lang w:val="en-US"/>
        </w:rPr>
        <w:pict w14:anchorId="4683790B">
          <v:shape id="_x0000_i1028" type="#_x0000_t75" style="width:146.5pt;height:20pt">
            <v:imagedata r:id="rId15" o:title=""/>
          </v:shape>
        </w:pict>
      </w:r>
      <w:r w:rsidRPr="002C24A8">
        <w:rPr>
          <w:rFonts w:ascii="Times New Roman" w:hAnsi="Times New Roman" w:cs="Times New Roman"/>
          <w:sz w:val="24"/>
          <w:szCs w:val="24"/>
          <w:lang w:val="en-US"/>
        </w:rPr>
        <w:t xml:space="preserve">, </w:t>
      </w:r>
      <w:r w:rsidRPr="002C24A8">
        <w:rPr>
          <w:rFonts w:ascii="Times New Roman" w:hAnsi="Times New Roman" w:cs="Times New Roman"/>
          <w:sz w:val="24"/>
          <w:szCs w:val="24"/>
          <w:lang w:val="en-US"/>
        </w:rPr>
        <w:tab/>
      </w:r>
      <w:r w:rsidRPr="002C24A8">
        <w:rPr>
          <w:rFonts w:ascii="Times New Roman" w:hAnsi="Times New Roman" w:cs="Times New Roman"/>
          <w:sz w:val="24"/>
          <w:szCs w:val="24"/>
          <w:lang w:val="en-US"/>
        </w:rPr>
        <w:tab/>
      </w:r>
      <w:r w:rsidRPr="002C24A8">
        <w:rPr>
          <w:rFonts w:ascii="Times New Roman" w:hAnsi="Times New Roman" w:cs="Times New Roman"/>
          <w:sz w:val="24"/>
          <w:szCs w:val="24"/>
          <w:lang w:val="en-US"/>
        </w:rPr>
        <w:tab/>
      </w:r>
      <w:r w:rsidRPr="002C24A8">
        <w:rPr>
          <w:rFonts w:ascii="Times New Roman" w:hAnsi="Times New Roman" w:cs="Times New Roman"/>
          <w:sz w:val="24"/>
          <w:szCs w:val="24"/>
          <w:lang w:val="en-US"/>
        </w:rPr>
        <w:tab/>
      </w:r>
      <w:r w:rsidRPr="002C24A8">
        <w:rPr>
          <w:rFonts w:ascii="Times New Roman" w:hAnsi="Times New Roman" w:cs="Times New Roman"/>
          <w:sz w:val="24"/>
          <w:szCs w:val="24"/>
          <w:lang w:val="en-US"/>
        </w:rPr>
        <w:tab/>
      </w:r>
      <w:r w:rsidRPr="002C24A8">
        <w:rPr>
          <w:rFonts w:ascii="Times New Roman" w:hAnsi="Times New Roman" w:cs="Times New Roman"/>
          <w:sz w:val="24"/>
          <w:szCs w:val="24"/>
          <w:lang w:val="en-US"/>
        </w:rPr>
        <w:tab/>
      </w:r>
      <w:r w:rsidRPr="002C24A8">
        <w:rPr>
          <w:rFonts w:ascii="Times New Roman" w:hAnsi="Times New Roman" w:cs="Times New Roman"/>
          <w:sz w:val="24"/>
          <w:szCs w:val="24"/>
          <w:lang w:val="en-US"/>
        </w:rPr>
        <w:tab/>
      </w:r>
      <w:r w:rsidR="00287C6E" w:rsidRPr="002C24A8">
        <w:rPr>
          <w:rFonts w:ascii="Times New Roman" w:hAnsi="Times New Roman" w:cs="Times New Roman"/>
          <w:sz w:val="24"/>
          <w:szCs w:val="24"/>
          <w:lang w:val="en-US"/>
        </w:rPr>
        <w:t xml:space="preserve">                  </w:t>
      </w:r>
      <w:r w:rsidRPr="002C24A8">
        <w:rPr>
          <w:rFonts w:ascii="Times New Roman" w:hAnsi="Times New Roman" w:cs="Times New Roman"/>
          <w:sz w:val="24"/>
          <w:szCs w:val="24"/>
          <w:lang w:val="en-US"/>
        </w:rPr>
        <w:t>(5)</w:t>
      </w:r>
    </w:p>
    <w:p w14:paraId="599429DD" w14:textId="77777777" w:rsidR="00FF0E79" w:rsidRPr="002C24A8" w:rsidRDefault="00FF0E79" w:rsidP="00FF0E79">
      <w:pPr>
        <w:spacing w:after="0" w:line="480" w:lineRule="auto"/>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which </w:t>
      </w:r>
      <w:r w:rsidR="001575B0" w:rsidRPr="002C24A8">
        <w:rPr>
          <w:rFonts w:ascii="Times New Roman" w:hAnsi="Times New Roman" w:cs="Times New Roman"/>
          <w:sz w:val="24"/>
          <w:szCs w:val="24"/>
          <w:lang w:val="en-US"/>
        </w:rPr>
        <w:t xml:space="preserve">then </w:t>
      </w:r>
      <w:r w:rsidRPr="002C24A8">
        <w:rPr>
          <w:rFonts w:ascii="Times New Roman" w:hAnsi="Times New Roman" w:cs="Times New Roman"/>
          <w:sz w:val="24"/>
          <w:szCs w:val="24"/>
          <w:lang w:val="en-US"/>
        </w:rPr>
        <w:t>can be decomposed to:</w:t>
      </w:r>
    </w:p>
    <w:p w14:paraId="2416E644" w14:textId="77777777" w:rsidR="00FF0E79" w:rsidRPr="002C24A8" w:rsidRDefault="00FE7251" w:rsidP="00FF0E79">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pict w14:anchorId="3CC76F11">
          <v:shape id="_x0000_i1029" type="#_x0000_t75" style="width:300.5pt;height:22.5pt">
            <v:imagedata r:id="rId16" o:title=""/>
          </v:shape>
        </w:pict>
      </w:r>
      <w:r w:rsidR="00FF0E79" w:rsidRPr="002C24A8">
        <w:rPr>
          <w:rFonts w:ascii="Times New Roman" w:hAnsi="Times New Roman" w:cs="Times New Roman"/>
          <w:sz w:val="24"/>
          <w:szCs w:val="24"/>
          <w:lang w:val="en-US"/>
        </w:rPr>
        <w:t xml:space="preserve"> </w:t>
      </w:r>
      <w:r w:rsidR="00FF0E79" w:rsidRPr="002C24A8">
        <w:rPr>
          <w:rFonts w:ascii="Times New Roman" w:hAnsi="Times New Roman" w:cs="Times New Roman"/>
          <w:sz w:val="24"/>
          <w:szCs w:val="24"/>
          <w:lang w:val="en-US"/>
        </w:rPr>
        <w:tab/>
      </w:r>
      <w:r w:rsidR="00FF0E79" w:rsidRPr="002C24A8">
        <w:rPr>
          <w:rFonts w:ascii="Times New Roman" w:hAnsi="Times New Roman" w:cs="Times New Roman"/>
          <w:sz w:val="24"/>
          <w:szCs w:val="24"/>
          <w:lang w:val="en-US"/>
        </w:rPr>
        <w:tab/>
      </w:r>
      <w:r w:rsidR="00FF0E79" w:rsidRPr="002C24A8">
        <w:rPr>
          <w:rFonts w:ascii="Times New Roman" w:hAnsi="Times New Roman" w:cs="Times New Roman"/>
          <w:sz w:val="24"/>
          <w:szCs w:val="24"/>
          <w:lang w:val="en-US"/>
        </w:rPr>
        <w:tab/>
      </w:r>
      <w:r w:rsidR="00287C6E" w:rsidRPr="002C24A8">
        <w:rPr>
          <w:rFonts w:ascii="Times New Roman" w:hAnsi="Times New Roman" w:cs="Times New Roman"/>
          <w:sz w:val="24"/>
          <w:szCs w:val="24"/>
          <w:lang w:val="en-US"/>
        </w:rPr>
        <w:t xml:space="preserve">                 </w:t>
      </w:r>
      <w:r w:rsidR="00FF0E79" w:rsidRPr="002C24A8">
        <w:rPr>
          <w:rFonts w:ascii="Times New Roman" w:hAnsi="Times New Roman" w:cs="Times New Roman"/>
          <w:sz w:val="24"/>
          <w:szCs w:val="24"/>
          <w:lang w:val="en-US"/>
        </w:rPr>
        <w:t>(6)</w:t>
      </w:r>
    </w:p>
    <w:p w14:paraId="1D8C9686" w14:textId="6C5E5762" w:rsidR="00FF0E79" w:rsidRPr="002C24A8" w:rsidRDefault="00FF0E79" w:rsidP="00FF0E79">
      <w:pPr>
        <w:spacing w:after="0" w:line="480" w:lineRule="auto"/>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Then the </w:t>
      </w:r>
      <w:r w:rsidR="00206F9D" w:rsidRPr="002C24A8">
        <w:rPr>
          <w:rFonts w:ascii="Times New Roman" w:hAnsi="Times New Roman" w:cs="Times New Roman"/>
          <w:sz w:val="24"/>
          <w:szCs w:val="24"/>
          <w:lang w:val="en-US"/>
        </w:rPr>
        <w:t>output</w:t>
      </w:r>
      <w:r w:rsidR="00206F9D">
        <w:rPr>
          <w:rFonts w:ascii="Times New Roman" w:hAnsi="Times New Roman" w:cs="Times New Roman"/>
          <w:sz w:val="24"/>
          <w:szCs w:val="24"/>
          <w:lang w:val="en-US"/>
        </w:rPr>
        <w:t>-</w:t>
      </w:r>
      <w:r w:rsidRPr="002C24A8">
        <w:rPr>
          <w:rFonts w:ascii="Times New Roman" w:hAnsi="Times New Roman" w:cs="Times New Roman"/>
          <w:sz w:val="24"/>
          <w:szCs w:val="24"/>
          <w:lang w:val="en-US"/>
        </w:rPr>
        <w:t>oriented efficiency measure in eq. (4) can be presented as:</w:t>
      </w:r>
    </w:p>
    <w:p w14:paraId="357741A9" w14:textId="77777777" w:rsidR="00FF0E79" w:rsidRPr="002C24A8" w:rsidRDefault="00FE7251" w:rsidP="00FF0E79">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pict w14:anchorId="49FCB15F">
          <v:shape id="_x0000_i1030" type="#_x0000_t75" style="width:161.5pt;height:25pt">
            <v:imagedata r:id="rId17" o:title=""/>
          </v:shape>
        </w:pict>
      </w:r>
      <w:r w:rsidR="00FF0E79" w:rsidRPr="002C24A8">
        <w:rPr>
          <w:rFonts w:ascii="Times New Roman" w:hAnsi="Times New Roman" w:cs="Times New Roman"/>
          <w:sz w:val="24"/>
          <w:szCs w:val="24"/>
          <w:lang w:val="en-US"/>
        </w:rPr>
        <w:t xml:space="preserve"> </w:t>
      </w:r>
      <w:r w:rsidR="00FF0E79" w:rsidRPr="002C24A8">
        <w:rPr>
          <w:rFonts w:ascii="Times New Roman" w:hAnsi="Times New Roman" w:cs="Times New Roman"/>
          <w:sz w:val="24"/>
          <w:szCs w:val="24"/>
          <w:lang w:val="en-US"/>
        </w:rPr>
        <w:tab/>
      </w:r>
      <w:r w:rsidR="00FF0E79" w:rsidRPr="002C24A8">
        <w:rPr>
          <w:rFonts w:ascii="Times New Roman" w:hAnsi="Times New Roman" w:cs="Times New Roman"/>
          <w:sz w:val="24"/>
          <w:szCs w:val="24"/>
          <w:lang w:val="en-US"/>
        </w:rPr>
        <w:tab/>
      </w:r>
      <w:r w:rsidR="00FF0E79" w:rsidRPr="002C24A8">
        <w:rPr>
          <w:rFonts w:ascii="Times New Roman" w:hAnsi="Times New Roman" w:cs="Times New Roman"/>
          <w:sz w:val="24"/>
          <w:szCs w:val="24"/>
          <w:lang w:val="en-US"/>
        </w:rPr>
        <w:tab/>
      </w:r>
      <w:r w:rsidR="00FF0E79" w:rsidRPr="002C24A8">
        <w:rPr>
          <w:rFonts w:ascii="Times New Roman" w:hAnsi="Times New Roman" w:cs="Times New Roman"/>
          <w:sz w:val="24"/>
          <w:szCs w:val="24"/>
          <w:lang w:val="en-US"/>
        </w:rPr>
        <w:tab/>
      </w:r>
      <w:r w:rsidR="00FF0E79" w:rsidRPr="002C24A8">
        <w:rPr>
          <w:rFonts w:ascii="Times New Roman" w:hAnsi="Times New Roman" w:cs="Times New Roman"/>
          <w:sz w:val="24"/>
          <w:szCs w:val="24"/>
          <w:lang w:val="en-US"/>
        </w:rPr>
        <w:tab/>
      </w:r>
      <w:r w:rsidR="00FF0E79" w:rsidRPr="002C24A8">
        <w:rPr>
          <w:rFonts w:ascii="Times New Roman" w:hAnsi="Times New Roman" w:cs="Times New Roman"/>
          <w:sz w:val="24"/>
          <w:szCs w:val="24"/>
          <w:lang w:val="en-US"/>
        </w:rPr>
        <w:tab/>
      </w:r>
      <w:r w:rsidR="00FF0E79" w:rsidRPr="002C24A8">
        <w:rPr>
          <w:rFonts w:ascii="Times New Roman" w:hAnsi="Times New Roman" w:cs="Times New Roman"/>
          <w:sz w:val="24"/>
          <w:szCs w:val="24"/>
          <w:lang w:val="en-US"/>
        </w:rPr>
        <w:tab/>
      </w:r>
      <w:r w:rsidR="00287C6E" w:rsidRPr="002C24A8">
        <w:rPr>
          <w:rFonts w:ascii="Times New Roman" w:hAnsi="Times New Roman" w:cs="Times New Roman"/>
          <w:sz w:val="24"/>
          <w:szCs w:val="24"/>
          <w:lang w:val="en-US"/>
        </w:rPr>
        <w:t xml:space="preserve">                 </w:t>
      </w:r>
      <w:r w:rsidR="00FF0E79" w:rsidRPr="002C24A8">
        <w:rPr>
          <w:rFonts w:ascii="Times New Roman" w:hAnsi="Times New Roman" w:cs="Times New Roman"/>
          <w:sz w:val="24"/>
          <w:szCs w:val="24"/>
          <w:lang w:val="en-US"/>
        </w:rPr>
        <w:t>(7)</w:t>
      </w:r>
    </w:p>
    <w:p w14:paraId="3B1EC5F7" w14:textId="20A8AD94" w:rsidR="00FF0E79" w:rsidRPr="002C24A8" w:rsidRDefault="00FF0E79" w:rsidP="00FF0E79">
      <w:pPr>
        <w:spacing w:after="0" w:line="480" w:lineRule="auto"/>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     Furthermore, let </w:t>
      </w:r>
      <w:r w:rsidR="001575B0" w:rsidRPr="002C24A8">
        <w:rPr>
          <w:rFonts w:ascii="Times New Roman" w:hAnsi="Times New Roman" w:cs="Times New Roman"/>
          <w:sz w:val="24"/>
          <w:szCs w:val="24"/>
          <w:lang w:val="en-US"/>
        </w:rPr>
        <w:t xml:space="preserve"> </w:t>
      </w:r>
      <m:oMath>
        <m:r>
          <w:rPr>
            <w:rFonts w:ascii="Cambria Math" w:hAnsi="Cambria Math" w:cs="Times New Roman"/>
            <w:sz w:val="24"/>
            <w:szCs w:val="24"/>
            <w:lang w:val="en-US"/>
          </w:rPr>
          <m:t>Z∈</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d</m:t>
            </m:r>
          </m:sup>
        </m:sSup>
      </m:oMath>
      <w:r w:rsidR="00104F87" w:rsidRPr="002C24A8">
        <w:rPr>
          <w:rFonts w:ascii="Times New Roman" w:eastAsiaTheme="minorEastAsia" w:hAnsi="Times New Roman" w:cs="Times New Roman"/>
          <w:sz w:val="24"/>
          <w:szCs w:val="24"/>
          <w:lang w:val="en-US"/>
        </w:rPr>
        <w:t xml:space="preserve"> </w:t>
      </w:r>
      <w:r w:rsidR="001575B0" w:rsidRPr="002C24A8">
        <w:rPr>
          <w:rFonts w:ascii="Times New Roman" w:hAnsi="Times New Roman" w:cs="Times New Roman"/>
          <w:sz w:val="24"/>
          <w:szCs w:val="24"/>
          <w:lang w:val="en-US"/>
        </w:rPr>
        <w:t>to be the vector of a factor</w:t>
      </w:r>
      <w:r w:rsidRPr="002C24A8">
        <w:rPr>
          <w:rFonts w:ascii="Times New Roman" w:hAnsi="Times New Roman" w:cs="Times New Roman"/>
          <w:sz w:val="24"/>
          <w:szCs w:val="24"/>
          <w:lang w:val="en-US"/>
        </w:rPr>
        <w:t xml:space="preserve"> influencing </w:t>
      </w:r>
      <w:r w:rsidR="001575B0" w:rsidRPr="002C24A8">
        <w:rPr>
          <w:rFonts w:ascii="Times New Roman" w:hAnsi="Times New Roman" w:cs="Times New Roman"/>
          <w:sz w:val="24"/>
          <w:szCs w:val="24"/>
          <w:lang w:val="en-US"/>
        </w:rPr>
        <w:t>firms</w:t>
      </w:r>
      <w:r w:rsidRPr="002C24A8">
        <w:rPr>
          <w:rFonts w:ascii="Times New Roman" w:hAnsi="Times New Roman" w:cs="Times New Roman"/>
          <w:sz w:val="24"/>
          <w:szCs w:val="24"/>
          <w:lang w:val="en-US"/>
        </w:rPr>
        <w:t>’ technological change levels.</w:t>
      </w:r>
      <w:r w:rsidR="001575B0" w:rsidRPr="002C24A8">
        <w:rPr>
          <w:rFonts w:ascii="Times New Roman" w:hAnsi="Times New Roman" w:cs="Times New Roman"/>
          <w:sz w:val="24"/>
          <w:szCs w:val="24"/>
          <w:lang w:val="en-US"/>
        </w:rPr>
        <w:t xml:space="preserve"> In our case this factor is the ESG criteri</w:t>
      </w:r>
      <w:r w:rsidR="000347FE" w:rsidRPr="002C24A8">
        <w:rPr>
          <w:rFonts w:ascii="Times New Roman" w:hAnsi="Times New Roman" w:cs="Times New Roman"/>
          <w:sz w:val="24"/>
          <w:szCs w:val="24"/>
          <w:lang w:val="en-US"/>
        </w:rPr>
        <w:t>on,</w:t>
      </w:r>
      <w:r w:rsidR="001575B0" w:rsidRPr="002C24A8">
        <w:rPr>
          <w:rFonts w:ascii="Times New Roman" w:hAnsi="Times New Roman" w:cs="Times New Roman"/>
          <w:sz w:val="24"/>
          <w:szCs w:val="24"/>
          <w:lang w:val="en-US"/>
        </w:rPr>
        <w:t xml:space="preserve"> which </w:t>
      </w:r>
      <w:r w:rsidR="000347FE" w:rsidRPr="002C24A8">
        <w:rPr>
          <w:rFonts w:ascii="Times New Roman" w:hAnsi="Times New Roman" w:cs="Times New Roman"/>
          <w:sz w:val="24"/>
          <w:szCs w:val="24"/>
          <w:lang w:val="en-US"/>
        </w:rPr>
        <w:t xml:space="preserve">is </w:t>
      </w:r>
      <w:r w:rsidR="001575B0" w:rsidRPr="002C24A8">
        <w:rPr>
          <w:rFonts w:ascii="Times New Roman" w:hAnsi="Times New Roman" w:cs="Times New Roman"/>
          <w:sz w:val="24"/>
          <w:szCs w:val="24"/>
          <w:lang w:val="en-US"/>
        </w:rPr>
        <w:t xml:space="preserve">adopted </w:t>
      </w:r>
      <w:r w:rsidR="000347FE" w:rsidRPr="002C24A8">
        <w:rPr>
          <w:rFonts w:ascii="Times New Roman" w:hAnsi="Times New Roman" w:cs="Times New Roman"/>
          <w:sz w:val="24"/>
          <w:szCs w:val="24"/>
          <w:lang w:val="en-US"/>
        </w:rPr>
        <w:t>by f</w:t>
      </w:r>
      <w:r w:rsidR="001575B0" w:rsidRPr="002C24A8">
        <w:rPr>
          <w:rFonts w:ascii="Times New Roman" w:hAnsi="Times New Roman" w:cs="Times New Roman"/>
          <w:sz w:val="24"/>
          <w:szCs w:val="24"/>
          <w:lang w:val="en-US"/>
        </w:rPr>
        <w:t xml:space="preserve">irm decision makers. </w:t>
      </w:r>
      <w:r w:rsidRPr="002C24A8">
        <w:rPr>
          <w:rFonts w:ascii="Times New Roman" w:hAnsi="Times New Roman" w:cs="Times New Roman"/>
          <w:sz w:val="24"/>
          <w:szCs w:val="24"/>
          <w:lang w:val="en-US"/>
        </w:rPr>
        <w:t xml:space="preserve"> Then the conditional distribution of </w:t>
      </w:r>
      <m:oMath>
        <m:d>
          <m:dPr>
            <m:ctrlPr>
              <w:rPr>
                <w:rFonts w:ascii="Cambria Math" w:hAnsi="Cambria Math" w:cs="Times New Roman"/>
                <w:i/>
                <w:sz w:val="24"/>
                <w:szCs w:val="24"/>
                <w:lang w:val="en-US"/>
              </w:rPr>
            </m:ctrlPr>
          </m:dPr>
          <m:e>
            <m:r>
              <w:rPr>
                <w:rFonts w:ascii="Cambria Math" w:hAnsi="Cambria Math" w:cs="Times New Roman"/>
                <w:sz w:val="24"/>
                <w:szCs w:val="24"/>
                <w:lang w:val="en-US"/>
              </w:rPr>
              <m:t>X,Y</m:t>
            </m:r>
          </m:e>
        </m:d>
      </m:oMath>
      <w:r w:rsidRPr="002C24A8">
        <w:rPr>
          <w:rFonts w:ascii="Times New Roman" w:hAnsi="Times New Roman" w:cs="Times New Roman"/>
          <w:sz w:val="24"/>
          <w:szCs w:val="24"/>
          <w:lang w:val="en-US"/>
        </w:rPr>
        <w:t xml:space="preserve"> given </w:t>
      </w:r>
      <m:oMath>
        <m:r>
          <w:rPr>
            <w:rFonts w:ascii="Cambria Math" w:hAnsi="Cambria Math" w:cs="Times New Roman"/>
            <w:sz w:val="24"/>
            <w:szCs w:val="24"/>
            <w:lang w:val="en-US"/>
          </w:rPr>
          <m:t>Z=z</m:t>
        </m:r>
      </m:oMath>
      <w:r w:rsidRPr="002C24A8">
        <w:rPr>
          <w:rFonts w:ascii="Times New Roman" w:hAnsi="Times New Roman" w:cs="Times New Roman"/>
          <w:sz w:val="24"/>
          <w:szCs w:val="24"/>
          <w:lang w:val="en-US"/>
        </w:rPr>
        <w:t xml:space="preserve"> can be defined as:</w:t>
      </w:r>
    </w:p>
    <w:p w14:paraId="269D58D8" w14:textId="77777777" w:rsidR="00FF0E79" w:rsidRPr="002C24A8" w:rsidRDefault="00FF0E79" w:rsidP="00FF0E79">
      <w:pPr>
        <w:spacing w:after="0" w:line="480" w:lineRule="auto"/>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object w:dxaOrig="5580" w:dyaOrig="880" w14:anchorId="7E2D6D50">
          <v:shape id="_x0000_i1031" type="#_x0000_t75" style="width:280pt;height:44.5pt" o:ole="">
            <v:imagedata r:id="rId18" o:title=""/>
          </v:shape>
          <o:OLEObject Type="Embed" ProgID="Equation.DSMT4" ShapeID="_x0000_i1031" DrawAspect="Content" ObjectID="_1625424704" r:id="rId19"/>
        </w:object>
      </w:r>
      <w:r w:rsidRPr="002C24A8">
        <w:rPr>
          <w:rFonts w:ascii="Times New Roman" w:hAnsi="Times New Roman" w:cs="Times New Roman"/>
          <w:sz w:val="24"/>
          <w:szCs w:val="24"/>
          <w:lang w:val="en-US"/>
        </w:rPr>
        <w:tab/>
      </w:r>
      <w:r w:rsidRPr="002C24A8">
        <w:rPr>
          <w:rFonts w:ascii="Times New Roman" w:hAnsi="Times New Roman" w:cs="Times New Roman"/>
          <w:sz w:val="24"/>
          <w:szCs w:val="24"/>
          <w:lang w:val="en-US"/>
        </w:rPr>
        <w:tab/>
      </w:r>
      <w:r w:rsidRPr="002C24A8">
        <w:rPr>
          <w:rFonts w:ascii="Times New Roman" w:hAnsi="Times New Roman" w:cs="Times New Roman"/>
          <w:sz w:val="24"/>
          <w:szCs w:val="24"/>
          <w:lang w:val="en-US"/>
        </w:rPr>
        <w:tab/>
      </w:r>
      <w:r w:rsidRPr="002C24A8">
        <w:rPr>
          <w:rFonts w:ascii="Times New Roman" w:hAnsi="Times New Roman" w:cs="Times New Roman"/>
          <w:sz w:val="24"/>
          <w:szCs w:val="24"/>
          <w:lang w:val="en-US"/>
        </w:rPr>
        <w:tab/>
      </w:r>
      <w:r w:rsidR="00287C6E" w:rsidRPr="002C24A8">
        <w:rPr>
          <w:rFonts w:ascii="Times New Roman" w:hAnsi="Times New Roman" w:cs="Times New Roman"/>
          <w:sz w:val="24"/>
          <w:szCs w:val="24"/>
          <w:lang w:val="en-US"/>
        </w:rPr>
        <w:t xml:space="preserve">               </w:t>
      </w:r>
      <w:r w:rsidRPr="002C24A8">
        <w:rPr>
          <w:rFonts w:ascii="Times New Roman" w:hAnsi="Times New Roman" w:cs="Times New Roman"/>
          <w:sz w:val="24"/>
          <w:szCs w:val="24"/>
          <w:lang w:val="en-US"/>
        </w:rPr>
        <w:t>(8)</w:t>
      </w:r>
    </w:p>
    <w:p w14:paraId="7D660E36" w14:textId="237CF956" w:rsidR="00FF0E79" w:rsidRPr="002C24A8" w:rsidRDefault="00FF0E79" w:rsidP="00FF0E79">
      <w:pPr>
        <w:spacing w:after="0" w:line="480" w:lineRule="auto"/>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where </w:t>
      </w:r>
      <w:r w:rsidRPr="002C24A8">
        <w:rPr>
          <w:rFonts w:ascii="Times New Roman" w:hAnsi="Times New Roman" w:cs="Times New Roman"/>
          <w:sz w:val="24"/>
          <w:szCs w:val="24"/>
          <w:lang w:val="en-US"/>
        </w:rPr>
        <w:object w:dxaOrig="3640" w:dyaOrig="440" w14:anchorId="2FC7942B">
          <v:shape id="_x0000_i1032" type="#_x0000_t75" style="width:184pt;height:22.5pt" o:ole="">
            <v:imagedata r:id="rId20" o:title=""/>
          </v:shape>
          <o:OLEObject Type="Embed" ProgID="Equation.DSMT4" ShapeID="_x0000_i1032" DrawAspect="Content" ObjectID="_1625424705" r:id="rId21"/>
        </w:object>
      </w:r>
      <w:r w:rsidRPr="002C24A8">
        <w:rPr>
          <w:rFonts w:ascii="Times New Roman" w:hAnsi="Times New Roman" w:cs="Times New Roman"/>
          <w:sz w:val="24"/>
          <w:szCs w:val="24"/>
          <w:lang w:val="en-US"/>
        </w:rPr>
        <w:t xml:space="preserve">. Then the conditional output measure of efficiency facing the effect of </w:t>
      </w:r>
      <m:oMath>
        <m:r>
          <w:rPr>
            <w:rFonts w:ascii="Cambria Math" w:hAnsi="Cambria Math" w:cs="Times New Roman"/>
            <w:sz w:val="24"/>
            <w:szCs w:val="24"/>
            <w:lang w:val="en-US"/>
          </w:rPr>
          <m:t>Z=z</m:t>
        </m:r>
      </m:oMath>
      <w:r w:rsidR="00104F87" w:rsidRPr="002C24A8">
        <w:rPr>
          <w:rFonts w:ascii="Times New Roman" w:hAnsi="Times New Roman" w:cs="Times New Roman"/>
          <w:sz w:val="24"/>
          <w:szCs w:val="24"/>
          <w:lang w:val="en-US"/>
        </w:rPr>
        <w:t xml:space="preserve"> </w:t>
      </w:r>
      <w:r w:rsidRPr="002C24A8">
        <w:rPr>
          <w:rFonts w:ascii="Times New Roman" w:hAnsi="Times New Roman" w:cs="Times New Roman"/>
          <w:sz w:val="24"/>
          <w:szCs w:val="24"/>
          <w:lang w:val="en-US"/>
        </w:rPr>
        <w:t>can be defined as</w:t>
      </w:r>
      <w:r w:rsidR="000B142E" w:rsidRPr="002C24A8">
        <w:rPr>
          <w:rFonts w:ascii="Times New Roman" w:hAnsi="Times New Roman" w:cs="Times New Roman"/>
          <w:sz w:val="24"/>
          <w:szCs w:val="24"/>
          <w:lang w:val="en-US"/>
        </w:rPr>
        <w:t>:</w:t>
      </w:r>
      <w:r w:rsidRPr="002C24A8">
        <w:rPr>
          <w:rFonts w:ascii="Times New Roman" w:hAnsi="Times New Roman" w:cs="Times New Roman"/>
          <w:sz w:val="24"/>
          <w:szCs w:val="24"/>
          <w:vertAlign w:val="superscript"/>
          <w:lang w:val="en-US"/>
        </w:rPr>
        <w:footnoteReference w:id="12"/>
      </w:r>
    </w:p>
    <w:p w14:paraId="4F3C3337" w14:textId="77777777" w:rsidR="00FF0E79" w:rsidRPr="002C24A8" w:rsidRDefault="00FE7251" w:rsidP="00FF0E79">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pict w14:anchorId="168C0413">
          <v:shape id="_x0000_i1033" type="#_x0000_t75" style="width:251pt;height:52pt">
            <v:imagedata r:id="rId22" o:title=""/>
          </v:shape>
        </w:pict>
      </w:r>
      <w:r w:rsidR="00FF0E79" w:rsidRPr="002C24A8">
        <w:rPr>
          <w:rFonts w:ascii="Times New Roman" w:hAnsi="Times New Roman" w:cs="Times New Roman"/>
          <w:sz w:val="24"/>
          <w:szCs w:val="24"/>
          <w:lang w:val="en-US"/>
        </w:rPr>
        <w:tab/>
      </w:r>
      <w:r w:rsidR="00FF0E79" w:rsidRPr="002C24A8">
        <w:rPr>
          <w:rFonts w:ascii="Times New Roman" w:hAnsi="Times New Roman" w:cs="Times New Roman"/>
          <w:sz w:val="24"/>
          <w:szCs w:val="24"/>
          <w:lang w:val="en-US"/>
        </w:rPr>
        <w:tab/>
      </w:r>
      <w:r w:rsidR="00FF0E79" w:rsidRPr="002C24A8">
        <w:rPr>
          <w:rFonts w:ascii="Times New Roman" w:hAnsi="Times New Roman" w:cs="Times New Roman"/>
          <w:sz w:val="24"/>
          <w:szCs w:val="24"/>
          <w:lang w:val="en-US"/>
        </w:rPr>
        <w:tab/>
      </w:r>
      <w:r w:rsidR="00FF0E79" w:rsidRPr="002C24A8">
        <w:rPr>
          <w:rFonts w:ascii="Times New Roman" w:hAnsi="Times New Roman" w:cs="Times New Roman"/>
          <w:sz w:val="24"/>
          <w:szCs w:val="24"/>
          <w:lang w:val="en-US"/>
        </w:rPr>
        <w:tab/>
      </w:r>
      <w:r w:rsidR="00FF0E79" w:rsidRPr="002C24A8">
        <w:rPr>
          <w:rFonts w:ascii="Times New Roman" w:hAnsi="Times New Roman" w:cs="Times New Roman"/>
          <w:sz w:val="24"/>
          <w:szCs w:val="24"/>
          <w:lang w:val="en-US"/>
        </w:rPr>
        <w:tab/>
      </w:r>
      <w:r w:rsidR="00287C6E" w:rsidRPr="002C24A8">
        <w:rPr>
          <w:rFonts w:ascii="Times New Roman" w:hAnsi="Times New Roman" w:cs="Times New Roman"/>
          <w:sz w:val="24"/>
          <w:szCs w:val="24"/>
          <w:lang w:val="en-US"/>
        </w:rPr>
        <w:tab/>
        <w:t xml:space="preserve">    </w:t>
      </w:r>
      <w:r w:rsidR="00FF0E79" w:rsidRPr="002C24A8">
        <w:rPr>
          <w:rFonts w:ascii="Times New Roman" w:hAnsi="Times New Roman" w:cs="Times New Roman"/>
          <w:sz w:val="24"/>
          <w:szCs w:val="24"/>
          <w:lang w:val="en-US"/>
        </w:rPr>
        <w:t>(9)</w:t>
      </w:r>
    </w:p>
    <w:p w14:paraId="538599B9" w14:textId="6AD0DF35" w:rsidR="00FF0E79" w:rsidRPr="002C24A8" w:rsidRDefault="00FF0E79" w:rsidP="00FF0E79">
      <w:pPr>
        <w:spacing w:after="0" w:line="480" w:lineRule="auto"/>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Mastroma</w:t>
      </w:r>
      <w:r w:rsidR="00287C6E" w:rsidRPr="002C24A8">
        <w:rPr>
          <w:rFonts w:ascii="Times New Roman" w:hAnsi="Times New Roman" w:cs="Times New Roman"/>
          <w:sz w:val="24"/>
          <w:szCs w:val="24"/>
          <w:lang w:val="en-US"/>
        </w:rPr>
        <w:t>rco and Simar (2015</w:t>
      </w:r>
      <w:r w:rsidRPr="002C24A8">
        <w:rPr>
          <w:rFonts w:ascii="Times New Roman" w:hAnsi="Times New Roman" w:cs="Times New Roman"/>
          <w:sz w:val="24"/>
          <w:szCs w:val="24"/>
          <w:lang w:val="en-US"/>
        </w:rPr>
        <w:t xml:space="preserve">) suggest that in order to account for dynamic effects and thus to create time-dependent conditional efficiency </w:t>
      </w:r>
      <w:r w:rsidR="00287C6E" w:rsidRPr="002C24A8">
        <w:rPr>
          <w:rFonts w:ascii="Times New Roman" w:hAnsi="Times New Roman" w:cs="Times New Roman"/>
          <w:sz w:val="24"/>
          <w:szCs w:val="24"/>
          <w:lang w:val="en-US"/>
        </w:rPr>
        <w:t>measure</w:t>
      </w:r>
      <w:r w:rsidRPr="002C24A8">
        <w:rPr>
          <w:rFonts w:ascii="Times New Roman" w:hAnsi="Times New Roman" w:cs="Times New Roman"/>
          <w:sz w:val="24"/>
          <w:szCs w:val="24"/>
          <w:lang w:val="en-US"/>
        </w:rPr>
        <w:t xml:space="preserve">, we </w:t>
      </w:r>
      <w:r w:rsidR="000347FE" w:rsidRPr="002C24A8">
        <w:rPr>
          <w:rFonts w:ascii="Times New Roman" w:hAnsi="Times New Roman" w:cs="Times New Roman"/>
          <w:sz w:val="24"/>
          <w:szCs w:val="24"/>
          <w:lang w:val="en-US"/>
        </w:rPr>
        <w:t xml:space="preserve">also </w:t>
      </w:r>
      <w:r w:rsidR="00747281" w:rsidRPr="002C24A8">
        <w:rPr>
          <w:rFonts w:ascii="Times New Roman" w:hAnsi="Times New Roman" w:cs="Times New Roman"/>
          <w:sz w:val="24"/>
          <w:szCs w:val="24"/>
          <w:lang w:val="en-US"/>
        </w:rPr>
        <w:t>must</w:t>
      </w:r>
      <w:r w:rsidRPr="002C24A8">
        <w:rPr>
          <w:rFonts w:ascii="Times New Roman" w:hAnsi="Times New Roman" w:cs="Times New Roman"/>
          <w:sz w:val="24"/>
          <w:szCs w:val="24"/>
          <w:lang w:val="en-US"/>
        </w:rPr>
        <w:t xml:space="preserve"> add time</w:t>
      </w:r>
      <w:r w:rsidR="000B142E" w:rsidRPr="002C24A8">
        <w:rPr>
          <w:rFonts w:ascii="Times New Roman" w:hAnsi="Times New Roman" w:cs="Times New Roman"/>
          <w:sz w:val="24"/>
          <w:szCs w:val="24"/>
          <w:lang w:val="en-US"/>
        </w:rPr>
        <w:t>,</w:t>
      </w:r>
      <w:r w:rsidRPr="002C24A8">
        <w:rPr>
          <w:rFonts w:ascii="Times New Roman" w:hAnsi="Times New Roman" w:cs="Times New Roman"/>
          <w:sz w:val="24"/>
          <w:szCs w:val="24"/>
          <w:lang w:val="en-US"/>
        </w:rPr>
        <w:t xml:space="preserve"> </w:t>
      </w:r>
      <m:oMath>
        <m:r>
          <w:rPr>
            <w:rFonts w:ascii="Cambria Math" w:hAnsi="Cambria Math" w:cs="Times New Roman"/>
            <w:sz w:val="24"/>
            <w:szCs w:val="24"/>
            <w:lang w:val="en-US"/>
          </w:rPr>
          <m:t>T</m:t>
        </m:r>
      </m:oMath>
      <w:r w:rsidR="000B142E" w:rsidRPr="002C24A8">
        <w:rPr>
          <w:rFonts w:ascii="Times New Roman" w:eastAsiaTheme="minorEastAsia" w:hAnsi="Times New Roman" w:cs="Times New Roman"/>
          <w:sz w:val="24"/>
          <w:szCs w:val="24"/>
          <w:lang w:val="en-US"/>
        </w:rPr>
        <w:t xml:space="preserve">, </w:t>
      </w:r>
      <w:r w:rsidRPr="002C24A8">
        <w:rPr>
          <w:rFonts w:ascii="Times New Roman" w:hAnsi="Times New Roman" w:cs="Times New Roman"/>
          <w:sz w:val="24"/>
          <w:szCs w:val="24"/>
          <w:lang w:val="en-US"/>
        </w:rPr>
        <w:t xml:space="preserve">as an extra conditional variable. Then the conditional attainable set can be </w:t>
      </w:r>
      <w:r w:rsidR="00287C6E" w:rsidRPr="002C24A8">
        <w:rPr>
          <w:rFonts w:ascii="Times New Roman" w:hAnsi="Times New Roman" w:cs="Times New Roman"/>
          <w:sz w:val="24"/>
          <w:szCs w:val="24"/>
          <w:lang w:val="en-US"/>
        </w:rPr>
        <w:t>re-</w:t>
      </w:r>
      <w:r w:rsidRPr="002C24A8">
        <w:rPr>
          <w:rFonts w:ascii="Times New Roman" w:hAnsi="Times New Roman" w:cs="Times New Roman"/>
          <w:sz w:val="24"/>
          <w:szCs w:val="24"/>
          <w:lang w:val="en-US"/>
        </w:rPr>
        <w:t>defined as</w:t>
      </w:r>
      <w:r w:rsidRPr="002C24A8">
        <w:rPr>
          <w:rFonts w:ascii="Times New Roman" w:hAnsi="Times New Roman" w:cs="Times New Roman"/>
          <w:sz w:val="24"/>
          <w:szCs w:val="24"/>
          <w:lang w:val="en-US"/>
        </w:rPr>
        <w:object w:dxaOrig="4099" w:dyaOrig="480" w14:anchorId="14850733">
          <v:shape id="_x0000_i1034" type="#_x0000_t75" style="width:206pt;height:25pt" o:ole="">
            <v:imagedata r:id="rId23" o:title=""/>
          </v:shape>
          <o:OLEObject Type="Embed" ProgID="Equation.DSMT4" ShapeID="_x0000_i1034" DrawAspect="Content" ObjectID="_1625424706" r:id="rId24"/>
        </w:object>
      </w:r>
      <w:r w:rsidRPr="002C24A8">
        <w:rPr>
          <w:rFonts w:ascii="Times New Roman" w:hAnsi="Times New Roman" w:cs="Times New Roman"/>
          <w:sz w:val="24"/>
          <w:szCs w:val="24"/>
          <w:lang w:val="en-US"/>
        </w:rPr>
        <w:t xml:space="preserve">, where </w:t>
      </w:r>
      <w:r w:rsidRPr="002C24A8">
        <w:rPr>
          <w:rFonts w:ascii="Times New Roman" w:hAnsi="Times New Roman" w:cs="Times New Roman"/>
          <w:sz w:val="24"/>
          <w:szCs w:val="24"/>
          <w:lang w:val="en-US"/>
        </w:rPr>
        <w:object w:dxaOrig="1660" w:dyaOrig="380" w14:anchorId="4E71EF24">
          <v:shape id="_x0000_i1035" type="#_x0000_t75" style="width:82pt;height:20pt" o:ole="">
            <v:imagedata r:id="rId25" o:title=""/>
          </v:shape>
          <o:OLEObject Type="Embed" ProgID="Equation.DSMT4" ShapeID="_x0000_i1035" DrawAspect="Content" ObjectID="_1625424707" r:id="rId26"/>
        </w:object>
      </w:r>
      <w:r w:rsidRPr="002C24A8">
        <w:rPr>
          <w:rFonts w:ascii="Times New Roman" w:hAnsi="Times New Roman" w:cs="Times New Roman"/>
          <w:sz w:val="24"/>
          <w:szCs w:val="24"/>
          <w:lang w:val="en-US"/>
        </w:rPr>
        <w:t xml:space="preserve">  and its distribution can be </w:t>
      </w:r>
      <w:r w:rsidR="00287C6E" w:rsidRPr="002C24A8">
        <w:rPr>
          <w:rFonts w:ascii="Times New Roman" w:hAnsi="Times New Roman" w:cs="Times New Roman"/>
          <w:sz w:val="24"/>
          <w:szCs w:val="24"/>
          <w:lang w:val="en-US"/>
        </w:rPr>
        <w:t>characterized</w:t>
      </w:r>
      <w:r w:rsidRPr="002C24A8">
        <w:rPr>
          <w:rFonts w:ascii="Times New Roman" w:hAnsi="Times New Roman" w:cs="Times New Roman"/>
          <w:sz w:val="24"/>
          <w:szCs w:val="24"/>
          <w:lang w:val="en-US"/>
        </w:rPr>
        <w:t xml:space="preserve"> as:</w:t>
      </w:r>
    </w:p>
    <w:p w14:paraId="476738C1" w14:textId="77777777" w:rsidR="00287C6E" w:rsidRPr="002C24A8" w:rsidRDefault="00FE7251" w:rsidP="00FF0E79">
      <w:pPr>
        <w:spacing w:after="0" w:line="480" w:lineRule="auto"/>
        <w:jc w:val="both"/>
        <w:rPr>
          <w:rFonts w:ascii="Times New Roman" w:hAnsi="Times New Roman" w:cs="Times New Roman"/>
          <w:sz w:val="24"/>
          <w:szCs w:val="24"/>
          <w:lang w:val="en-US"/>
        </w:rPr>
      </w:pP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H</m:t>
            </m:r>
          </m:e>
          <m:sup>
            <m:r>
              <w:rPr>
                <w:rFonts w:ascii="Cambria Math" w:hAnsi="Cambria Math" w:cs="Times New Roman"/>
                <w:sz w:val="24"/>
                <w:szCs w:val="24"/>
                <w:lang w:val="en-US"/>
              </w:rPr>
              <m:t>t</m:t>
            </m:r>
          </m:sup>
        </m:sSup>
        <m:d>
          <m:dPr>
            <m:ctrlPr>
              <w:rPr>
                <w:rFonts w:ascii="Cambria Math" w:hAnsi="Cambria Math" w:cs="Times New Roman"/>
                <w:i/>
                <w:sz w:val="24"/>
                <w:szCs w:val="24"/>
                <w:lang w:val="en-US"/>
              </w:rPr>
            </m:ctrlPr>
          </m:dPr>
          <m:e>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x,y</m:t>
                </m:r>
              </m:e>
            </m:d>
            <m:r>
              <w:rPr>
                <w:rFonts w:ascii="Cambria Math" w:hAnsi="Cambria Math" w:cs="Times New Roman"/>
                <w:sz w:val="24"/>
                <w:szCs w:val="24"/>
                <w:lang w:val="en-US"/>
              </w:rPr>
              <m:t>z</m:t>
            </m:r>
          </m:e>
        </m:d>
        <m:r>
          <w:rPr>
            <w:rFonts w:ascii="Cambria Math" w:hAnsi="Cambria Math" w:cs="Times New Roman"/>
            <w:sz w:val="24"/>
            <w:szCs w:val="24"/>
            <w:lang w:val="en-US"/>
          </w:rPr>
          <m:t>=</m:t>
        </m:r>
        <m:r>
          <m:rPr>
            <m:sty m:val="p"/>
          </m:rPr>
          <w:rPr>
            <w:rFonts w:ascii="Cambria Math" w:hAnsi="Cambria Math" w:cs="Times New Roman"/>
            <w:sz w:val="24"/>
            <w:szCs w:val="24"/>
            <w:lang w:val="en-US"/>
          </w:rPr>
          <m:t>Prob</m:t>
        </m:r>
        <m:d>
          <m:dPr>
            <m:ctrlPr>
              <w:rPr>
                <w:rFonts w:ascii="Cambria Math" w:hAnsi="Cambria Math" w:cs="Times New Roman"/>
                <w:sz w:val="24"/>
                <w:szCs w:val="24"/>
                <w:lang w:val="en-US"/>
              </w:rPr>
            </m:ctrlPr>
          </m:dPr>
          <m:e>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X≤x,Y≥y</m:t>
                </m:r>
              </m:e>
            </m:d>
            <m:r>
              <w:rPr>
                <w:rFonts w:ascii="Cambria Math" w:hAnsi="Cambria Math" w:cs="Times New Roman"/>
                <w:sz w:val="24"/>
                <w:szCs w:val="24"/>
                <w:lang w:val="en-US"/>
              </w:rPr>
              <m:t>Z=z,T=t</m:t>
            </m:r>
          </m:e>
        </m:d>
        <m:r>
          <w:rPr>
            <w:rFonts w:ascii="Cambria Math" w:hAnsi="Cambria Math" w:cs="Times New Roman"/>
            <w:sz w:val="24"/>
            <w:szCs w:val="24"/>
            <w:lang w:val="en-US"/>
          </w:rPr>
          <m:t>.</m:t>
        </m:r>
      </m:oMath>
      <w:r w:rsidR="00287C6E" w:rsidRPr="002C24A8">
        <w:rPr>
          <w:rFonts w:ascii="Times New Roman" w:eastAsiaTheme="minorEastAsia" w:hAnsi="Times New Roman" w:cs="Times New Roman"/>
          <w:sz w:val="24"/>
          <w:szCs w:val="24"/>
          <w:lang w:val="en-US"/>
        </w:rPr>
        <w:t xml:space="preserve"> </w:t>
      </w:r>
      <w:r w:rsidR="00287C6E" w:rsidRPr="002C24A8">
        <w:rPr>
          <w:rFonts w:ascii="Times New Roman" w:eastAsiaTheme="minorEastAsia" w:hAnsi="Times New Roman" w:cs="Times New Roman"/>
          <w:sz w:val="24"/>
          <w:szCs w:val="24"/>
          <w:lang w:val="en-US"/>
        </w:rPr>
        <w:tab/>
      </w:r>
      <w:r w:rsidR="00287C6E" w:rsidRPr="002C24A8">
        <w:rPr>
          <w:rFonts w:ascii="Times New Roman" w:eastAsiaTheme="minorEastAsia" w:hAnsi="Times New Roman" w:cs="Times New Roman"/>
          <w:sz w:val="24"/>
          <w:szCs w:val="24"/>
          <w:lang w:val="en-US"/>
        </w:rPr>
        <w:tab/>
      </w:r>
      <w:r w:rsidR="00287C6E" w:rsidRPr="002C24A8">
        <w:rPr>
          <w:rFonts w:ascii="Times New Roman" w:eastAsiaTheme="minorEastAsia" w:hAnsi="Times New Roman" w:cs="Times New Roman"/>
          <w:sz w:val="24"/>
          <w:szCs w:val="24"/>
          <w:lang w:val="en-US"/>
        </w:rPr>
        <w:tab/>
      </w:r>
      <w:r w:rsidR="00287C6E" w:rsidRPr="002C24A8">
        <w:rPr>
          <w:rFonts w:ascii="Times New Roman" w:eastAsiaTheme="minorEastAsia" w:hAnsi="Times New Roman" w:cs="Times New Roman"/>
          <w:sz w:val="24"/>
          <w:szCs w:val="24"/>
          <w:lang w:val="en-US"/>
        </w:rPr>
        <w:tab/>
      </w:r>
      <w:r w:rsidR="00287C6E" w:rsidRPr="002C24A8">
        <w:rPr>
          <w:rFonts w:ascii="Times New Roman" w:eastAsiaTheme="minorEastAsia" w:hAnsi="Times New Roman" w:cs="Times New Roman"/>
          <w:sz w:val="24"/>
          <w:szCs w:val="24"/>
          <w:lang w:val="en-US"/>
        </w:rPr>
        <w:tab/>
      </w:r>
      <w:r w:rsidR="00287C6E" w:rsidRPr="002C24A8">
        <w:rPr>
          <w:rFonts w:ascii="Times New Roman" w:eastAsiaTheme="minorEastAsia" w:hAnsi="Times New Roman" w:cs="Times New Roman"/>
          <w:sz w:val="24"/>
          <w:szCs w:val="24"/>
          <w:lang w:val="en-US"/>
        </w:rPr>
        <w:tab/>
        <w:t>(10)</w:t>
      </w:r>
    </w:p>
    <w:p w14:paraId="5DF92931" w14:textId="0C761589" w:rsidR="00FF0E79" w:rsidRPr="002C24A8" w:rsidRDefault="00163BB9" w:rsidP="00FF0E79">
      <w:pPr>
        <w:spacing w:after="0" w:line="480" w:lineRule="auto"/>
        <w:ind w:firstLine="72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Thus,</w:t>
      </w:r>
      <w:r w:rsidR="000347FE" w:rsidRPr="002C24A8">
        <w:rPr>
          <w:rFonts w:ascii="Times New Roman" w:hAnsi="Times New Roman" w:cs="Times New Roman"/>
          <w:sz w:val="24"/>
          <w:szCs w:val="24"/>
          <w:lang w:val="en-US"/>
        </w:rPr>
        <w:t xml:space="preserve"> </w:t>
      </w:r>
      <w:r w:rsidR="00FF0E79" w:rsidRPr="002C24A8">
        <w:rPr>
          <w:rFonts w:ascii="Times New Roman" w:hAnsi="Times New Roman" w:cs="Times New Roman"/>
          <w:sz w:val="24"/>
          <w:szCs w:val="24"/>
          <w:lang w:val="en-US"/>
        </w:rPr>
        <w:t xml:space="preserve">a </w:t>
      </w:r>
      <w:r w:rsidR="009E4189" w:rsidRPr="002C24A8">
        <w:rPr>
          <w:rFonts w:ascii="Times New Roman" w:hAnsi="Times New Roman" w:cs="Times New Roman"/>
          <w:sz w:val="24"/>
          <w:szCs w:val="24"/>
          <w:lang w:val="en-US"/>
        </w:rPr>
        <w:t>firm</w:t>
      </w:r>
      <w:r w:rsidR="00FF0E79" w:rsidRPr="002C24A8">
        <w:rPr>
          <w:rFonts w:ascii="Times New Roman" w:hAnsi="Times New Roman" w:cs="Times New Roman"/>
          <w:sz w:val="24"/>
          <w:szCs w:val="24"/>
          <w:lang w:val="en-US"/>
        </w:rPr>
        <w:t xml:space="preserve">’s conditional </w:t>
      </w:r>
      <w:r w:rsidRPr="002C24A8">
        <w:rPr>
          <w:rFonts w:ascii="Times New Roman" w:hAnsi="Times New Roman" w:cs="Times New Roman"/>
          <w:sz w:val="24"/>
          <w:szCs w:val="24"/>
          <w:lang w:val="en-US"/>
        </w:rPr>
        <w:t>output-oriented</w:t>
      </w:r>
      <w:r w:rsidR="00FF0E79" w:rsidRPr="002C24A8">
        <w:rPr>
          <w:rFonts w:ascii="Times New Roman" w:hAnsi="Times New Roman" w:cs="Times New Roman"/>
          <w:sz w:val="24"/>
          <w:szCs w:val="24"/>
          <w:lang w:val="en-US"/>
        </w:rPr>
        <w:t xml:space="preserve"> efficiency measure at level </w:t>
      </w:r>
      <w:r w:rsidR="00FF0E79" w:rsidRPr="002C24A8">
        <w:rPr>
          <w:rFonts w:ascii="Times New Roman" w:hAnsi="Times New Roman" w:cs="Times New Roman"/>
          <w:sz w:val="24"/>
          <w:szCs w:val="24"/>
          <w:lang w:val="en-US"/>
        </w:rPr>
        <w:object w:dxaOrig="1120" w:dyaOrig="400" w14:anchorId="03F01A17">
          <v:shape id="_x0000_i1036" type="#_x0000_t75" style="width:57pt;height:20pt" o:ole="">
            <v:imagedata r:id="rId27" o:title=""/>
          </v:shape>
          <o:OLEObject Type="Embed" ProgID="Equation.DSMT4" ShapeID="_x0000_i1036" DrawAspect="Content" ObjectID="_1625424708" r:id="rId28"/>
        </w:object>
      </w:r>
      <w:r w:rsidR="00FF0E79" w:rsidRPr="002C24A8">
        <w:rPr>
          <w:rFonts w:ascii="Times New Roman" w:hAnsi="Times New Roman" w:cs="Times New Roman"/>
          <w:sz w:val="24"/>
          <w:szCs w:val="24"/>
          <w:lang w:val="en-US"/>
        </w:rPr>
        <w:t xml:space="preserve"> at time </w:t>
      </w:r>
      <w:r w:rsidR="00FE7251">
        <w:rPr>
          <w:rFonts w:ascii="Times New Roman" w:hAnsi="Times New Roman" w:cs="Times New Roman"/>
          <w:sz w:val="24"/>
          <w:szCs w:val="24"/>
          <w:lang w:val="en-US"/>
        </w:rPr>
        <w:pict w14:anchorId="2D2587F3">
          <v:shape id="_x0000_i1037" type="#_x0000_t75" style="width:7.5pt;height:10pt">
            <v:imagedata r:id="rId29" o:title=""/>
          </v:shape>
        </w:pict>
      </w:r>
      <w:r w:rsidR="00FF0E79" w:rsidRPr="002C24A8">
        <w:rPr>
          <w:rFonts w:ascii="Times New Roman" w:hAnsi="Times New Roman" w:cs="Times New Roman"/>
          <w:sz w:val="24"/>
          <w:szCs w:val="24"/>
          <w:lang w:val="en-US"/>
        </w:rPr>
        <w:t xml:space="preserve"> facing the effect of </w:t>
      </w:r>
      <w:r w:rsidR="009E4189" w:rsidRPr="002C24A8">
        <w:rPr>
          <w:rFonts w:ascii="Times New Roman" w:hAnsi="Times New Roman" w:cs="Times New Roman"/>
          <w:sz w:val="24"/>
          <w:szCs w:val="24"/>
          <w:lang w:val="en-US"/>
        </w:rPr>
        <w:t>ESG criteria</w:t>
      </w:r>
      <w:r w:rsidR="00FF0E79" w:rsidRPr="002C24A8">
        <w:rPr>
          <w:rFonts w:ascii="Times New Roman" w:hAnsi="Times New Roman" w:cs="Times New Roman"/>
          <w:sz w:val="24"/>
          <w:szCs w:val="24"/>
          <w:lang w:val="en-US"/>
        </w:rPr>
        <w:t xml:space="preserve"> </w:t>
      </w:r>
      <w:r w:rsidR="00FE7251">
        <w:rPr>
          <w:rFonts w:ascii="Times New Roman" w:hAnsi="Times New Roman" w:cs="Times New Roman"/>
          <w:sz w:val="24"/>
          <w:szCs w:val="24"/>
          <w:lang w:val="en-US"/>
        </w:rPr>
        <w:pict w14:anchorId="13DD3379">
          <v:shape id="_x0000_i1038" type="#_x0000_t75" style="width:10pt;height:10pt">
            <v:imagedata r:id="rId30" o:title=""/>
          </v:shape>
        </w:pict>
      </w:r>
      <w:r w:rsidR="00FF0E79" w:rsidRPr="002C24A8">
        <w:rPr>
          <w:rFonts w:ascii="Times New Roman" w:hAnsi="Times New Roman" w:cs="Times New Roman"/>
          <w:sz w:val="24"/>
          <w:szCs w:val="24"/>
          <w:lang w:val="en-US"/>
        </w:rPr>
        <w:t xml:space="preserve"> can be defined as</w:t>
      </w:r>
      <w:r w:rsidR="000B142E" w:rsidRPr="002C24A8">
        <w:rPr>
          <w:rFonts w:ascii="Times New Roman" w:hAnsi="Times New Roman" w:cs="Times New Roman"/>
          <w:sz w:val="24"/>
          <w:szCs w:val="24"/>
          <w:lang w:val="en-US"/>
        </w:rPr>
        <w:t>:</w:t>
      </w:r>
      <w:r w:rsidR="009E4189" w:rsidRPr="002C24A8">
        <w:rPr>
          <w:rStyle w:val="FootnoteReference"/>
          <w:rFonts w:ascii="Times New Roman" w:hAnsi="Times New Roman" w:cs="Times New Roman"/>
          <w:sz w:val="24"/>
          <w:szCs w:val="24"/>
          <w:lang w:val="en-US"/>
        </w:rPr>
        <w:footnoteReference w:id="13"/>
      </w:r>
    </w:p>
    <w:p w14:paraId="3AAE17EA" w14:textId="77777777" w:rsidR="00FF0E79" w:rsidRPr="002C24A8" w:rsidRDefault="00FF0E79" w:rsidP="00FF0E79">
      <w:pPr>
        <w:spacing w:after="0" w:line="480" w:lineRule="auto"/>
        <w:ind w:firstLine="72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object w:dxaOrig="5580" w:dyaOrig="1040" w14:anchorId="280C534B">
          <v:shape id="_x0000_i1039" type="#_x0000_t75" style="width:280pt;height:52pt" o:ole="">
            <v:imagedata r:id="rId31" o:title=""/>
          </v:shape>
          <o:OLEObject Type="Embed" ProgID="Equation.DSMT4" ShapeID="_x0000_i1039" DrawAspect="Content" ObjectID="_1625424709" r:id="rId32"/>
        </w:object>
      </w:r>
      <w:r w:rsidRPr="002C24A8">
        <w:rPr>
          <w:rFonts w:ascii="Times New Roman" w:hAnsi="Times New Roman" w:cs="Times New Roman"/>
          <w:sz w:val="24"/>
          <w:szCs w:val="24"/>
          <w:lang w:val="en-US"/>
        </w:rPr>
        <w:tab/>
      </w:r>
      <w:r w:rsidRPr="002C24A8">
        <w:rPr>
          <w:rFonts w:ascii="Times New Roman" w:hAnsi="Times New Roman" w:cs="Times New Roman"/>
          <w:sz w:val="24"/>
          <w:szCs w:val="24"/>
          <w:lang w:val="en-US"/>
        </w:rPr>
        <w:tab/>
        <w:t xml:space="preserve">           </w:t>
      </w:r>
      <w:r w:rsidR="00104F87" w:rsidRPr="002C24A8">
        <w:rPr>
          <w:rFonts w:ascii="Times New Roman" w:hAnsi="Times New Roman" w:cs="Times New Roman"/>
          <w:sz w:val="24"/>
          <w:szCs w:val="24"/>
          <w:lang w:val="en-US"/>
        </w:rPr>
        <w:tab/>
      </w:r>
      <w:r w:rsidR="00104F87" w:rsidRPr="002C24A8">
        <w:rPr>
          <w:rFonts w:ascii="Times New Roman" w:hAnsi="Times New Roman" w:cs="Times New Roman"/>
          <w:sz w:val="24"/>
          <w:szCs w:val="24"/>
          <w:lang w:val="en-US"/>
        </w:rPr>
        <w:tab/>
      </w:r>
      <w:r w:rsidRPr="002C24A8">
        <w:rPr>
          <w:rFonts w:ascii="Times New Roman" w:hAnsi="Times New Roman" w:cs="Times New Roman"/>
          <w:sz w:val="24"/>
          <w:szCs w:val="24"/>
          <w:lang w:val="en-US"/>
        </w:rPr>
        <w:t>(11)</w:t>
      </w:r>
    </w:p>
    <w:p w14:paraId="46038C5C" w14:textId="77777777" w:rsidR="000B142E" w:rsidRPr="002C24A8" w:rsidRDefault="00FF0E79" w:rsidP="00FF0E79">
      <w:pPr>
        <w:spacing w:after="0" w:line="480" w:lineRule="auto"/>
        <w:ind w:firstLine="72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where </w:t>
      </w:r>
    </w:p>
    <w:p w14:paraId="43D8410D" w14:textId="4AC47853" w:rsidR="00FF0E79" w:rsidRPr="002C24A8" w:rsidRDefault="00FE7251" w:rsidP="00FF0E79">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pict w14:anchorId="7BE42FC5">
          <v:shape id="_x0000_i1040" type="#_x0000_t75" style="width:228.5pt;height:22.5pt">
            <v:imagedata r:id="rId33" o:title=""/>
          </v:shape>
        </w:pict>
      </w:r>
      <w:r w:rsidR="00FF0E79" w:rsidRPr="002C24A8">
        <w:rPr>
          <w:rFonts w:ascii="Times New Roman" w:hAnsi="Times New Roman" w:cs="Times New Roman"/>
          <w:sz w:val="24"/>
          <w:szCs w:val="24"/>
          <w:lang w:val="en-US"/>
        </w:rPr>
        <w:t xml:space="preserve">.  </w:t>
      </w:r>
      <w:r w:rsidR="00FF0E79" w:rsidRPr="002C24A8">
        <w:rPr>
          <w:rFonts w:ascii="Times New Roman" w:hAnsi="Times New Roman" w:cs="Times New Roman"/>
          <w:sz w:val="24"/>
          <w:szCs w:val="24"/>
          <w:lang w:val="en-US"/>
        </w:rPr>
        <w:tab/>
      </w:r>
      <w:r w:rsidR="00FF0E79" w:rsidRPr="002C24A8">
        <w:rPr>
          <w:rFonts w:ascii="Times New Roman" w:hAnsi="Times New Roman" w:cs="Times New Roman"/>
          <w:sz w:val="24"/>
          <w:szCs w:val="24"/>
          <w:lang w:val="en-US"/>
        </w:rPr>
        <w:tab/>
      </w:r>
      <w:r w:rsidR="00FF0E79" w:rsidRPr="002C24A8">
        <w:rPr>
          <w:rFonts w:ascii="Times New Roman" w:hAnsi="Times New Roman" w:cs="Times New Roman"/>
          <w:sz w:val="24"/>
          <w:szCs w:val="24"/>
          <w:lang w:val="en-US"/>
        </w:rPr>
        <w:tab/>
      </w:r>
      <w:r w:rsidR="000B142E" w:rsidRPr="002C24A8">
        <w:rPr>
          <w:rFonts w:ascii="Times New Roman" w:hAnsi="Times New Roman" w:cs="Times New Roman"/>
          <w:sz w:val="24"/>
          <w:szCs w:val="24"/>
          <w:lang w:val="en-US"/>
        </w:rPr>
        <w:t xml:space="preserve">    </w:t>
      </w:r>
      <w:r w:rsidR="00104F87" w:rsidRPr="002C24A8">
        <w:rPr>
          <w:rFonts w:ascii="Times New Roman" w:hAnsi="Times New Roman" w:cs="Times New Roman"/>
          <w:sz w:val="24"/>
          <w:szCs w:val="24"/>
          <w:lang w:val="en-US"/>
        </w:rPr>
        <w:tab/>
      </w:r>
      <w:r w:rsidR="000B142E" w:rsidRPr="002C24A8">
        <w:rPr>
          <w:rFonts w:ascii="Times New Roman" w:hAnsi="Times New Roman" w:cs="Times New Roman"/>
          <w:sz w:val="24"/>
          <w:szCs w:val="24"/>
          <w:lang w:val="en-US"/>
        </w:rPr>
        <w:t xml:space="preserve">            </w:t>
      </w:r>
      <w:r w:rsidR="00FF0E79" w:rsidRPr="002C24A8">
        <w:rPr>
          <w:rFonts w:ascii="Times New Roman" w:hAnsi="Times New Roman" w:cs="Times New Roman"/>
          <w:sz w:val="24"/>
          <w:szCs w:val="24"/>
          <w:lang w:val="en-US"/>
        </w:rPr>
        <w:t xml:space="preserve">(12)                             </w:t>
      </w:r>
    </w:p>
    <w:p w14:paraId="5A446FC8" w14:textId="42B91D41" w:rsidR="00FF0E79" w:rsidRPr="002C24A8" w:rsidRDefault="00FF0E79" w:rsidP="00FF0E79">
      <w:pPr>
        <w:spacing w:after="0" w:line="480" w:lineRule="auto"/>
        <w:ind w:firstLine="72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lastRenderedPageBreak/>
        <w:t xml:space="preserve">The estimation of </w:t>
      </w:r>
      <w:r w:rsidR="00104F87" w:rsidRPr="002C24A8">
        <w:rPr>
          <w:rFonts w:ascii="Times New Roman" w:hAnsi="Times New Roman" w:cs="Times New Roman"/>
          <w:sz w:val="24"/>
          <w:szCs w:val="24"/>
          <w:lang w:val="en-US"/>
        </w:rPr>
        <w:t>firms</w:t>
      </w:r>
      <w:r w:rsidRPr="002C24A8">
        <w:rPr>
          <w:rFonts w:ascii="Times New Roman" w:hAnsi="Times New Roman" w:cs="Times New Roman"/>
          <w:sz w:val="24"/>
          <w:szCs w:val="24"/>
          <w:lang w:val="en-US"/>
        </w:rPr>
        <w:t>’ efficiency measure</w:t>
      </w:r>
      <w:r w:rsidR="00104F87" w:rsidRPr="002C24A8">
        <w:rPr>
          <w:rFonts w:ascii="Times New Roman" w:hAnsi="Times New Roman" w:cs="Times New Roman"/>
          <w:sz w:val="24"/>
          <w:szCs w:val="24"/>
          <w:lang w:val="en-US"/>
        </w:rPr>
        <w:t xml:space="preserve">s </w:t>
      </w:r>
      <w:r w:rsidR="000347FE" w:rsidRPr="002C24A8">
        <w:rPr>
          <w:rFonts w:ascii="Times New Roman" w:hAnsi="Times New Roman" w:cs="Times New Roman"/>
          <w:sz w:val="24"/>
          <w:szCs w:val="24"/>
          <w:lang w:val="en-US"/>
        </w:rPr>
        <w:t xml:space="preserve">is </w:t>
      </w:r>
      <w:r w:rsidRPr="002C24A8">
        <w:rPr>
          <w:rFonts w:ascii="Times New Roman" w:hAnsi="Times New Roman" w:cs="Times New Roman"/>
          <w:sz w:val="24"/>
          <w:szCs w:val="24"/>
          <w:lang w:val="en-US"/>
        </w:rPr>
        <w:t xml:space="preserve">obtained </w:t>
      </w:r>
      <w:r w:rsidR="000B142E" w:rsidRPr="002C24A8">
        <w:rPr>
          <w:rFonts w:ascii="Times New Roman" w:hAnsi="Times New Roman" w:cs="Times New Roman"/>
          <w:sz w:val="24"/>
          <w:szCs w:val="24"/>
          <w:lang w:val="en-US"/>
        </w:rPr>
        <w:t>using data envelopment analysis (</w:t>
      </w:r>
      <w:r w:rsidRPr="002C24A8">
        <w:rPr>
          <w:rFonts w:ascii="Times New Roman" w:hAnsi="Times New Roman" w:cs="Times New Roman"/>
          <w:sz w:val="24"/>
          <w:szCs w:val="24"/>
          <w:lang w:val="en-US"/>
        </w:rPr>
        <w:t>DEA</w:t>
      </w:r>
      <w:r w:rsidR="000B142E" w:rsidRPr="002C24A8">
        <w:rPr>
          <w:rFonts w:ascii="Times New Roman" w:hAnsi="Times New Roman" w:cs="Times New Roman"/>
          <w:sz w:val="24"/>
          <w:szCs w:val="24"/>
          <w:lang w:val="en-US"/>
        </w:rPr>
        <w:t>)</w:t>
      </w:r>
      <w:r w:rsidRPr="002C24A8">
        <w:rPr>
          <w:rFonts w:ascii="Times New Roman" w:hAnsi="Times New Roman" w:cs="Times New Roman"/>
          <w:sz w:val="24"/>
          <w:szCs w:val="24"/>
          <w:lang w:val="en-US"/>
        </w:rPr>
        <w:t xml:space="preserve"> estimators</w:t>
      </w:r>
      <w:r w:rsidR="000B142E" w:rsidRPr="002C24A8">
        <w:rPr>
          <w:rFonts w:ascii="Times New Roman" w:hAnsi="Times New Roman" w:cs="Times New Roman"/>
          <w:sz w:val="24"/>
          <w:szCs w:val="24"/>
          <w:lang w:val="en-US"/>
        </w:rPr>
        <w:t>.</w:t>
      </w:r>
      <w:r w:rsidRPr="002C24A8">
        <w:rPr>
          <w:rFonts w:ascii="Times New Roman" w:hAnsi="Times New Roman" w:cs="Times New Roman"/>
          <w:sz w:val="24"/>
          <w:szCs w:val="24"/>
          <w:vertAlign w:val="superscript"/>
          <w:lang w:val="en-US"/>
        </w:rPr>
        <w:footnoteReference w:id="14"/>
      </w:r>
      <w:r w:rsidRPr="002C24A8">
        <w:rPr>
          <w:rFonts w:ascii="Times New Roman" w:hAnsi="Times New Roman" w:cs="Times New Roman"/>
          <w:sz w:val="24"/>
          <w:szCs w:val="24"/>
          <w:lang w:val="en-US"/>
        </w:rPr>
        <w:t xml:space="preserve"> Moreover, in order to </w:t>
      </w:r>
      <w:r w:rsidR="000B142E" w:rsidRPr="002C24A8">
        <w:rPr>
          <w:rFonts w:ascii="Times New Roman" w:hAnsi="Times New Roman" w:cs="Times New Roman"/>
          <w:sz w:val="24"/>
          <w:szCs w:val="24"/>
          <w:lang w:val="en-US"/>
        </w:rPr>
        <w:t xml:space="preserve">take account of </w:t>
      </w:r>
      <w:r w:rsidR="00104F87" w:rsidRPr="002C24A8">
        <w:rPr>
          <w:rFonts w:ascii="Times New Roman" w:hAnsi="Times New Roman" w:cs="Times New Roman"/>
          <w:sz w:val="24"/>
          <w:szCs w:val="24"/>
          <w:lang w:val="en-US"/>
        </w:rPr>
        <w:t>firms’ scale effects in our efficiency estimations</w:t>
      </w:r>
      <w:r w:rsidR="000B142E" w:rsidRPr="002C24A8">
        <w:rPr>
          <w:rFonts w:ascii="Times New Roman" w:hAnsi="Times New Roman" w:cs="Times New Roman"/>
          <w:sz w:val="24"/>
          <w:szCs w:val="24"/>
          <w:lang w:val="en-US"/>
        </w:rPr>
        <w:t>,</w:t>
      </w:r>
      <w:r w:rsidR="00104F87" w:rsidRPr="002C24A8">
        <w:rPr>
          <w:rFonts w:ascii="Times New Roman" w:hAnsi="Times New Roman" w:cs="Times New Roman"/>
          <w:sz w:val="24"/>
          <w:szCs w:val="24"/>
          <w:lang w:val="en-US"/>
        </w:rPr>
        <w:t xml:space="preserve"> we impose the</w:t>
      </w:r>
      <w:r w:rsidRPr="002C24A8">
        <w:rPr>
          <w:rFonts w:ascii="Times New Roman" w:hAnsi="Times New Roman" w:cs="Times New Roman"/>
          <w:sz w:val="24"/>
          <w:szCs w:val="24"/>
          <w:lang w:val="en-US"/>
        </w:rPr>
        <w:t xml:space="preserve"> assumption of variable returns to scale (VRS). </w:t>
      </w:r>
      <w:r w:rsidR="000347FE" w:rsidRPr="002C24A8">
        <w:rPr>
          <w:rFonts w:ascii="Times New Roman" w:hAnsi="Times New Roman" w:cs="Times New Roman"/>
          <w:sz w:val="24"/>
          <w:szCs w:val="24"/>
          <w:lang w:val="en-US"/>
        </w:rPr>
        <w:t xml:space="preserve">To </w:t>
      </w:r>
      <w:r w:rsidRPr="002C24A8">
        <w:rPr>
          <w:rFonts w:ascii="Times New Roman" w:hAnsi="Times New Roman" w:cs="Times New Roman"/>
          <w:sz w:val="24"/>
          <w:szCs w:val="24"/>
          <w:lang w:val="en-US"/>
        </w:rPr>
        <w:t>construct</w:t>
      </w:r>
      <w:r w:rsidR="00A41368" w:rsidRPr="002C24A8">
        <w:rPr>
          <w:rFonts w:ascii="Times New Roman" w:hAnsi="Times New Roman" w:cs="Times New Roman"/>
          <w:sz w:val="24"/>
          <w:szCs w:val="24"/>
          <w:lang w:val="en-US"/>
        </w:rPr>
        <w:t xml:space="preserve"> </w:t>
      </w:r>
      <w:r w:rsidRPr="002C24A8">
        <w:rPr>
          <w:rFonts w:ascii="Times New Roman" w:hAnsi="Times New Roman" w:cs="Times New Roman"/>
          <w:sz w:val="24"/>
          <w:szCs w:val="24"/>
          <w:lang w:val="en-US"/>
        </w:rPr>
        <w:t>conditional estimates</w:t>
      </w:r>
      <w:r w:rsidR="000347FE" w:rsidRPr="002C24A8">
        <w:rPr>
          <w:rFonts w:ascii="Times New Roman" w:hAnsi="Times New Roman" w:cs="Times New Roman"/>
          <w:sz w:val="24"/>
          <w:szCs w:val="24"/>
          <w:lang w:val="en-US"/>
        </w:rPr>
        <w:t xml:space="preserve">, we need to apply </w:t>
      </w:r>
      <w:r w:rsidRPr="002C24A8">
        <w:rPr>
          <w:rFonts w:ascii="Times New Roman" w:hAnsi="Times New Roman" w:cs="Times New Roman"/>
          <w:sz w:val="24"/>
          <w:szCs w:val="24"/>
          <w:lang w:val="en-US"/>
        </w:rPr>
        <w:t xml:space="preserve">a localizing procedure </w:t>
      </w:r>
      <w:r w:rsidR="000347FE" w:rsidRPr="002C24A8">
        <w:rPr>
          <w:rFonts w:ascii="Times New Roman" w:hAnsi="Times New Roman" w:cs="Times New Roman"/>
          <w:sz w:val="24"/>
          <w:szCs w:val="24"/>
          <w:lang w:val="en-US"/>
        </w:rPr>
        <w:t xml:space="preserve">that </w:t>
      </w:r>
      <w:r w:rsidRPr="002C24A8">
        <w:rPr>
          <w:rFonts w:ascii="Times New Roman" w:hAnsi="Times New Roman" w:cs="Times New Roman"/>
          <w:sz w:val="24"/>
          <w:szCs w:val="24"/>
          <w:lang w:val="en-US"/>
        </w:rPr>
        <w:t>determin</w:t>
      </w:r>
      <w:r w:rsidR="000347FE" w:rsidRPr="002C24A8">
        <w:rPr>
          <w:rFonts w:ascii="Times New Roman" w:hAnsi="Times New Roman" w:cs="Times New Roman"/>
          <w:sz w:val="24"/>
          <w:szCs w:val="24"/>
          <w:lang w:val="en-US"/>
        </w:rPr>
        <w:t xml:space="preserve">es </w:t>
      </w:r>
      <w:r w:rsidRPr="002C24A8">
        <w:rPr>
          <w:rFonts w:ascii="Times New Roman" w:hAnsi="Times New Roman" w:cs="Times New Roman"/>
          <w:sz w:val="24"/>
          <w:szCs w:val="24"/>
          <w:lang w:val="en-US"/>
        </w:rPr>
        <w:t>the data points in a neighborhood of</w:t>
      </w:r>
      <w:r w:rsidR="00104F87" w:rsidRPr="002C24A8">
        <w:rPr>
          <w:rFonts w:ascii="Times New Roman" w:hAnsi="Times New Roman" w:cs="Times New Roman"/>
          <w:sz w:val="24"/>
          <w:szCs w:val="24"/>
          <w:lang w:val="en-US"/>
        </w:rPr>
        <w:t xml:space="preserve"> </w:t>
      </w:r>
      <m:oMath>
        <m:d>
          <m:dPr>
            <m:ctrlPr>
              <w:rPr>
                <w:rFonts w:ascii="Cambria Math" w:hAnsi="Cambria Math" w:cs="Times New Roman"/>
                <w:i/>
                <w:sz w:val="24"/>
                <w:szCs w:val="24"/>
                <w:lang w:val="en-US"/>
              </w:rPr>
            </m:ctrlPr>
          </m:dPr>
          <m:e>
            <m:r>
              <w:rPr>
                <w:rFonts w:ascii="Cambria Math" w:hAnsi="Cambria Math" w:cs="Times New Roman"/>
                <w:sz w:val="24"/>
                <w:szCs w:val="24"/>
                <w:lang w:val="en-US"/>
              </w:rPr>
              <m:t>z,t</m:t>
            </m:r>
          </m:e>
        </m:d>
      </m:oMath>
      <w:r w:rsidR="000B142E" w:rsidRPr="002C24A8">
        <w:rPr>
          <w:rFonts w:ascii="Times New Roman" w:eastAsiaTheme="minorEastAsia" w:hAnsi="Times New Roman" w:cs="Times New Roman"/>
          <w:sz w:val="24"/>
          <w:szCs w:val="24"/>
          <w:lang w:val="en-US"/>
        </w:rPr>
        <w:t>.</w:t>
      </w:r>
      <w:r w:rsidRPr="002C24A8">
        <w:rPr>
          <w:rFonts w:ascii="Times New Roman" w:hAnsi="Times New Roman" w:cs="Times New Roman"/>
          <w:sz w:val="24"/>
          <w:szCs w:val="24"/>
          <w:vertAlign w:val="superscript"/>
          <w:lang w:val="en-US"/>
        </w:rPr>
        <w:footnoteReference w:id="15"/>
      </w:r>
      <w:r w:rsidRPr="002C24A8">
        <w:rPr>
          <w:rFonts w:ascii="Times New Roman" w:hAnsi="Times New Roman" w:cs="Times New Roman"/>
          <w:sz w:val="24"/>
          <w:szCs w:val="24"/>
          <w:lang w:val="en-US"/>
        </w:rPr>
        <w:t xml:space="preserve"> </w:t>
      </w:r>
    </w:p>
    <w:p w14:paraId="0E812041" w14:textId="0CEBD44B" w:rsidR="00FF0E79" w:rsidRPr="002C24A8" w:rsidRDefault="000347FE" w:rsidP="00FF0E79">
      <w:pPr>
        <w:spacing w:after="0" w:line="480" w:lineRule="auto"/>
        <w:ind w:firstLine="72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I</w:t>
      </w:r>
      <w:r w:rsidR="00104F87" w:rsidRPr="002C24A8">
        <w:rPr>
          <w:rFonts w:ascii="Times New Roman" w:hAnsi="Times New Roman" w:cs="Times New Roman"/>
          <w:sz w:val="24"/>
          <w:szCs w:val="24"/>
          <w:lang w:val="en-US"/>
        </w:rPr>
        <w:t>n order to graphically represent the effect of ESG criteria adoption on firms’ innovation capacity (technological change), we follow</w:t>
      </w:r>
      <w:r w:rsidR="00FF0E79" w:rsidRPr="002C24A8">
        <w:rPr>
          <w:rFonts w:ascii="Times New Roman" w:hAnsi="Times New Roman" w:cs="Times New Roman"/>
          <w:sz w:val="24"/>
          <w:szCs w:val="24"/>
          <w:lang w:val="en-US"/>
        </w:rPr>
        <w:t xml:space="preserve"> Bădin et al. (2012, 2014)</w:t>
      </w:r>
      <w:r w:rsidRPr="002C24A8">
        <w:rPr>
          <w:rFonts w:ascii="Times New Roman" w:hAnsi="Times New Roman" w:cs="Times New Roman"/>
          <w:sz w:val="24"/>
          <w:szCs w:val="24"/>
          <w:lang w:val="en-US"/>
        </w:rPr>
        <w:t>. W</w:t>
      </w:r>
      <w:r w:rsidR="00104F87" w:rsidRPr="002C24A8">
        <w:rPr>
          <w:rFonts w:ascii="Times New Roman" w:hAnsi="Times New Roman" w:cs="Times New Roman"/>
          <w:sz w:val="24"/>
          <w:szCs w:val="24"/>
          <w:lang w:val="en-US"/>
        </w:rPr>
        <w:t>e construct the following ratio</w:t>
      </w:r>
      <w:r w:rsidR="00FF0E79" w:rsidRPr="002C24A8">
        <w:rPr>
          <w:rFonts w:ascii="Times New Roman" w:hAnsi="Times New Roman" w:cs="Times New Roman"/>
          <w:sz w:val="24"/>
          <w:szCs w:val="24"/>
          <w:lang w:val="en-US"/>
        </w:rPr>
        <w:t xml:space="preserve"> </w:t>
      </w:r>
      <w:r w:rsidR="00104F87" w:rsidRPr="002C24A8">
        <w:rPr>
          <w:rFonts w:ascii="Times New Roman" w:hAnsi="Times New Roman" w:cs="Times New Roman"/>
          <w:sz w:val="24"/>
          <w:szCs w:val="24"/>
          <w:lang w:val="en-US"/>
        </w:rPr>
        <w:t>which will act as the dependent variable in our nonparametric regression analysis:</w:t>
      </w:r>
    </w:p>
    <w:p w14:paraId="0ABF13DD" w14:textId="77777777" w:rsidR="00FF0E79" w:rsidRPr="002C24A8" w:rsidRDefault="00FF0E79" w:rsidP="00FF0E79">
      <w:pPr>
        <w:spacing w:after="0" w:line="480" w:lineRule="auto"/>
        <w:ind w:firstLine="72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ab/>
      </w:r>
      <m:oMath>
        <m:acc>
          <m:accPr>
            <m:ctrlPr>
              <w:rPr>
                <w:rFonts w:ascii="Cambria Math" w:eastAsiaTheme="minorEastAsia" w:hAnsi="Cambria Math" w:cs="Times New Roman"/>
                <w:i/>
                <w:sz w:val="24"/>
                <w:szCs w:val="24"/>
                <w:lang w:val="en-US"/>
              </w:rPr>
            </m:ctrlPr>
          </m:accPr>
          <m:e>
            <m:r>
              <w:rPr>
                <w:rFonts w:ascii="Cambria Math" w:eastAsiaTheme="minorEastAsia" w:hAnsi="Cambria Math" w:cs="Times New Roman"/>
                <w:sz w:val="24"/>
                <w:szCs w:val="24"/>
                <w:lang w:val="en-US"/>
              </w:rPr>
              <m:t>Q</m:t>
            </m:r>
          </m:e>
        </m:acc>
        <m:d>
          <m:dPr>
            <m:ctrlPr>
              <w:rPr>
                <w:rFonts w:ascii="Cambria Math" w:eastAsiaTheme="minorEastAsia" w:hAnsi="Cambria Math" w:cs="Times New Roman"/>
                <w:i/>
                <w:sz w:val="24"/>
                <w:szCs w:val="24"/>
                <w:lang w:val="en-US"/>
              </w:rPr>
            </m:ctrlPr>
          </m:dPr>
          <m:e>
            <m:d>
              <m:dPr>
                <m:begChr m:val=""/>
                <m:endChr m:val="|"/>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x,y</m:t>
                </m:r>
              </m:e>
            </m:d>
            <m:r>
              <w:rPr>
                <w:rFonts w:ascii="Cambria Math" w:eastAsiaTheme="minorEastAsia" w:hAnsi="Cambria Math" w:cs="Times New Roman"/>
                <w:sz w:val="24"/>
                <w:szCs w:val="24"/>
                <w:lang w:val="en-US"/>
              </w:rPr>
              <m:t>z,t</m:t>
            </m:r>
          </m:e>
        </m:d>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sSub>
              <m:sSubPr>
                <m:ctrlPr>
                  <w:rPr>
                    <w:rFonts w:ascii="Cambria Math" w:eastAsiaTheme="minorEastAsia" w:hAnsi="Cambria Math" w:cs="Times New Roman"/>
                    <w:i/>
                    <w:sz w:val="24"/>
                    <w:szCs w:val="24"/>
                    <w:lang w:val="en-US"/>
                  </w:rPr>
                </m:ctrlPr>
              </m:sSubPr>
              <m:e>
                <m:acc>
                  <m:accPr>
                    <m:ctrlPr>
                      <w:rPr>
                        <w:rFonts w:ascii="Cambria Math" w:eastAsiaTheme="minorEastAsia" w:hAnsi="Cambria Math" w:cs="Times New Roman"/>
                        <w:i/>
                        <w:sz w:val="24"/>
                        <w:szCs w:val="24"/>
                        <w:lang w:val="en-US"/>
                      </w:rPr>
                    </m:ctrlPr>
                  </m:accPr>
                  <m:e>
                    <m:r>
                      <w:rPr>
                        <w:rFonts w:ascii="Cambria Math" w:eastAsiaTheme="minorEastAsia" w:hAnsi="Cambria Math" w:cs="Times New Roman"/>
                        <w:sz w:val="24"/>
                        <w:szCs w:val="24"/>
                        <w:lang w:val="en-US"/>
                      </w:rPr>
                      <m:t>λ</m:t>
                    </m:r>
                  </m:e>
                </m:acc>
              </m:e>
              <m:sub>
                <m:r>
                  <w:rPr>
                    <w:rFonts w:ascii="Cambria Math" w:eastAsiaTheme="minorEastAsia" w:hAnsi="Cambria Math" w:cs="Times New Roman"/>
                    <w:sz w:val="24"/>
                    <w:szCs w:val="24"/>
                    <w:lang w:val="en-US"/>
                  </w:rPr>
                  <m:t>t</m:t>
                </m:r>
              </m:sub>
            </m:sSub>
            <m:d>
              <m:dPr>
                <m:ctrlPr>
                  <w:rPr>
                    <w:rFonts w:ascii="Cambria Math" w:eastAsiaTheme="minorEastAsia" w:hAnsi="Cambria Math" w:cs="Times New Roman"/>
                    <w:i/>
                    <w:sz w:val="24"/>
                    <w:szCs w:val="24"/>
                    <w:lang w:val="en-US"/>
                  </w:rPr>
                </m:ctrlPr>
              </m:dPr>
              <m:e>
                <m:d>
                  <m:dPr>
                    <m:begChr m:val=""/>
                    <m:endChr m:val="|"/>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x,y</m:t>
                    </m:r>
                  </m:e>
                </m:d>
                <m:r>
                  <w:rPr>
                    <w:rFonts w:ascii="Cambria Math" w:eastAsiaTheme="minorEastAsia" w:hAnsi="Cambria Math" w:cs="Times New Roman"/>
                    <w:sz w:val="24"/>
                    <w:szCs w:val="24"/>
                    <w:lang w:val="en-US"/>
                  </w:rPr>
                  <m:t>z</m:t>
                </m:r>
              </m:e>
            </m:d>
          </m:num>
          <m:den>
            <m:acc>
              <m:accPr>
                <m:ctrlPr>
                  <w:rPr>
                    <w:rFonts w:ascii="Cambria Math" w:hAnsi="Cambria Math" w:cs="Times New Roman"/>
                    <w:i/>
                    <w:sz w:val="24"/>
                    <w:szCs w:val="24"/>
                    <w:lang w:val="en-US"/>
                  </w:rPr>
                </m:ctrlPr>
              </m:accPr>
              <m:e>
                <m:r>
                  <w:rPr>
                    <w:rFonts w:ascii="Cambria Math" w:hAnsi="Cambria Math" w:cs="Times New Roman"/>
                    <w:sz w:val="24"/>
                    <w:szCs w:val="24"/>
                    <w:lang w:val="en-US"/>
                  </w:rPr>
                  <m:t>λ</m:t>
                </m:r>
              </m:e>
            </m:acc>
            <m:d>
              <m:dPr>
                <m:ctrlPr>
                  <w:rPr>
                    <w:rFonts w:ascii="Cambria Math" w:hAnsi="Cambria Math" w:cs="Times New Roman"/>
                    <w:i/>
                    <w:sz w:val="24"/>
                    <w:szCs w:val="24"/>
                    <w:lang w:val="en-US"/>
                  </w:rPr>
                </m:ctrlPr>
              </m:dPr>
              <m:e>
                <m:r>
                  <w:rPr>
                    <w:rFonts w:ascii="Cambria Math" w:hAnsi="Cambria Math" w:cs="Times New Roman"/>
                    <w:sz w:val="24"/>
                    <w:szCs w:val="24"/>
                    <w:lang w:val="en-US"/>
                  </w:rPr>
                  <m:t>x,y</m:t>
                </m:r>
              </m:e>
            </m:d>
          </m:den>
        </m:f>
      </m:oMath>
      <w:r w:rsidRPr="002C24A8">
        <w:rPr>
          <w:rFonts w:ascii="Times New Roman" w:hAnsi="Times New Roman" w:cs="Times New Roman"/>
          <w:sz w:val="24"/>
          <w:szCs w:val="24"/>
          <w:lang w:val="en-US"/>
        </w:rPr>
        <w:tab/>
      </w:r>
      <w:r w:rsidR="000F50D8" w:rsidRPr="002C24A8">
        <w:rPr>
          <w:rFonts w:ascii="Times New Roman" w:hAnsi="Times New Roman" w:cs="Times New Roman"/>
          <w:sz w:val="24"/>
          <w:szCs w:val="24"/>
          <w:lang w:val="en-US"/>
        </w:rPr>
        <w:t>.</w:t>
      </w:r>
      <w:r w:rsidR="000F50D8" w:rsidRPr="002C24A8">
        <w:rPr>
          <w:rFonts w:ascii="Times New Roman" w:hAnsi="Times New Roman" w:cs="Times New Roman"/>
          <w:sz w:val="24"/>
          <w:szCs w:val="24"/>
          <w:lang w:val="en-US"/>
        </w:rPr>
        <w:tab/>
      </w:r>
      <w:r w:rsidR="000F50D8" w:rsidRPr="002C24A8">
        <w:rPr>
          <w:rFonts w:ascii="Times New Roman" w:hAnsi="Times New Roman" w:cs="Times New Roman"/>
          <w:sz w:val="24"/>
          <w:szCs w:val="24"/>
          <w:lang w:val="en-US"/>
        </w:rPr>
        <w:tab/>
      </w:r>
      <w:r w:rsidR="000F50D8" w:rsidRPr="002C24A8">
        <w:rPr>
          <w:rFonts w:ascii="Times New Roman" w:hAnsi="Times New Roman" w:cs="Times New Roman"/>
          <w:sz w:val="24"/>
          <w:szCs w:val="24"/>
          <w:lang w:val="en-US"/>
        </w:rPr>
        <w:tab/>
      </w:r>
      <w:r w:rsidR="000F50D8" w:rsidRPr="002C24A8">
        <w:rPr>
          <w:rFonts w:ascii="Times New Roman" w:hAnsi="Times New Roman" w:cs="Times New Roman"/>
          <w:sz w:val="24"/>
          <w:szCs w:val="24"/>
          <w:lang w:val="en-US"/>
        </w:rPr>
        <w:tab/>
      </w:r>
      <w:r w:rsidRPr="002C24A8">
        <w:rPr>
          <w:rFonts w:ascii="Times New Roman" w:hAnsi="Times New Roman" w:cs="Times New Roman"/>
          <w:sz w:val="24"/>
          <w:szCs w:val="24"/>
          <w:lang w:val="en-US"/>
        </w:rPr>
        <w:tab/>
      </w:r>
      <w:r w:rsidRPr="002C24A8">
        <w:rPr>
          <w:rFonts w:ascii="Times New Roman" w:hAnsi="Times New Roman" w:cs="Times New Roman"/>
          <w:sz w:val="24"/>
          <w:szCs w:val="24"/>
          <w:lang w:val="en-US"/>
        </w:rPr>
        <w:tab/>
        <w:t xml:space="preserve">           </w:t>
      </w:r>
      <w:r w:rsidR="00503CB1" w:rsidRPr="002C24A8">
        <w:rPr>
          <w:rFonts w:ascii="Times New Roman" w:hAnsi="Times New Roman" w:cs="Times New Roman"/>
          <w:sz w:val="24"/>
          <w:szCs w:val="24"/>
          <w:lang w:val="en-US"/>
        </w:rPr>
        <w:tab/>
      </w:r>
      <w:r w:rsidRPr="002C24A8">
        <w:rPr>
          <w:rFonts w:ascii="Times New Roman" w:hAnsi="Times New Roman" w:cs="Times New Roman"/>
          <w:sz w:val="24"/>
          <w:szCs w:val="24"/>
          <w:lang w:val="en-US"/>
        </w:rPr>
        <w:t>(13)</w:t>
      </w:r>
    </w:p>
    <w:p w14:paraId="5F69CC3E" w14:textId="6C1CDAE7" w:rsidR="00FF0E79" w:rsidRPr="002C24A8" w:rsidRDefault="000347FE" w:rsidP="00104F87">
      <w:pPr>
        <w:spacing w:after="0" w:line="480" w:lineRule="auto"/>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A </w:t>
      </w:r>
      <w:r w:rsidR="00503CB1" w:rsidRPr="002C24A8">
        <w:rPr>
          <w:rFonts w:ascii="Times New Roman" w:hAnsi="Times New Roman" w:cs="Times New Roman"/>
          <w:sz w:val="24"/>
          <w:szCs w:val="24"/>
          <w:lang w:val="en-US"/>
        </w:rPr>
        <w:t>next</w:t>
      </w:r>
      <w:r w:rsidR="00FF0E79" w:rsidRPr="002C24A8">
        <w:rPr>
          <w:rFonts w:ascii="Times New Roman" w:hAnsi="Times New Roman" w:cs="Times New Roman"/>
          <w:sz w:val="24"/>
          <w:szCs w:val="24"/>
          <w:lang w:val="en-US"/>
        </w:rPr>
        <w:t xml:space="preserve"> step of our analysis </w:t>
      </w:r>
      <w:r w:rsidRPr="002C24A8">
        <w:rPr>
          <w:rFonts w:ascii="Times New Roman" w:hAnsi="Times New Roman" w:cs="Times New Roman"/>
          <w:sz w:val="24"/>
          <w:szCs w:val="24"/>
          <w:lang w:val="en-US"/>
        </w:rPr>
        <w:t xml:space="preserve">is </w:t>
      </w:r>
      <w:r w:rsidR="00503CB1" w:rsidRPr="002C24A8">
        <w:rPr>
          <w:rFonts w:ascii="Times New Roman" w:hAnsi="Times New Roman" w:cs="Times New Roman"/>
          <w:sz w:val="24"/>
          <w:szCs w:val="24"/>
          <w:lang w:val="en-US"/>
        </w:rPr>
        <w:t xml:space="preserve">the following </w:t>
      </w:r>
      <w:r w:rsidR="00FF0E79" w:rsidRPr="002C24A8">
        <w:rPr>
          <w:rFonts w:ascii="Times New Roman" w:hAnsi="Times New Roman" w:cs="Times New Roman"/>
          <w:sz w:val="24"/>
          <w:szCs w:val="24"/>
          <w:lang w:val="en-US"/>
        </w:rPr>
        <w:t>nonparametric regression model:</w:t>
      </w:r>
    </w:p>
    <w:p w14:paraId="78CD40E2" w14:textId="77777777" w:rsidR="00FF0E79" w:rsidRPr="002C24A8" w:rsidRDefault="00FF0E79" w:rsidP="00FF0E79">
      <w:pPr>
        <w:spacing w:after="0" w:line="480" w:lineRule="auto"/>
        <w:ind w:firstLine="72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object w:dxaOrig="2720" w:dyaOrig="400" w14:anchorId="7C099C5D">
          <v:shape id="_x0000_i1041" type="#_x0000_t75" style="width:134pt;height:20pt" o:ole="">
            <v:imagedata r:id="rId34" o:title=""/>
          </v:shape>
          <o:OLEObject Type="Embed" ProgID="Equation.DSMT4" ShapeID="_x0000_i1041" DrawAspect="Content" ObjectID="_1625424710" r:id="rId35"/>
        </w:object>
      </w:r>
      <w:r w:rsidRPr="002C24A8">
        <w:rPr>
          <w:rFonts w:ascii="Times New Roman" w:hAnsi="Times New Roman" w:cs="Times New Roman"/>
          <w:sz w:val="24"/>
          <w:szCs w:val="24"/>
          <w:lang w:val="en-US"/>
        </w:rPr>
        <w:t xml:space="preserve"> </w:t>
      </w:r>
      <w:r w:rsidRPr="002C24A8">
        <w:rPr>
          <w:rFonts w:ascii="Times New Roman" w:hAnsi="Times New Roman" w:cs="Times New Roman"/>
          <w:sz w:val="24"/>
          <w:szCs w:val="24"/>
          <w:lang w:val="en-US"/>
        </w:rPr>
        <w:tab/>
      </w:r>
      <w:r w:rsidRPr="002C24A8">
        <w:rPr>
          <w:rFonts w:ascii="Times New Roman" w:hAnsi="Times New Roman" w:cs="Times New Roman"/>
          <w:sz w:val="24"/>
          <w:szCs w:val="24"/>
          <w:lang w:val="en-US"/>
        </w:rPr>
        <w:tab/>
      </w:r>
      <w:r w:rsidRPr="002C24A8">
        <w:rPr>
          <w:rFonts w:ascii="Times New Roman" w:hAnsi="Times New Roman" w:cs="Times New Roman"/>
          <w:sz w:val="24"/>
          <w:szCs w:val="24"/>
          <w:lang w:val="en-US"/>
        </w:rPr>
        <w:tab/>
      </w:r>
      <w:r w:rsidRPr="002C24A8">
        <w:rPr>
          <w:rFonts w:ascii="Times New Roman" w:hAnsi="Times New Roman" w:cs="Times New Roman"/>
          <w:sz w:val="24"/>
          <w:szCs w:val="24"/>
          <w:lang w:val="en-US"/>
        </w:rPr>
        <w:tab/>
      </w:r>
      <w:r w:rsidRPr="002C24A8">
        <w:rPr>
          <w:rFonts w:ascii="Times New Roman" w:hAnsi="Times New Roman" w:cs="Times New Roman"/>
          <w:sz w:val="24"/>
          <w:szCs w:val="24"/>
          <w:lang w:val="en-US"/>
        </w:rPr>
        <w:tab/>
      </w:r>
      <w:r w:rsidRPr="002C24A8">
        <w:rPr>
          <w:rFonts w:ascii="Times New Roman" w:hAnsi="Times New Roman" w:cs="Times New Roman"/>
          <w:sz w:val="24"/>
          <w:szCs w:val="24"/>
          <w:lang w:val="en-US"/>
        </w:rPr>
        <w:tab/>
        <w:t xml:space="preserve">           </w:t>
      </w:r>
      <w:r w:rsidR="00503CB1" w:rsidRPr="002C24A8">
        <w:rPr>
          <w:rFonts w:ascii="Times New Roman" w:hAnsi="Times New Roman" w:cs="Times New Roman"/>
          <w:sz w:val="24"/>
          <w:szCs w:val="24"/>
          <w:lang w:val="en-US"/>
        </w:rPr>
        <w:tab/>
      </w:r>
      <w:r w:rsidR="00503CB1" w:rsidRPr="002C24A8">
        <w:rPr>
          <w:rFonts w:ascii="Times New Roman" w:hAnsi="Times New Roman" w:cs="Times New Roman"/>
          <w:sz w:val="24"/>
          <w:szCs w:val="24"/>
          <w:lang w:val="en-US"/>
        </w:rPr>
        <w:tab/>
      </w:r>
      <w:r w:rsidRPr="002C24A8">
        <w:rPr>
          <w:rFonts w:ascii="Times New Roman" w:hAnsi="Times New Roman" w:cs="Times New Roman"/>
          <w:sz w:val="24"/>
          <w:szCs w:val="24"/>
          <w:lang w:val="en-US"/>
        </w:rPr>
        <w:t>(14)</w:t>
      </w:r>
    </w:p>
    <w:p w14:paraId="753F208C" w14:textId="6A0FD642" w:rsidR="00FF0E79" w:rsidRPr="002C24A8" w:rsidRDefault="00FF0E79" w:rsidP="00FF0E79">
      <w:pPr>
        <w:spacing w:after="0" w:line="480" w:lineRule="auto"/>
        <w:ind w:firstLine="72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Where the dependent variable </w:t>
      </w:r>
      <w:r w:rsidR="00FE7251">
        <w:rPr>
          <w:rFonts w:ascii="Times New Roman" w:hAnsi="Times New Roman" w:cs="Times New Roman"/>
          <w:sz w:val="24"/>
          <w:szCs w:val="24"/>
          <w:lang w:val="en-US"/>
        </w:rPr>
        <w:pict w14:anchorId="17C0891C">
          <v:shape id="_x0000_i1042" type="#_x0000_t75" style="width:10pt;height:20pt">
            <v:imagedata r:id="rId36" o:title=""/>
          </v:shape>
        </w:pict>
      </w:r>
      <w:r w:rsidR="00503CB1" w:rsidRPr="002C24A8">
        <w:rPr>
          <w:rFonts w:ascii="Times New Roman" w:hAnsi="Times New Roman" w:cs="Times New Roman"/>
          <w:sz w:val="24"/>
          <w:szCs w:val="24"/>
          <w:lang w:val="en-US"/>
        </w:rPr>
        <w:t xml:space="preserve"> represent the ratio</w:t>
      </w:r>
      <w:r w:rsidRPr="002C24A8">
        <w:rPr>
          <w:rFonts w:ascii="Times New Roman" w:hAnsi="Times New Roman" w:cs="Times New Roman"/>
          <w:sz w:val="24"/>
          <w:szCs w:val="24"/>
          <w:lang w:val="en-US"/>
        </w:rPr>
        <w:t xml:space="preserve"> defined in (13) and </w:t>
      </w:r>
      <w:r w:rsidR="00FE7251">
        <w:rPr>
          <w:rFonts w:ascii="Times New Roman" w:hAnsi="Times New Roman" w:cs="Times New Roman"/>
          <w:sz w:val="24"/>
          <w:szCs w:val="24"/>
          <w:lang w:val="en-US"/>
        </w:rPr>
        <w:pict w14:anchorId="5058AB3F">
          <v:shape id="_x0000_i1043" type="#_x0000_t75" style="width:10pt;height:20pt">
            <v:imagedata r:id="rId37" o:title=""/>
          </v:shape>
        </w:pict>
      </w:r>
      <w:r w:rsidRPr="002C24A8">
        <w:rPr>
          <w:rFonts w:ascii="Times New Roman" w:hAnsi="Times New Roman" w:cs="Times New Roman"/>
          <w:sz w:val="24"/>
          <w:szCs w:val="24"/>
          <w:lang w:val="en-US"/>
        </w:rPr>
        <w:t xml:space="preserve"> (the independent variables) represent </w:t>
      </w:r>
      <w:r w:rsidR="00503CB1" w:rsidRPr="002C24A8">
        <w:rPr>
          <w:rFonts w:ascii="Times New Roman" w:hAnsi="Times New Roman" w:cs="Times New Roman"/>
          <w:sz w:val="24"/>
          <w:szCs w:val="24"/>
          <w:lang w:val="en-US"/>
        </w:rPr>
        <w:t>the ESG criteria and time.</w:t>
      </w:r>
      <w:r w:rsidRPr="002C24A8">
        <w:rPr>
          <w:rFonts w:ascii="Times New Roman" w:hAnsi="Times New Roman" w:cs="Times New Roman"/>
          <w:sz w:val="24"/>
          <w:szCs w:val="24"/>
          <w:vertAlign w:val="superscript"/>
          <w:lang w:val="en-US"/>
        </w:rPr>
        <w:footnoteReference w:id="16"/>
      </w:r>
      <w:r w:rsidRPr="002C24A8">
        <w:rPr>
          <w:rFonts w:ascii="Times New Roman" w:hAnsi="Times New Roman" w:cs="Times New Roman"/>
          <w:sz w:val="24"/>
          <w:szCs w:val="24"/>
          <w:lang w:val="en-US"/>
        </w:rPr>
        <w:t xml:space="preserve"> </w:t>
      </w:r>
      <w:r w:rsidR="00503CB1" w:rsidRPr="002C24A8">
        <w:rPr>
          <w:rFonts w:ascii="Times New Roman" w:hAnsi="Times New Roman" w:cs="Times New Roman"/>
          <w:sz w:val="24"/>
          <w:szCs w:val="24"/>
          <w:lang w:val="en-US"/>
        </w:rPr>
        <w:t>In expression (14)</w:t>
      </w:r>
      <w:r w:rsidRPr="002C24A8">
        <w:rPr>
          <w:rFonts w:ascii="Times New Roman" w:hAnsi="Times New Roman" w:cs="Times New Roman"/>
          <w:sz w:val="24"/>
          <w:szCs w:val="24"/>
          <w:lang w:val="en-US"/>
        </w:rPr>
        <w:t xml:space="preserve">, </w:t>
      </w:r>
      <m:oMath>
        <m:r>
          <w:rPr>
            <w:rFonts w:ascii="Cambria Math" w:hAnsi="Cambria Math" w:cs="Times New Roman"/>
            <w:sz w:val="24"/>
            <w:szCs w:val="24"/>
            <w:lang w:val="en-US"/>
          </w:rPr>
          <m:t>g</m:t>
        </m:r>
        <m:d>
          <m:dPr>
            <m:ctrlPr>
              <w:rPr>
                <w:rFonts w:ascii="Cambria Math" w:hAnsi="Cambria Math" w:cs="Times New Roman"/>
                <w:i/>
                <w:sz w:val="24"/>
                <w:szCs w:val="24"/>
                <w:lang w:val="en-US"/>
              </w:rPr>
            </m:ctrlPr>
          </m:dPr>
          <m:e>
            <m:r>
              <w:rPr>
                <w:rFonts w:ascii="Cambria Math" w:hAnsi="Cambria Math" w:cs="Times New Roman"/>
                <w:sz w:val="24"/>
                <w:szCs w:val="24"/>
                <w:lang w:val="en-US"/>
              </w:rPr>
              <m:t>.</m:t>
            </m:r>
          </m:e>
        </m:d>
      </m:oMath>
      <w:r w:rsidR="00503CB1" w:rsidRPr="002C24A8">
        <w:rPr>
          <w:rFonts w:ascii="Times New Roman" w:eastAsiaTheme="minorEastAsia" w:hAnsi="Times New Roman" w:cs="Times New Roman"/>
          <w:sz w:val="24"/>
          <w:szCs w:val="24"/>
          <w:lang w:val="en-US"/>
        </w:rPr>
        <w:t xml:space="preserve"> </w:t>
      </w:r>
      <w:r w:rsidRPr="002C24A8">
        <w:rPr>
          <w:rFonts w:ascii="Times New Roman" w:hAnsi="Times New Roman" w:cs="Times New Roman"/>
          <w:sz w:val="24"/>
          <w:szCs w:val="24"/>
          <w:lang w:val="en-US"/>
        </w:rPr>
        <w:t xml:space="preserve">is the unknown smooth function and is interpreted as the conditional mean of </w:t>
      </w:r>
      <m:oMath>
        <m:r>
          <w:rPr>
            <w:rFonts w:ascii="Cambria Math" w:hAnsi="Cambria Math" w:cs="Times New Roman"/>
            <w:sz w:val="24"/>
            <w:szCs w:val="24"/>
            <w:lang w:val="en-US"/>
          </w:rPr>
          <m:t>y</m:t>
        </m:r>
      </m:oMath>
      <w:r w:rsidRPr="002C24A8">
        <w:rPr>
          <w:rFonts w:ascii="Times New Roman" w:hAnsi="Times New Roman" w:cs="Times New Roman"/>
          <w:sz w:val="24"/>
          <w:szCs w:val="24"/>
          <w:lang w:val="en-US"/>
        </w:rPr>
        <w:t xml:space="preserve"> given </w:t>
      </w:r>
      <m:oMath>
        <m:r>
          <w:rPr>
            <w:rFonts w:ascii="Cambria Math" w:hAnsi="Cambria Math" w:cs="Times New Roman"/>
            <w:sz w:val="24"/>
            <w:szCs w:val="24"/>
            <w:lang w:val="en-US"/>
          </w:rPr>
          <m:t xml:space="preserve">x </m:t>
        </m:r>
      </m:oMath>
      <w:r w:rsidRPr="002C24A8">
        <w:rPr>
          <w:rFonts w:ascii="Times New Roman" w:hAnsi="Times New Roman" w:cs="Times New Roman"/>
          <w:sz w:val="24"/>
          <w:szCs w:val="24"/>
          <w:lang w:val="en-US"/>
        </w:rPr>
        <w:t xml:space="preserve">(see Li and Racine 2007, Theorem 2.1, p. 59). </w:t>
      </w:r>
      <w:r w:rsidR="00503CB1" w:rsidRPr="002C24A8">
        <w:rPr>
          <w:rFonts w:ascii="Times New Roman" w:hAnsi="Times New Roman" w:cs="Times New Roman"/>
          <w:sz w:val="24"/>
          <w:szCs w:val="24"/>
          <w:lang w:val="en-US"/>
        </w:rPr>
        <w:t>Then</w:t>
      </w:r>
      <w:r w:rsidR="00261553" w:rsidRPr="002C24A8">
        <w:rPr>
          <w:rFonts w:ascii="Times New Roman" w:hAnsi="Times New Roman" w:cs="Times New Roman"/>
          <w:sz w:val="24"/>
          <w:szCs w:val="24"/>
          <w:lang w:val="en-US"/>
        </w:rPr>
        <w:t>,</w:t>
      </w:r>
      <w:r w:rsidR="00503CB1" w:rsidRPr="002C24A8">
        <w:rPr>
          <w:rFonts w:ascii="Times New Roman" w:hAnsi="Times New Roman" w:cs="Times New Roman"/>
          <w:sz w:val="24"/>
          <w:szCs w:val="24"/>
          <w:lang w:val="en-US"/>
        </w:rPr>
        <w:t xml:space="preserve"> as described by</w:t>
      </w:r>
      <w:r w:rsidRPr="002C24A8">
        <w:rPr>
          <w:rFonts w:ascii="Times New Roman" w:hAnsi="Times New Roman" w:cs="Times New Roman"/>
          <w:sz w:val="24"/>
          <w:szCs w:val="24"/>
          <w:lang w:val="en-US"/>
        </w:rPr>
        <w:t xml:space="preserve"> Li and Racine (2007)</w:t>
      </w:r>
      <w:r w:rsidR="000347FE" w:rsidRPr="002C24A8">
        <w:rPr>
          <w:rFonts w:ascii="Times New Roman" w:hAnsi="Times New Roman" w:cs="Times New Roman"/>
          <w:sz w:val="24"/>
          <w:szCs w:val="24"/>
          <w:lang w:val="en-US"/>
        </w:rPr>
        <w:t>,</w:t>
      </w:r>
      <w:r w:rsidRPr="002C24A8">
        <w:rPr>
          <w:rFonts w:ascii="Times New Roman" w:hAnsi="Times New Roman" w:cs="Times New Roman"/>
          <w:sz w:val="24"/>
          <w:szCs w:val="24"/>
          <w:lang w:val="en-US"/>
        </w:rPr>
        <w:t xml:space="preserve"> we can estimate the unknown function using a local linear estimator</w:t>
      </w:r>
      <w:r w:rsidR="000B142E" w:rsidRPr="002C24A8">
        <w:rPr>
          <w:rFonts w:ascii="Times New Roman" w:hAnsi="Times New Roman" w:cs="Times New Roman"/>
          <w:sz w:val="24"/>
          <w:szCs w:val="24"/>
          <w:lang w:val="en-US"/>
        </w:rPr>
        <w:t>,</w:t>
      </w:r>
      <w:r w:rsidRPr="002C24A8">
        <w:rPr>
          <w:rFonts w:ascii="Times New Roman" w:hAnsi="Times New Roman" w:cs="Times New Roman"/>
          <w:sz w:val="24"/>
          <w:szCs w:val="24"/>
          <w:lang w:val="en-US"/>
        </w:rPr>
        <w:t xml:space="preserve"> since it minimizes the bias when estimating a regression function near the boundary of support. </w:t>
      </w:r>
      <w:r w:rsidR="000347FE" w:rsidRPr="002C24A8">
        <w:rPr>
          <w:rFonts w:ascii="Times New Roman" w:hAnsi="Times New Roman" w:cs="Times New Roman"/>
          <w:sz w:val="24"/>
          <w:szCs w:val="24"/>
          <w:lang w:val="en-US"/>
        </w:rPr>
        <w:t xml:space="preserve">In our </w:t>
      </w:r>
      <w:r w:rsidRPr="002C24A8">
        <w:rPr>
          <w:rFonts w:ascii="Times New Roman" w:hAnsi="Times New Roman" w:cs="Times New Roman"/>
          <w:sz w:val="24"/>
          <w:szCs w:val="24"/>
          <w:lang w:val="en-US"/>
        </w:rPr>
        <w:t xml:space="preserve">analysis we </w:t>
      </w:r>
      <w:r w:rsidR="000347FE" w:rsidRPr="002C24A8">
        <w:rPr>
          <w:rFonts w:ascii="Times New Roman" w:hAnsi="Times New Roman" w:cs="Times New Roman"/>
          <w:sz w:val="24"/>
          <w:szCs w:val="24"/>
          <w:lang w:val="en-US"/>
        </w:rPr>
        <w:t xml:space="preserve">use </w:t>
      </w:r>
      <w:r w:rsidRPr="002C24A8">
        <w:rPr>
          <w:rFonts w:ascii="Times New Roman" w:hAnsi="Times New Roman" w:cs="Times New Roman"/>
          <w:sz w:val="24"/>
          <w:szCs w:val="24"/>
          <w:lang w:val="en-US"/>
        </w:rPr>
        <w:t>product kernels and bandwidths based on Least Squares Cross-Validation (LSCV) criterion as described</w:t>
      </w:r>
      <w:r w:rsidR="000347FE" w:rsidRPr="002C24A8">
        <w:rPr>
          <w:rFonts w:ascii="Times New Roman" w:hAnsi="Times New Roman" w:cs="Times New Roman"/>
          <w:sz w:val="24"/>
          <w:szCs w:val="24"/>
          <w:lang w:val="en-US"/>
        </w:rPr>
        <w:t xml:space="preserve">, for example, by </w:t>
      </w:r>
      <w:r w:rsidRPr="002C24A8">
        <w:rPr>
          <w:rFonts w:ascii="Times New Roman" w:hAnsi="Times New Roman" w:cs="Times New Roman"/>
          <w:sz w:val="24"/>
          <w:szCs w:val="24"/>
          <w:lang w:val="en-US"/>
        </w:rPr>
        <w:t>Hall et al. 2004; Li and Racine</w:t>
      </w:r>
      <w:r w:rsidR="00503CB1" w:rsidRPr="002C24A8">
        <w:rPr>
          <w:rFonts w:ascii="Times New Roman" w:hAnsi="Times New Roman" w:cs="Times New Roman"/>
          <w:sz w:val="24"/>
          <w:szCs w:val="24"/>
          <w:lang w:val="en-US"/>
        </w:rPr>
        <w:t>,</w:t>
      </w:r>
      <w:r w:rsidRPr="002C24A8">
        <w:rPr>
          <w:rFonts w:ascii="Times New Roman" w:hAnsi="Times New Roman" w:cs="Times New Roman"/>
          <w:sz w:val="24"/>
          <w:szCs w:val="24"/>
          <w:lang w:val="en-US"/>
        </w:rPr>
        <w:t xml:space="preserve"> 2007. </w:t>
      </w:r>
      <w:r w:rsidR="000347FE" w:rsidRPr="002C24A8">
        <w:rPr>
          <w:rFonts w:ascii="Times New Roman" w:hAnsi="Times New Roman" w:cs="Times New Roman"/>
          <w:sz w:val="24"/>
          <w:szCs w:val="24"/>
          <w:lang w:val="en-US"/>
        </w:rPr>
        <w:t>B</w:t>
      </w:r>
      <w:r w:rsidRPr="002C24A8">
        <w:rPr>
          <w:rFonts w:ascii="Times New Roman" w:hAnsi="Times New Roman" w:cs="Times New Roman"/>
          <w:sz w:val="24"/>
          <w:szCs w:val="24"/>
          <w:lang w:val="en-US"/>
        </w:rPr>
        <w:t xml:space="preserve">y applying the nonparametric </w:t>
      </w:r>
      <w:r w:rsidR="00A41368" w:rsidRPr="002C24A8">
        <w:rPr>
          <w:rFonts w:ascii="Times New Roman" w:hAnsi="Times New Roman" w:cs="Times New Roman"/>
          <w:sz w:val="24"/>
          <w:szCs w:val="24"/>
          <w:lang w:val="en-US"/>
        </w:rPr>
        <w:t>regressions,</w:t>
      </w:r>
      <w:r w:rsidRPr="002C24A8">
        <w:rPr>
          <w:rFonts w:ascii="Times New Roman" w:hAnsi="Times New Roman" w:cs="Times New Roman"/>
          <w:sz w:val="24"/>
          <w:szCs w:val="24"/>
          <w:lang w:val="en-US"/>
        </w:rPr>
        <w:t xml:space="preserve"> we can determine the effect of </w:t>
      </w:r>
      <w:r w:rsidRPr="002C24A8">
        <w:rPr>
          <w:rFonts w:ascii="Times New Roman" w:hAnsi="Times New Roman" w:cs="Times New Roman"/>
          <w:sz w:val="24"/>
          <w:szCs w:val="24"/>
          <w:lang w:val="en-US"/>
        </w:rPr>
        <w:lastRenderedPageBreak/>
        <w:t xml:space="preserve">time and </w:t>
      </w:r>
      <w:r w:rsidR="00503CB1" w:rsidRPr="002C24A8">
        <w:rPr>
          <w:rFonts w:ascii="Times New Roman" w:hAnsi="Times New Roman" w:cs="Times New Roman"/>
          <w:sz w:val="24"/>
          <w:szCs w:val="24"/>
          <w:lang w:val="en-US"/>
        </w:rPr>
        <w:t xml:space="preserve">ESG criteria </w:t>
      </w:r>
      <w:r w:rsidRPr="002C24A8">
        <w:rPr>
          <w:rFonts w:ascii="Times New Roman" w:hAnsi="Times New Roman" w:cs="Times New Roman"/>
          <w:sz w:val="24"/>
          <w:szCs w:val="24"/>
          <w:lang w:val="en-US"/>
        </w:rPr>
        <w:t xml:space="preserve">on </w:t>
      </w:r>
      <w:r w:rsidR="00503CB1" w:rsidRPr="002C24A8">
        <w:rPr>
          <w:rFonts w:ascii="Times New Roman" w:hAnsi="Times New Roman" w:cs="Times New Roman"/>
          <w:sz w:val="24"/>
          <w:szCs w:val="24"/>
          <w:lang w:val="en-US"/>
        </w:rPr>
        <w:t>firms</w:t>
      </w:r>
      <w:r w:rsidRPr="002C24A8">
        <w:rPr>
          <w:rFonts w:ascii="Times New Roman" w:hAnsi="Times New Roman" w:cs="Times New Roman"/>
          <w:sz w:val="24"/>
          <w:szCs w:val="24"/>
          <w:lang w:val="en-US"/>
        </w:rPr>
        <w:t>’ technological change</w:t>
      </w:r>
      <w:r w:rsidR="00503CB1" w:rsidRPr="002C24A8">
        <w:rPr>
          <w:rFonts w:ascii="Times New Roman" w:hAnsi="Times New Roman" w:cs="Times New Roman"/>
          <w:sz w:val="24"/>
          <w:szCs w:val="24"/>
          <w:lang w:val="en-US"/>
        </w:rPr>
        <w:t xml:space="preserve"> </w:t>
      </w:r>
      <w:r w:rsidR="00B2684A" w:rsidRPr="002C24A8">
        <w:rPr>
          <w:rFonts w:ascii="Times New Roman" w:hAnsi="Times New Roman" w:cs="Times New Roman"/>
          <w:sz w:val="24"/>
          <w:szCs w:val="24"/>
          <w:lang w:val="en-US"/>
        </w:rPr>
        <w:t>levels</w:t>
      </w:r>
      <w:r w:rsidR="00503CB1" w:rsidRPr="002C24A8">
        <w:rPr>
          <w:rFonts w:ascii="Times New Roman" w:hAnsi="Times New Roman" w:cs="Times New Roman"/>
          <w:sz w:val="24"/>
          <w:szCs w:val="24"/>
          <w:lang w:val="en-US"/>
        </w:rPr>
        <w:t xml:space="preserve"> (i.e. on its innovation capacity).</w:t>
      </w:r>
      <w:r w:rsidR="00B2684A" w:rsidRPr="002C24A8">
        <w:rPr>
          <w:rStyle w:val="FootnoteReference"/>
          <w:rFonts w:ascii="Times New Roman" w:hAnsi="Times New Roman" w:cs="Times New Roman"/>
          <w:sz w:val="24"/>
          <w:szCs w:val="24"/>
          <w:lang w:val="en-US"/>
        </w:rPr>
        <w:footnoteReference w:id="17"/>
      </w:r>
      <w:r w:rsidR="00503CB1" w:rsidRPr="002C24A8">
        <w:rPr>
          <w:rFonts w:ascii="Times New Roman" w:hAnsi="Times New Roman" w:cs="Times New Roman"/>
          <w:sz w:val="24"/>
          <w:szCs w:val="24"/>
          <w:lang w:val="en-US"/>
        </w:rPr>
        <w:t xml:space="preserve"> </w:t>
      </w:r>
      <w:r w:rsidRPr="002C24A8">
        <w:rPr>
          <w:rFonts w:ascii="Times New Roman" w:hAnsi="Times New Roman" w:cs="Times New Roman"/>
          <w:sz w:val="24"/>
          <w:szCs w:val="24"/>
          <w:lang w:val="en-US"/>
        </w:rPr>
        <w:t>As suggested by Bădin et al. (2012)</w:t>
      </w:r>
      <w:r w:rsidR="000347FE" w:rsidRPr="002C24A8">
        <w:rPr>
          <w:rFonts w:ascii="Times New Roman" w:hAnsi="Times New Roman" w:cs="Times New Roman"/>
          <w:sz w:val="24"/>
          <w:szCs w:val="24"/>
          <w:lang w:val="en-US"/>
        </w:rPr>
        <w:t>,</w:t>
      </w:r>
      <w:r w:rsidRPr="002C24A8">
        <w:rPr>
          <w:rFonts w:ascii="Times New Roman" w:hAnsi="Times New Roman" w:cs="Times New Roman"/>
          <w:sz w:val="24"/>
          <w:szCs w:val="24"/>
          <w:lang w:val="en-US"/>
        </w:rPr>
        <w:t xml:space="preserve"> an increasing regression line indicates a positive effect on </w:t>
      </w:r>
      <w:r w:rsidR="00503CB1" w:rsidRPr="002C24A8">
        <w:rPr>
          <w:rFonts w:ascii="Times New Roman" w:hAnsi="Times New Roman" w:cs="Times New Roman"/>
          <w:sz w:val="24"/>
          <w:szCs w:val="24"/>
          <w:lang w:val="en-US"/>
        </w:rPr>
        <w:t>firms</w:t>
      </w:r>
      <w:r w:rsidRPr="002C24A8">
        <w:rPr>
          <w:rFonts w:ascii="Times New Roman" w:hAnsi="Times New Roman" w:cs="Times New Roman"/>
          <w:sz w:val="24"/>
          <w:szCs w:val="24"/>
          <w:lang w:val="en-US"/>
        </w:rPr>
        <w:t>’ technological change (shift on the frontier) whereas, the opposite</w:t>
      </w:r>
      <w:r w:rsidR="00503CB1" w:rsidRPr="002C24A8">
        <w:rPr>
          <w:rFonts w:ascii="Times New Roman" w:hAnsi="Times New Roman" w:cs="Times New Roman"/>
          <w:sz w:val="24"/>
          <w:szCs w:val="24"/>
          <w:lang w:val="en-US"/>
        </w:rPr>
        <w:t xml:space="preserve"> phenomenon</w:t>
      </w:r>
      <w:r w:rsidRPr="002C24A8">
        <w:rPr>
          <w:rFonts w:ascii="Times New Roman" w:hAnsi="Times New Roman" w:cs="Times New Roman"/>
          <w:sz w:val="24"/>
          <w:szCs w:val="24"/>
          <w:lang w:val="en-US"/>
        </w:rPr>
        <w:t xml:space="preserve"> indicates an </w:t>
      </w:r>
      <w:r w:rsidR="00B2684A" w:rsidRPr="002C24A8">
        <w:rPr>
          <w:rFonts w:ascii="Times New Roman" w:hAnsi="Times New Roman" w:cs="Times New Roman"/>
          <w:sz w:val="24"/>
          <w:szCs w:val="24"/>
          <w:lang w:val="en-US"/>
        </w:rPr>
        <w:t>unfavorable</w:t>
      </w:r>
      <w:r w:rsidRPr="002C24A8">
        <w:rPr>
          <w:rFonts w:ascii="Times New Roman" w:hAnsi="Times New Roman" w:cs="Times New Roman"/>
          <w:sz w:val="24"/>
          <w:szCs w:val="24"/>
          <w:lang w:val="en-US"/>
        </w:rPr>
        <w:t xml:space="preserve"> effect. In the </w:t>
      </w:r>
      <w:r w:rsidR="00A41368" w:rsidRPr="002C24A8">
        <w:rPr>
          <w:rFonts w:ascii="Times New Roman" w:hAnsi="Times New Roman" w:cs="Times New Roman"/>
          <w:sz w:val="24"/>
          <w:szCs w:val="24"/>
          <w:lang w:val="en-US"/>
        </w:rPr>
        <w:t>output-oriented</w:t>
      </w:r>
      <w:r w:rsidRPr="002C24A8">
        <w:rPr>
          <w:rFonts w:ascii="Times New Roman" w:hAnsi="Times New Roman" w:cs="Times New Roman"/>
          <w:sz w:val="24"/>
          <w:szCs w:val="24"/>
          <w:lang w:val="en-US"/>
        </w:rPr>
        <w:t xml:space="preserve"> case when the impact of the exogenous factors (time and </w:t>
      </w:r>
      <w:r w:rsidR="00503CB1" w:rsidRPr="002C24A8">
        <w:rPr>
          <w:rFonts w:ascii="Times New Roman" w:hAnsi="Times New Roman" w:cs="Times New Roman"/>
          <w:sz w:val="24"/>
          <w:szCs w:val="24"/>
          <w:lang w:val="en-US"/>
        </w:rPr>
        <w:t>ESG criteria</w:t>
      </w:r>
      <w:r w:rsidRPr="002C24A8">
        <w:rPr>
          <w:rFonts w:ascii="Times New Roman" w:hAnsi="Times New Roman" w:cs="Times New Roman"/>
          <w:sz w:val="24"/>
          <w:szCs w:val="24"/>
          <w:lang w:val="en-US"/>
        </w:rPr>
        <w:t>) is positive, then, these factors act as extra input</w:t>
      </w:r>
      <w:r w:rsidR="00206F9D">
        <w:rPr>
          <w:rFonts w:ascii="Times New Roman" w:hAnsi="Times New Roman" w:cs="Times New Roman"/>
          <w:sz w:val="24"/>
          <w:szCs w:val="24"/>
          <w:lang w:val="en-US"/>
        </w:rPr>
        <w:t>s which are</w:t>
      </w:r>
      <w:r w:rsidRPr="002C24A8">
        <w:rPr>
          <w:rFonts w:ascii="Times New Roman" w:hAnsi="Times New Roman" w:cs="Times New Roman"/>
          <w:sz w:val="24"/>
          <w:szCs w:val="24"/>
          <w:lang w:val="en-US"/>
        </w:rPr>
        <w:t xml:space="preserve"> ‘freely available’, whereas, in the opposite case they act as ‘compulsory’ or ‘unavoidable’ output</w:t>
      </w:r>
      <w:r w:rsidR="00503CB1" w:rsidRPr="002C24A8">
        <w:rPr>
          <w:rFonts w:ascii="Times New Roman" w:hAnsi="Times New Roman" w:cs="Times New Roman"/>
          <w:sz w:val="24"/>
          <w:szCs w:val="24"/>
          <w:lang w:val="en-US"/>
        </w:rPr>
        <w:t xml:space="preserve"> on firms’ estimated production process</w:t>
      </w:r>
      <w:r w:rsidRPr="002C24A8">
        <w:rPr>
          <w:rFonts w:ascii="Times New Roman" w:hAnsi="Times New Roman" w:cs="Times New Roman"/>
          <w:sz w:val="24"/>
          <w:szCs w:val="24"/>
          <w:lang w:val="en-US"/>
        </w:rPr>
        <w:t xml:space="preserve"> (Bădin et al. 2014, pp. 15-16).</w:t>
      </w:r>
    </w:p>
    <w:p w14:paraId="256FA206" w14:textId="77777777" w:rsidR="003F3E36" w:rsidRPr="002C24A8" w:rsidRDefault="003F3E36" w:rsidP="00FF0E79">
      <w:pPr>
        <w:spacing w:after="0" w:line="480" w:lineRule="auto"/>
        <w:ind w:firstLine="720"/>
        <w:jc w:val="both"/>
        <w:rPr>
          <w:rFonts w:ascii="Times New Roman" w:hAnsi="Times New Roman" w:cs="Times New Roman"/>
          <w:sz w:val="24"/>
          <w:szCs w:val="24"/>
          <w:lang w:val="en-US"/>
        </w:rPr>
      </w:pPr>
    </w:p>
    <w:p w14:paraId="11D0A435" w14:textId="77777777" w:rsidR="00D41ADA" w:rsidRPr="002C24A8" w:rsidRDefault="00D41ADA" w:rsidP="00D41ADA">
      <w:pPr>
        <w:spacing w:after="0" w:line="480" w:lineRule="auto"/>
        <w:jc w:val="both"/>
        <w:rPr>
          <w:rFonts w:ascii="Times New Roman" w:hAnsi="Times New Roman" w:cs="Times New Roman"/>
          <w:b/>
          <w:sz w:val="24"/>
          <w:szCs w:val="24"/>
          <w:lang w:val="en-US"/>
        </w:rPr>
      </w:pPr>
      <w:r w:rsidRPr="002C24A8">
        <w:rPr>
          <w:rFonts w:ascii="Times New Roman" w:hAnsi="Times New Roman" w:cs="Times New Roman"/>
          <w:b/>
          <w:sz w:val="24"/>
          <w:szCs w:val="24"/>
          <w:lang w:val="en-US"/>
        </w:rPr>
        <w:t>4. Empirical findings</w:t>
      </w:r>
    </w:p>
    <w:p w14:paraId="0C3836C9" w14:textId="05C191AE" w:rsidR="007272DC" w:rsidRPr="002C24A8" w:rsidRDefault="007272DC" w:rsidP="00970701">
      <w:pPr>
        <w:spacing w:after="0" w:line="480" w:lineRule="auto"/>
        <w:ind w:firstLine="72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Firstly, we analyze diachronically the distributions of firms’ estimated efficiency levels </w:t>
      </w:r>
      <w:r w:rsidR="00CF17D0" w:rsidRPr="002C24A8">
        <w:rPr>
          <w:rFonts w:ascii="Times New Roman" w:hAnsi="Times New Roman" w:cs="Times New Roman"/>
          <w:sz w:val="24"/>
          <w:szCs w:val="24"/>
          <w:lang w:val="en-US"/>
        </w:rPr>
        <w:t xml:space="preserve">obtained from </w:t>
      </w:r>
      <w:r w:rsidRPr="002C24A8">
        <w:rPr>
          <w:rFonts w:ascii="Times New Roman" w:hAnsi="Times New Roman" w:cs="Times New Roman"/>
          <w:sz w:val="24"/>
          <w:szCs w:val="24"/>
          <w:lang w:val="en-US"/>
        </w:rPr>
        <w:t xml:space="preserve">both the conditional and unconditional cases. Figure 1 presents </w:t>
      </w:r>
      <w:r w:rsidR="00261553" w:rsidRPr="002C24A8">
        <w:rPr>
          <w:rFonts w:ascii="Times New Roman" w:hAnsi="Times New Roman" w:cs="Times New Roman"/>
          <w:sz w:val="24"/>
          <w:szCs w:val="24"/>
          <w:lang w:val="en-US"/>
        </w:rPr>
        <w:t xml:space="preserve">kernel </w:t>
      </w:r>
      <w:r w:rsidRPr="002C24A8">
        <w:rPr>
          <w:rFonts w:ascii="Times New Roman" w:hAnsi="Times New Roman" w:cs="Times New Roman"/>
          <w:sz w:val="24"/>
          <w:szCs w:val="24"/>
          <w:lang w:val="en-US"/>
        </w:rPr>
        <w:t>density plots displaying</w:t>
      </w:r>
      <w:r w:rsidR="00261553" w:rsidRPr="002C24A8">
        <w:rPr>
          <w:rFonts w:ascii="Times New Roman" w:hAnsi="Times New Roman" w:cs="Times New Roman"/>
          <w:sz w:val="24"/>
          <w:szCs w:val="24"/>
          <w:lang w:val="en-US"/>
        </w:rPr>
        <w:t xml:space="preserve"> the</w:t>
      </w:r>
      <w:r w:rsidRPr="002C24A8">
        <w:rPr>
          <w:rFonts w:ascii="Times New Roman" w:hAnsi="Times New Roman" w:cs="Times New Roman"/>
          <w:sz w:val="24"/>
          <w:szCs w:val="24"/>
          <w:lang w:val="en-US"/>
        </w:rPr>
        <w:t xml:space="preserve"> original (unconditional) estimates</w:t>
      </w:r>
      <w:r w:rsidR="00261553" w:rsidRPr="002C24A8">
        <w:rPr>
          <w:rFonts w:ascii="Times New Roman" w:hAnsi="Times New Roman" w:cs="Times New Roman"/>
          <w:sz w:val="24"/>
          <w:szCs w:val="24"/>
          <w:lang w:val="en-US"/>
        </w:rPr>
        <w:t xml:space="preserve"> of firms’ efficiency</w:t>
      </w:r>
      <w:r w:rsidRPr="002C24A8">
        <w:rPr>
          <w:rFonts w:ascii="Times New Roman" w:hAnsi="Times New Roman" w:cs="Times New Roman"/>
          <w:sz w:val="24"/>
          <w:szCs w:val="24"/>
          <w:lang w:val="en-US"/>
        </w:rPr>
        <w:t xml:space="preserve"> with black </w:t>
      </w:r>
      <w:r w:rsidR="00261553" w:rsidRPr="002C24A8">
        <w:rPr>
          <w:rFonts w:ascii="Times New Roman" w:hAnsi="Times New Roman" w:cs="Times New Roman"/>
          <w:sz w:val="24"/>
          <w:szCs w:val="24"/>
          <w:lang w:val="en-US"/>
        </w:rPr>
        <w:t>lines</w:t>
      </w:r>
      <w:r w:rsidRPr="002C24A8">
        <w:rPr>
          <w:rFonts w:ascii="Times New Roman" w:hAnsi="Times New Roman" w:cs="Times New Roman"/>
          <w:sz w:val="24"/>
          <w:szCs w:val="24"/>
          <w:lang w:val="en-US"/>
        </w:rPr>
        <w:t xml:space="preserve">, whereas the conditional estimates are presented in red. Additionally, two vertical lines </w:t>
      </w:r>
      <w:r w:rsidR="00261553" w:rsidRPr="002C24A8">
        <w:rPr>
          <w:rFonts w:ascii="Times New Roman" w:hAnsi="Times New Roman" w:cs="Times New Roman"/>
          <w:sz w:val="24"/>
          <w:szCs w:val="24"/>
          <w:lang w:val="en-US"/>
        </w:rPr>
        <w:t xml:space="preserve">are used to </w:t>
      </w:r>
      <w:r w:rsidRPr="002C24A8">
        <w:rPr>
          <w:rFonts w:ascii="Times New Roman" w:hAnsi="Times New Roman" w:cs="Times New Roman"/>
          <w:sz w:val="24"/>
          <w:szCs w:val="24"/>
          <w:lang w:val="en-US"/>
        </w:rPr>
        <w:t>indicate the mean values of the estimated efficiency scores</w:t>
      </w:r>
      <w:r w:rsidR="00261553" w:rsidRPr="002C24A8">
        <w:rPr>
          <w:rFonts w:ascii="Times New Roman" w:hAnsi="Times New Roman" w:cs="Times New Roman"/>
          <w:sz w:val="24"/>
          <w:szCs w:val="24"/>
          <w:lang w:val="en-US"/>
        </w:rPr>
        <w:t xml:space="preserve"> with respect to each of the distributions</w:t>
      </w:r>
      <w:r w:rsidRPr="002C24A8">
        <w:rPr>
          <w:rFonts w:ascii="Times New Roman" w:hAnsi="Times New Roman" w:cs="Times New Roman"/>
          <w:sz w:val="24"/>
          <w:szCs w:val="24"/>
          <w:lang w:val="en-US"/>
        </w:rPr>
        <w:t xml:space="preserve">. </w:t>
      </w:r>
      <w:r w:rsidR="002225C8" w:rsidRPr="002C24A8">
        <w:rPr>
          <w:rFonts w:ascii="Times New Roman" w:hAnsi="Times New Roman" w:cs="Times New Roman"/>
          <w:sz w:val="24"/>
          <w:szCs w:val="24"/>
          <w:lang w:val="en-US"/>
        </w:rPr>
        <w:t>I</w:t>
      </w:r>
      <w:r w:rsidRPr="002C24A8">
        <w:rPr>
          <w:rFonts w:ascii="Times New Roman" w:hAnsi="Times New Roman" w:cs="Times New Roman"/>
          <w:sz w:val="24"/>
          <w:szCs w:val="24"/>
          <w:lang w:val="en-US"/>
        </w:rPr>
        <w:t xml:space="preserve">t </w:t>
      </w:r>
      <w:r w:rsidR="00261553" w:rsidRPr="002C24A8">
        <w:rPr>
          <w:rFonts w:ascii="Times New Roman" w:hAnsi="Times New Roman" w:cs="Times New Roman"/>
          <w:sz w:val="24"/>
          <w:szCs w:val="24"/>
          <w:lang w:val="en-US"/>
        </w:rPr>
        <w:t xml:space="preserve">should </w:t>
      </w:r>
      <w:r w:rsidRPr="002C24A8">
        <w:rPr>
          <w:rFonts w:ascii="Times New Roman" w:hAnsi="Times New Roman" w:cs="Times New Roman"/>
          <w:sz w:val="24"/>
          <w:szCs w:val="24"/>
          <w:lang w:val="en-US"/>
        </w:rPr>
        <w:t>be no</w:t>
      </w:r>
      <w:r w:rsidR="00261553" w:rsidRPr="002C24A8">
        <w:rPr>
          <w:rFonts w:ascii="Times New Roman" w:hAnsi="Times New Roman" w:cs="Times New Roman"/>
          <w:sz w:val="24"/>
          <w:szCs w:val="24"/>
          <w:lang w:val="en-US"/>
        </w:rPr>
        <w:t>t</w:t>
      </w:r>
      <w:r w:rsidRPr="002C24A8">
        <w:rPr>
          <w:rFonts w:ascii="Times New Roman" w:hAnsi="Times New Roman" w:cs="Times New Roman"/>
          <w:sz w:val="24"/>
          <w:szCs w:val="24"/>
          <w:lang w:val="en-US"/>
        </w:rPr>
        <w:t xml:space="preserve">ed that the </w:t>
      </w:r>
      <w:r w:rsidR="00261553" w:rsidRPr="002C24A8">
        <w:rPr>
          <w:rFonts w:ascii="Times New Roman" w:hAnsi="Times New Roman" w:cs="Times New Roman"/>
          <w:sz w:val="24"/>
          <w:szCs w:val="24"/>
          <w:lang w:val="en-US"/>
        </w:rPr>
        <w:t xml:space="preserve">plotted </w:t>
      </w:r>
      <w:r w:rsidRPr="002C24A8">
        <w:rPr>
          <w:rFonts w:ascii="Times New Roman" w:hAnsi="Times New Roman" w:cs="Times New Roman"/>
          <w:sz w:val="24"/>
          <w:szCs w:val="24"/>
          <w:lang w:val="en-US"/>
        </w:rPr>
        <w:t>efficiency estimates</w:t>
      </w:r>
      <w:r w:rsidR="00261553" w:rsidRPr="002C24A8">
        <w:rPr>
          <w:rFonts w:ascii="Times New Roman" w:hAnsi="Times New Roman" w:cs="Times New Roman"/>
          <w:sz w:val="24"/>
          <w:szCs w:val="24"/>
          <w:lang w:val="en-US"/>
        </w:rPr>
        <w:t>,</w:t>
      </w:r>
      <w:r w:rsidRPr="002C24A8">
        <w:rPr>
          <w:rFonts w:ascii="Times New Roman" w:hAnsi="Times New Roman" w:cs="Times New Roman"/>
          <w:sz w:val="24"/>
          <w:szCs w:val="24"/>
          <w:lang w:val="en-US"/>
        </w:rPr>
        <w:t xml:space="preserve"> both for original and conditional cases</w:t>
      </w:r>
      <w:r w:rsidR="00261553" w:rsidRPr="002C24A8">
        <w:rPr>
          <w:rFonts w:ascii="Times New Roman" w:hAnsi="Times New Roman" w:cs="Times New Roman"/>
          <w:sz w:val="24"/>
          <w:szCs w:val="24"/>
          <w:lang w:val="en-US"/>
        </w:rPr>
        <w:t>,</w:t>
      </w:r>
      <w:r w:rsidRPr="002C24A8">
        <w:rPr>
          <w:rFonts w:ascii="Times New Roman" w:hAnsi="Times New Roman" w:cs="Times New Roman"/>
          <w:sz w:val="24"/>
          <w:szCs w:val="24"/>
          <w:lang w:val="en-US"/>
        </w:rPr>
        <w:t xml:space="preserve"> are</w:t>
      </w:r>
      <w:r w:rsidR="00261553" w:rsidRPr="002C24A8">
        <w:rPr>
          <w:rFonts w:ascii="Times New Roman" w:hAnsi="Times New Roman" w:cs="Times New Roman"/>
          <w:sz w:val="24"/>
          <w:szCs w:val="24"/>
          <w:lang w:val="en-US"/>
        </w:rPr>
        <w:t xml:space="preserve"> defined and</w:t>
      </w:r>
      <w:r w:rsidRPr="002C24A8">
        <w:rPr>
          <w:rFonts w:ascii="Times New Roman" w:hAnsi="Times New Roman" w:cs="Times New Roman"/>
          <w:sz w:val="24"/>
          <w:szCs w:val="24"/>
          <w:lang w:val="en-US"/>
        </w:rPr>
        <w:t xml:space="preserve"> presented in terms of Shephard-type efficiency measures taking values between 0</w:t>
      </w:r>
      <w:r w:rsidR="00261553" w:rsidRPr="002C24A8">
        <w:rPr>
          <w:rFonts w:ascii="Times New Roman" w:hAnsi="Times New Roman" w:cs="Times New Roman"/>
          <w:sz w:val="24"/>
          <w:szCs w:val="24"/>
          <w:lang w:val="en-US"/>
        </w:rPr>
        <w:t xml:space="preserve"> (fully inefficient firms)</w:t>
      </w:r>
      <w:r w:rsidRPr="002C24A8">
        <w:rPr>
          <w:rFonts w:ascii="Times New Roman" w:hAnsi="Times New Roman" w:cs="Times New Roman"/>
          <w:sz w:val="24"/>
          <w:szCs w:val="24"/>
          <w:lang w:val="en-US"/>
        </w:rPr>
        <w:t xml:space="preserve"> to 1 (</w:t>
      </w:r>
      <w:r w:rsidR="00261553" w:rsidRPr="002C24A8">
        <w:rPr>
          <w:rFonts w:ascii="Times New Roman" w:hAnsi="Times New Roman" w:cs="Times New Roman"/>
          <w:sz w:val="24"/>
          <w:szCs w:val="24"/>
          <w:lang w:val="en-US"/>
        </w:rPr>
        <w:t xml:space="preserve">fully </w:t>
      </w:r>
      <w:r w:rsidRPr="002C24A8">
        <w:rPr>
          <w:rFonts w:ascii="Times New Roman" w:hAnsi="Times New Roman" w:cs="Times New Roman"/>
          <w:sz w:val="24"/>
          <w:szCs w:val="24"/>
          <w:lang w:val="en-US"/>
        </w:rPr>
        <w:t xml:space="preserve">efficient </w:t>
      </w:r>
      <w:r w:rsidR="002225C8" w:rsidRPr="002C24A8">
        <w:rPr>
          <w:rFonts w:ascii="Times New Roman" w:hAnsi="Times New Roman" w:cs="Times New Roman"/>
          <w:sz w:val="24"/>
          <w:szCs w:val="24"/>
          <w:lang w:val="en-US"/>
        </w:rPr>
        <w:t>firms</w:t>
      </w:r>
      <w:r w:rsidRPr="002C24A8">
        <w:rPr>
          <w:rFonts w:ascii="Times New Roman" w:hAnsi="Times New Roman" w:cs="Times New Roman"/>
          <w:sz w:val="24"/>
          <w:szCs w:val="24"/>
          <w:lang w:val="en-US"/>
        </w:rPr>
        <w:t xml:space="preserve">). Subfigure 1a </w:t>
      </w:r>
      <w:r w:rsidR="00106316" w:rsidRPr="002C24A8">
        <w:rPr>
          <w:rFonts w:ascii="Times New Roman" w:hAnsi="Times New Roman" w:cs="Times New Roman"/>
          <w:sz w:val="24"/>
          <w:szCs w:val="24"/>
          <w:lang w:val="en-US"/>
        </w:rPr>
        <w:t xml:space="preserve">contains </w:t>
      </w:r>
      <w:r w:rsidRPr="002C24A8">
        <w:rPr>
          <w:rFonts w:ascii="Times New Roman" w:hAnsi="Times New Roman" w:cs="Times New Roman"/>
          <w:sz w:val="24"/>
          <w:szCs w:val="24"/>
          <w:lang w:val="en-US"/>
        </w:rPr>
        <w:t>the efficienc</w:t>
      </w:r>
      <w:r w:rsidR="00106316" w:rsidRPr="002C24A8">
        <w:rPr>
          <w:rFonts w:ascii="Times New Roman" w:hAnsi="Times New Roman" w:cs="Times New Roman"/>
          <w:sz w:val="24"/>
          <w:szCs w:val="24"/>
          <w:lang w:val="en-US"/>
        </w:rPr>
        <w:t>y</w:t>
      </w:r>
      <w:r w:rsidRPr="002C24A8">
        <w:rPr>
          <w:rFonts w:ascii="Times New Roman" w:hAnsi="Times New Roman" w:cs="Times New Roman"/>
          <w:sz w:val="24"/>
          <w:szCs w:val="24"/>
          <w:lang w:val="en-US"/>
        </w:rPr>
        <w:t xml:space="preserve"> distributions for all years</w:t>
      </w:r>
      <w:r w:rsidR="00261553" w:rsidRPr="002C24A8">
        <w:rPr>
          <w:rFonts w:ascii="Times New Roman" w:hAnsi="Times New Roman" w:cs="Times New Roman"/>
          <w:sz w:val="24"/>
          <w:szCs w:val="24"/>
          <w:lang w:val="en-US"/>
        </w:rPr>
        <w:t>, while 1b through 1j plot the efficiency scores for individual years</w:t>
      </w:r>
      <w:r w:rsidRPr="002C24A8">
        <w:rPr>
          <w:rFonts w:ascii="Times New Roman" w:hAnsi="Times New Roman" w:cs="Times New Roman"/>
          <w:sz w:val="24"/>
          <w:szCs w:val="24"/>
          <w:lang w:val="en-US"/>
        </w:rPr>
        <w:t xml:space="preserve">. </w:t>
      </w:r>
      <w:r w:rsidR="00261553" w:rsidRPr="002C24A8">
        <w:rPr>
          <w:rFonts w:ascii="Times New Roman" w:hAnsi="Times New Roman" w:cs="Times New Roman"/>
          <w:sz w:val="24"/>
          <w:szCs w:val="24"/>
          <w:lang w:val="en-US"/>
        </w:rPr>
        <w:t>For</w:t>
      </w:r>
      <w:r w:rsidRPr="002C24A8">
        <w:rPr>
          <w:rFonts w:ascii="Times New Roman" w:hAnsi="Times New Roman" w:cs="Times New Roman"/>
          <w:sz w:val="24"/>
          <w:szCs w:val="24"/>
          <w:lang w:val="en-US"/>
        </w:rPr>
        <w:t xml:space="preserve"> both</w:t>
      </w:r>
      <w:r w:rsidR="00261553" w:rsidRPr="002C24A8">
        <w:rPr>
          <w:rFonts w:ascii="Times New Roman" w:hAnsi="Times New Roman" w:cs="Times New Roman"/>
          <w:sz w:val="24"/>
          <w:szCs w:val="24"/>
          <w:lang w:val="en-US"/>
        </w:rPr>
        <w:t xml:space="preserve"> the unconditional and conditional</w:t>
      </w:r>
      <w:r w:rsidRPr="002C24A8">
        <w:rPr>
          <w:rFonts w:ascii="Times New Roman" w:hAnsi="Times New Roman" w:cs="Times New Roman"/>
          <w:sz w:val="24"/>
          <w:szCs w:val="24"/>
          <w:lang w:val="en-US"/>
        </w:rPr>
        <w:t xml:space="preserve"> measures we </w:t>
      </w:r>
      <w:r w:rsidR="00261553" w:rsidRPr="002C24A8">
        <w:rPr>
          <w:rFonts w:ascii="Times New Roman" w:hAnsi="Times New Roman" w:cs="Times New Roman"/>
          <w:sz w:val="24"/>
          <w:szCs w:val="24"/>
          <w:lang w:val="en-US"/>
        </w:rPr>
        <w:t>observe</w:t>
      </w:r>
      <w:r w:rsidRPr="002C24A8">
        <w:rPr>
          <w:rFonts w:ascii="Times New Roman" w:hAnsi="Times New Roman" w:cs="Times New Roman"/>
          <w:sz w:val="24"/>
          <w:szCs w:val="24"/>
          <w:lang w:val="en-US"/>
        </w:rPr>
        <w:t xml:space="preserve"> bimodality with </w:t>
      </w:r>
      <w:r w:rsidR="00261553" w:rsidRPr="002C24A8">
        <w:rPr>
          <w:rFonts w:ascii="Times New Roman" w:hAnsi="Times New Roman" w:cs="Times New Roman"/>
          <w:sz w:val="24"/>
          <w:szCs w:val="24"/>
          <w:lang w:val="en-US"/>
        </w:rPr>
        <w:t xml:space="preserve">a cluster of </w:t>
      </w:r>
      <w:r w:rsidRPr="002C24A8">
        <w:rPr>
          <w:rFonts w:ascii="Times New Roman" w:hAnsi="Times New Roman" w:cs="Times New Roman"/>
          <w:sz w:val="24"/>
          <w:szCs w:val="24"/>
          <w:lang w:val="en-US"/>
        </w:rPr>
        <w:t xml:space="preserve">firms concentrated around </w:t>
      </w:r>
      <w:r w:rsidR="00951363" w:rsidRPr="002C24A8">
        <w:rPr>
          <w:rFonts w:ascii="Times New Roman" w:hAnsi="Times New Roman" w:cs="Times New Roman"/>
          <w:sz w:val="24"/>
          <w:szCs w:val="24"/>
          <w:lang w:val="en-US"/>
        </w:rPr>
        <w:t>1 and</w:t>
      </w:r>
      <w:r w:rsidR="00261553" w:rsidRPr="002C24A8">
        <w:rPr>
          <w:rFonts w:ascii="Times New Roman" w:hAnsi="Times New Roman" w:cs="Times New Roman"/>
          <w:sz w:val="24"/>
          <w:szCs w:val="24"/>
          <w:lang w:val="en-US"/>
        </w:rPr>
        <w:t xml:space="preserve"> a second</w:t>
      </w:r>
      <w:r w:rsidR="00951363" w:rsidRPr="002C24A8">
        <w:rPr>
          <w:rFonts w:ascii="Times New Roman" w:hAnsi="Times New Roman" w:cs="Times New Roman"/>
          <w:sz w:val="24"/>
          <w:szCs w:val="24"/>
          <w:lang w:val="en-US"/>
        </w:rPr>
        <w:t xml:space="preserve"> larger mass </w:t>
      </w:r>
      <w:r w:rsidR="00261553" w:rsidRPr="002C24A8">
        <w:rPr>
          <w:rFonts w:ascii="Times New Roman" w:hAnsi="Times New Roman" w:cs="Times New Roman"/>
          <w:sz w:val="24"/>
          <w:szCs w:val="24"/>
          <w:lang w:val="en-US"/>
        </w:rPr>
        <w:t xml:space="preserve">centered </w:t>
      </w:r>
      <w:r w:rsidR="00951363" w:rsidRPr="002C24A8">
        <w:rPr>
          <w:rFonts w:ascii="Times New Roman" w:hAnsi="Times New Roman" w:cs="Times New Roman"/>
          <w:sz w:val="24"/>
          <w:szCs w:val="24"/>
          <w:lang w:val="en-US"/>
        </w:rPr>
        <w:t xml:space="preserve">just below 0.5. </w:t>
      </w:r>
      <w:r w:rsidR="00261553" w:rsidRPr="002C24A8">
        <w:rPr>
          <w:rFonts w:ascii="Times New Roman" w:hAnsi="Times New Roman" w:cs="Times New Roman"/>
          <w:sz w:val="24"/>
          <w:szCs w:val="24"/>
          <w:lang w:val="en-US"/>
        </w:rPr>
        <w:t>T</w:t>
      </w:r>
      <w:r w:rsidR="00951363" w:rsidRPr="002C24A8">
        <w:rPr>
          <w:rFonts w:ascii="Times New Roman" w:hAnsi="Times New Roman" w:cs="Times New Roman"/>
          <w:sz w:val="24"/>
          <w:szCs w:val="24"/>
          <w:lang w:val="en-US"/>
        </w:rPr>
        <w:t xml:space="preserve">his </w:t>
      </w:r>
      <w:r w:rsidR="00261553" w:rsidRPr="002C24A8">
        <w:rPr>
          <w:rFonts w:ascii="Times New Roman" w:hAnsi="Times New Roman" w:cs="Times New Roman"/>
          <w:sz w:val="24"/>
          <w:szCs w:val="24"/>
          <w:lang w:val="en-US"/>
        </w:rPr>
        <w:t xml:space="preserve">pattern persists </w:t>
      </w:r>
      <w:r w:rsidR="00951363" w:rsidRPr="002C24A8">
        <w:rPr>
          <w:rFonts w:ascii="Times New Roman" w:hAnsi="Times New Roman" w:cs="Times New Roman"/>
          <w:sz w:val="24"/>
          <w:szCs w:val="24"/>
          <w:lang w:val="en-US"/>
        </w:rPr>
        <w:t xml:space="preserve">for all the years in our </w:t>
      </w:r>
      <w:r w:rsidR="00AF6452" w:rsidRPr="002C24A8">
        <w:rPr>
          <w:rFonts w:ascii="Times New Roman" w:hAnsi="Times New Roman" w:cs="Times New Roman"/>
          <w:sz w:val="24"/>
          <w:szCs w:val="24"/>
          <w:lang w:val="en-US"/>
        </w:rPr>
        <w:t>analysis</w:t>
      </w:r>
      <w:r w:rsidR="00106316" w:rsidRPr="002C24A8">
        <w:rPr>
          <w:rFonts w:ascii="Times New Roman" w:hAnsi="Times New Roman" w:cs="Times New Roman"/>
          <w:sz w:val="24"/>
          <w:szCs w:val="24"/>
          <w:lang w:val="en-US"/>
        </w:rPr>
        <w:t>,</w:t>
      </w:r>
      <w:r w:rsidR="00AF6452" w:rsidRPr="002C24A8">
        <w:rPr>
          <w:rFonts w:ascii="Times New Roman" w:hAnsi="Times New Roman" w:cs="Times New Roman"/>
          <w:sz w:val="24"/>
          <w:szCs w:val="24"/>
          <w:lang w:val="en-US"/>
        </w:rPr>
        <w:t xml:space="preserve"> therefore </w:t>
      </w:r>
      <w:r w:rsidR="00951363" w:rsidRPr="002C24A8">
        <w:rPr>
          <w:rFonts w:ascii="Times New Roman" w:hAnsi="Times New Roman" w:cs="Times New Roman"/>
          <w:sz w:val="24"/>
          <w:szCs w:val="24"/>
          <w:lang w:val="en-US"/>
        </w:rPr>
        <w:t>the mean of the estimated efficiencies (</w:t>
      </w:r>
      <w:r w:rsidR="00970701" w:rsidRPr="002C24A8">
        <w:rPr>
          <w:rFonts w:ascii="Times New Roman" w:hAnsi="Times New Roman" w:cs="Times New Roman"/>
          <w:sz w:val="24"/>
          <w:szCs w:val="24"/>
          <w:lang w:val="en-US"/>
        </w:rPr>
        <w:t>for both the original and the</w:t>
      </w:r>
      <w:r w:rsidR="00951363" w:rsidRPr="002C24A8">
        <w:rPr>
          <w:rFonts w:ascii="Times New Roman" w:hAnsi="Times New Roman" w:cs="Times New Roman"/>
          <w:sz w:val="24"/>
          <w:szCs w:val="24"/>
          <w:lang w:val="en-US"/>
        </w:rPr>
        <w:t xml:space="preserve"> conditional estimates) is</w:t>
      </w:r>
      <w:r w:rsidR="00AF6452" w:rsidRPr="002C24A8">
        <w:rPr>
          <w:rFonts w:ascii="Times New Roman" w:hAnsi="Times New Roman" w:cs="Times New Roman"/>
          <w:sz w:val="24"/>
          <w:szCs w:val="24"/>
          <w:lang w:val="en-US"/>
        </w:rPr>
        <w:t xml:space="preserve"> also</w:t>
      </w:r>
      <w:r w:rsidR="00951363" w:rsidRPr="002C24A8">
        <w:rPr>
          <w:rFonts w:ascii="Times New Roman" w:hAnsi="Times New Roman" w:cs="Times New Roman"/>
          <w:sz w:val="24"/>
          <w:szCs w:val="24"/>
          <w:lang w:val="en-US"/>
        </w:rPr>
        <w:t xml:space="preserve"> stable over the examined periods.</w:t>
      </w:r>
      <w:r w:rsidR="000347FE" w:rsidRPr="002C24A8">
        <w:rPr>
          <w:rFonts w:ascii="Times New Roman" w:hAnsi="Times New Roman" w:cs="Times New Roman"/>
          <w:sz w:val="24"/>
          <w:szCs w:val="24"/>
          <w:lang w:val="en-US"/>
        </w:rPr>
        <w:t xml:space="preserve"> I</w:t>
      </w:r>
      <w:r w:rsidR="00951363" w:rsidRPr="002C24A8">
        <w:rPr>
          <w:rFonts w:ascii="Times New Roman" w:hAnsi="Times New Roman" w:cs="Times New Roman"/>
          <w:sz w:val="24"/>
          <w:szCs w:val="24"/>
          <w:lang w:val="en-US"/>
        </w:rPr>
        <w:t>t is</w:t>
      </w:r>
      <w:r w:rsidR="000347FE" w:rsidRPr="002C24A8">
        <w:rPr>
          <w:rFonts w:ascii="Times New Roman" w:hAnsi="Times New Roman" w:cs="Times New Roman"/>
          <w:sz w:val="24"/>
          <w:szCs w:val="24"/>
          <w:lang w:val="en-US"/>
        </w:rPr>
        <w:t xml:space="preserve"> </w:t>
      </w:r>
      <w:r w:rsidR="00AF6452" w:rsidRPr="002C24A8">
        <w:rPr>
          <w:rFonts w:ascii="Times New Roman" w:hAnsi="Times New Roman" w:cs="Times New Roman"/>
          <w:sz w:val="24"/>
          <w:szCs w:val="24"/>
          <w:lang w:val="en-US"/>
        </w:rPr>
        <w:t>particularly noteworthy</w:t>
      </w:r>
      <w:r w:rsidR="00951363" w:rsidRPr="002C24A8">
        <w:rPr>
          <w:rFonts w:ascii="Times New Roman" w:hAnsi="Times New Roman" w:cs="Times New Roman"/>
          <w:sz w:val="24"/>
          <w:szCs w:val="24"/>
          <w:lang w:val="en-US"/>
        </w:rPr>
        <w:t xml:space="preserve"> that </w:t>
      </w:r>
      <w:r w:rsidR="00AF6452" w:rsidRPr="002C24A8">
        <w:rPr>
          <w:rFonts w:ascii="Times New Roman" w:hAnsi="Times New Roman" w:cs="Times New Roman"/>
          <w:sz w:val="24"/>
          <w:szCs w:val="24"/>
          <w:lang w:val="en-US"/>
        </w:rPr>
        <w:lastRenderedPageBreak/>
        <w:t xml:space="preserve">when taking into consideration </w:t>
      </w:r>
      <w:r w:rsidR="00951363" w:rsidRPr="002C24A8">
        <w:rPr>
          <w:rFonts w:ascii="Times New Roman" w:hAnsi="Times New Roman" w:cs="Times New Roman"/>
          <w:sz w:val="24"/>
          <w:szCs w:val="24"/>
          <w:lang w:val="en-US"/>
        </w:rPr>
        <w:t xml:space="preserve">the </w:t>
      </w:r>
      <w:r w:rsidR="00AF6452" w:rsidRPr="002C24A8">
        <w:rPr>
          <w:rFonts w:ascii="Times New Roman" w:hAnsi="Times New Roman" w:cs="Times New Roman"/>
          <w:sz w:val="24"/>
          <w:szCs w:val="24"/>
          <w:lang w:val="en-US"/>
        </w:rPr>
        <w:t xml:space="preserve">potential </w:t>
      </w:r>
      <w:r w:rsidR="00951363" w:rsidRPr="002C24A8">
        <w:rPr>
          <w:rFonts w:ascii="Times New Roman" w:hAnsi="Times New Roman" w:cs="Times New Roman"/>
          <w:sz w:val="24"/>
          <w:szCs w:val="24"/>
          <w:lang w:val="en-US"/>
        </w:rPr>
        <w:t>effect of ESG criteria (conditional estimates)</w:t>
      </w:r>
      <w:r w:rsidR="00AF6452" w:rsidRPr="002C24A8">
        <w:rPr>
          <w:rFonts w:ascii="Times New Roman" w:hAnsi="Times New Roman" w:cs="Times New Roman"/>
          <w:sz w:val="24"/>
          <w:szCs w:val="24"/>
          <w:lang w:val="en-US"/>
        </w:rPr>
        <w:t>,</w:t>
      </w:r>
      <w:r w:rsidR="00951363" w:rsidRPr="002C24A8">
        <w:rPr>
          <w:rFonts w:ascii="Times New Roman" w:hAnsi="Times New Roman" w:cs="Times New Roman"/>
          <w:sz w:val="24"/>
          <w:szCs w:val="24"/>
          <w:lang w:val="en-US"/>
        </w:rPr>
        <w:t xml:space="preserve"> the distributions of the estimated efficiencies became more platykurtic. It appears under the effect of the ESG criteria adoption firms’ efficiency </w:t>
      </w:r>
      <w:r w:rsidR="00970701" w:rsidRPr="002C24A8">
        <w:rPr>
          <w:rFonts w:ascii="Times New Roman" w:hAnsi="Times New Roman" w:cs="Times New Roman"/>
          <w:sz w:val="24"/>
          <w:szCs w:val="24"/>
          <w:lang w:val="en-US"/>
        </w:rPr>
        <w:t>levels have</w:t>
      </w:r>
      <w:r w:rsidR="00951363" w:rsidRPr="002C24A8">
        <w:rPr>
          <w:rFonts w:ascii="Times New Roman" w:hAnsi="Times New Roman" w:cs="Times New Roman"/>
          <w:sz w:val="24"/>
          <w:szCs w:val="24"/>
          <w:lang w:val="en-US"/>
        </w:rPr>
        <w:t xml:space="preserve"> </w:t>
      </w:r>
      <w:r w:rsidR="00AF6452" w:rsidRPr="002C24A8">
        <w:rPr>
          <w:rFonts w:ascii="Times New Roman" w:hAnsi="Times New Roman" w:cs="Times New Roman"/>
          <w:sz w:val="24"/>
          <w:szCs w:val="24"/>
          <w:lang w:val="en-US"/>
        </w:rPr>
        <w:t>a lower likelihood of taking values less th</w:t>
      </w:r>
      <w:r w:rsidR="00106316" w:rsidRPr="002C24A8">
        <w:rPr>
          <w:rFonts w:ascii="Times New Roman" w:hAnsi="Times New Roman" w:cs="Times New Roman"/>
          <w:sz w:val="24"/>
          <w:szCs w:val="24"/>
          <w:lang w:val="en-US"/>
        </w:rPr>
        <w:t>a</w:t>
      </w:r>
      <w:r w:rsidR="00AF6452" w:rsidRPr="002C24A8">
        <w:rPr>
          <w:rFonts w:ascii="Times New Roman" w:hAnsi="Times New Roman" w:cs="Times New Roman"/>
          <w:sz w:val="24"/>
          <w:szCs w:val="24"/>
          <w:lang w:val="en-US"/>
        </w:rPr>
        <w:t>n 0.5, and a higher likelihood of taking efficiency scores closer to 1 – this also reflects in consistently higher mean efficiency scores</w:t>
      </w:r>
      <w:r w:rsidR="00970701" w:rsidRPr="002C24A8">
        <w:rPr>
          <w:rFonts w:ascii="Times New Roman" w:hAnsi="Times New Roman" w:cs="Times New Roman"/>
          <w:sz w:val="24"/>
          <w:szCs w:val="24"/>
          <w:lang w:val="en-US"/>
        </w:rPr>
        <w:t xml:space="preserve">. </w:t>
      </w:r>
      <w:r w:rsidRPr="002C24A8">
        <w:rPr>
          <w:rFonts w:ascii="Times New Roman" w:hAnsi="Times New Roman" w:cs="Times New Roman"/>
          <w:sz w:val="24"/>
          <w:szCs w:val="24"/>
          <w:lang w:val="en-US"/>
        </w:rPr>
        <w:t xml:space="preserve">   </w:t>
      </w:r>
    </w:p>
    <w:p w14:paraId="639A72F7" w14:textId="77777777" w:rsidR="00A36D99" w:rsidRPr="002C24A8" w:rsidRDefault="00A36D99" w:rsidP="00A36D99">
      <w:pPr>
        <w:spacing w:after="0" w:line="480" w:lineRule="auto"/>
        <w:ind w:firstLine="720"/>
        <w:jc w:val="center"/>
        <w:rPr>
          <w:rFonts w:ascii="Times New Roman" w:hAnsi="Times New Roman" w:cs="Times New Roman"/>
          <w:i/>
          <w:sz w:val="24"/>
          <w:szCs w:val="24"/>
          <w:lang w:val="en-US"/>
        </w:rPr>
      </w:pPr>
      <w:r w:rsidRPr="002C24A8">
        <w:rPr>
          <w:rFonts w:ascii="Times New Roman" w:hAnsi="Times New Roman" w:cs="Times New Roman"/>
          <w:i/>
          <w:sz w:val="24"/>
          <w:szCs w:val="24"/>
          <w:lang w:val="en-US"/>
        </w:rPr>
        <w:t>Figure 1 about here</w:t>
      </w:r>
    </w:p>
    <w:p w14:paraId="3739658B" w14:textId="6DFE83DE" w:rsidR="00A36D99" w:rsidRPr="002C24A8" w:rsidRDefault="000950AB" w:rsidP="000950AB">
      <w:pPr>
        <w:spacing w:after="0" w:line="480" w:lineRule="auto"/>
        <w:ind w:firstLine="72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In</w:t>
      </w:r>
      <w:r w:rsidR="000347FE" w:rsidRPr="002C24A8">
        <w:rPr>
          <w:rFonts w:ascii="Times New Roman" w:hAnsi="Times New Roman" w:cs="Times New Roman"/>
          <w:sz w:val="24"/>
          <w:szCs w:val="24"/>
          <w:lang w:val="en-US"/>
        </w:rPr>
        <w:t xml:space="preserve"> line with </w:t>
      </w:r>
      <w:r w:rsidR="00A41368" w:rsidRPr="002C24A8">
        <w:rPr>
          <w:rFonts w:ascii="Times New Roman" w:hAnsi="Times New Roman" w:cs="Times New Roman"/>
          <w:sz w:val="24"/>
          <w:szCs w:val="24"/>
          <w:lang w:val="en-US"/>
        </w:rPr>
        <w:t xml:space="preserve">our </w:t>
      </w:r>
      <w:r w:rsidR="002F42D3" w:rsidRPr="002C24A8">
        <w:rPr>
          <w:rFonts w:ascii="Times New Roman" w:hAnsi="Times New Roman" w:cs="Times New Roman"/>
          <w:sz w:val="24"/>
          <w:szCs w:val="24"/>
          <w:lang w:val="en-US"/>
        </w:rPr>
        <w:t xml:space="preserve">above </w:t>
      </w:r>
      <w:r w:rsidRPr="002C24A8">
        <w:rPr>
          <w:rFonts w:ascii="Times New Roman" w:hAnsi="Times New Roman" w:cs="Times New Roman"/>
          <w:sz w:val="24"/>
          <w:szCs w:val="24"/>
          <w:lang w:val="en-US"/>
        </w:rPr>
        <w:t>finding of overall diachronic stability among the estimated efficiency measures, Table 2</w:t>
      </w:r>
      <w:r w:rsidR="000347FE" w:rsidRPr="002C24A8">
        <w:rPr>
          <w:rFonts w:ascii="Times New Roman" w:hAnsi="Times New Roman" w:cs="Times New Roman"/>
          <w:sz w:val="24"/>
          <w:szCs w:val="24"/>
          <w:lang w:val="en-US"/>
        </w:rPr>
        <w:t xml:space="preserve"> </w:t>
      </w:r>
      <w:r w:rsidR="002F42D3" w:rsidRPr="002C24A8">
        <w:rPr>
          <w:rFonts w:ascii="Times New Roman" w:hAnsi="Times New Roman" w:cs="Times New Roman"/>
          <w:sz w:val="24"/>
          <w:szCs w:val="24"/>
          <w:lang w:val="en-US"/>
        </w:rPr>
        <w:t>deepens our analysis and</w:t>
      </w:r>
      <w:r w:rsidRPr="002C24A8">
        <w:rPr>
          <w:rFonts w:ascii="Times New Roman" w:hAnsi="Times New Roman" w:cs="Times New Roman"/>
          <w:sz w:val="24"/>
          <w:szCs w:val="24"/>
          <w:lang w:val="en-US"/>
        </w:rPr>
        <w:t xml:space="preserve"> presents sector </w:t>
      </w:r>
      <w:r w:rsidR="002F42D3" w:rsidRPr="002C24A8">
        <w:rPr>
          <w:rFonts w:ascii="Times New Roman" w:hAnsi="Times New Roman" w:cs="Times New Roman"/>
          <w:sz w:val="24"/>
          <w:szCs w:val="24"/>
          <w:lang w:val="en-US"/>
        </w:rPr>
        <w:t xml:space="preserve">specific summaries </w:t>
      </w:r>
      <w:r w:rsidRPr="002C24A8">
        <w:rPr>
          <w:rFonts w:ascii="Times New Roman" w:hAnsi="Times New Roman" w:cs="Times New Roman"/>
          <w:sz w:val="24"/>
          <w:szCs w:val="24"/>
          <w:lang w:val="en-US"/>
        </w:rPr>
        <w:t>of the conditional efficiency estimates</w:t>
      </w:r>
      <w:r w:rsidR="002F42D3" w:rsidRPr="002C24A8">
        <w:rPr>
          <w:rFonts w:ascii="Times New Roman" w:hAnsi="Times New Roman" w:cs="Times New Roman"/>
          <w:sz w:val="24"/>
          <w:szCs w:val="24"/>
          <w:lang w:val="en-US"/>
        </w:rPr>
        <w:t>, concentrating on the full sample</w:t>
      </w:r>
      <w:r w:rsidRPr="002C24A8">
        <w:rPr>
          <w:rFonts w:ascii="Times New Roman" w:hAnsi="Times New Roman" w:cs="Times New Roman"/>
          <w:sz w:val="24"/>
          <w:szCs w:val="24"/>
          <w:lang w:val="en-US"/>
        </w:rPr>
        <w:t>. The evidence suggest</w:t>
      </w:r>
      <w:r w:rsidR="000347FE" w:rsidRPr="002C24A8">
        <w:rPr>
          <w:rFonts w:ascii="Times New Roman" w:hAnsi="Times New Roman" w:cs="Times New Roman"/>
          <w:sz w:val="24"/>
          <w:szCs w:val="24"/>
          <w:lang w:val="en-US"/>
        </w:rPr>
        <w:t>s</w:t>
      </w:r>
      <w:r w:rsidRPr="002C24A8">
        <w:rPr>
          <w:rFonts w:ascii="Times New Roman" w:hAnsi="Times New Roman" w:cs="Times New Roman"/>
          <w:sz w:val="24"/>
          <w:szCs w:val="24"/>
          <w:lang w:val="en-US"/>
        </w:rPr>
        <w:t xml:space="preserve"> that</w:t>
      </w:r>
      <w:r w:rsidR="002F42D3" w:rsidRPr="002C24A8">
        <w:rPr>
          <w:rFonts w:ascii="Times New Roman" w:hAnsi="Times New Roman" w:cs="Times New Roman"/>
          <w:sz w:val="24"/>
          <w:szCs w:val="24"/>
          <w:lang w:val="en-US"/>
        </w:rPr>
        <w:t>,</w:t>
      </w:r>
      <w:r w:rsidRPr="002C24A8">
        <w:rPr>
          <w:rFonts w:ascii="Times New Roman" w:hAnsi="Times New Roman" w:cs="Times New Roman"/>
          <w:sz w:val="24"/>
          <w:szCs w:val="24"/>
          <w:lang w:val="en-US"/>
        </w:rPr>
        <w:t xml:space="preserve"> </w:t>
      </w:r>
      <w:r w:rsidR="002F42D3" w:rsidRPr="002C24A8">
        <w:rPr>
          <w:rFonts w:ascii="Times New Roman" w:hAnsi="Times New Roman" w:cs="Times New Roman"/>
          <w:sz w:val="24"/>
          <w:szCs w:val="24"/>
          <w:lang w:val="en-US"/>
        </w:rPr>
        <w:t xml:space="preserve">on a </w:t>
      </w:r>
      <w:r w:rsidRPr="002C24A8">
        <w:rPr>
          <w:rFonts w:ascii="Times New Roman" w:hAnsi="Times New Roman" w:cs="Times New Roman"/>
          <w:sz w:val="24"/>
          <w:szCs w:val="24"/>
          <w:lang w:val="en-US"/>
        </w:rPr>
        <w:t xml:space="preserve">per sector </w:t>
      </w:r>
      <w:r w:rsidR="002F42D3" w:rsidRPr="002C24A8">
        <w:rPr>
          <w:rFonts w:ascii="Times New Roman" w:hAnsi="Times New Roman" w:cs="Times New Roman"/>
          <w:sz w:val="24"/>
          <w:szCs w:val="24"/>
          <w:lang w:val="en-US"/>
        </w:rPr>
        <w:t xml:space="preserve">basis, </w:t>
      </w:r>
      <w:r w:rsidRPr="002C24A8">
        <w:rPr>
          <w:rFonts w:ascii="Times New Roman" w:hAnsi="Times New Roman" w:cs="Times New Roman"/>
          <w:sz w:val="24"/>
          <w:szCs w:val="24"/>
          <w:lang w:val="en-US"/>
        </w:rPr>
        <w:t xml:space="preserve">the </w:t>
      </w:r>
      <w:r w:rsidR="002F42D3" w:rsidRPr="002C24A8">
        <w:rPr>
          <w:rFonts w:ascii="Times New Roman" w:hAnsi="Times New Roman" w:cs="Times New Roman"/>
          <w:sz w:val="24"/>
          <w:szCs w:val="24"/>
          <w:lang w:val="en-US"/>
        </w:rPr>
        <w:t xml:space="preserve">deviations in </w:t>
      </w:r>
      <w:r w:rsidRPr="002C24A8">
        <w:rPr>
          <w:rFonts w:ascii="Times New Roman" w:hAnsi="Times New Roman" w:cs="Times New Roman"/>
          <w:sz w:val="24"/>
          <w:szCs w:val="24"/>
          <w:lang w:val="en-US"/>
        </w:rPr>
        <w:t>efficiency</w:t>
      </w:r>
      <w:r w:rsidR="002F42D3" w:rsidRPr="002C24A8">
        <w:rPr>
          <w:rFonts w:ascii="Times New Roman" w:hAnsi="Times New Roman" w:cs="Times New Roman"/>
          <w:sz w:val="24"/>
          <w:szCs w:val="24"/>
          <w:lang w:val="en-US"/>
        </w:rPr>
        <w:t xml:space="preserve"> scores</w:t>
      </w:r>
      <w:r w:rsidRPr="002C24A8">
        <w:rPr>
          <w:rFonts w:ascii="Times New Roman" w:hAnsi="Times New Roman" w:cs="Times New Roman"/>
          <w:sz w:val="24"/>
          <w:szCs w:val="24"/>
          <w:lang w:val="en-US"/>
        </w:rPr>
        <w:t xml:space="preserve"> are similar </w:t>
      </w:r>
      <w:r w:rsidR="002F42D3" w:rsidRPr="002C24A8">
        <w:rPr>
          <w:rFonts w:ascii="Times New Roman" w:hAnsi="Times New Roman" w:cs="Times New Roman"/>
          <w:sz w:val="24"/>
          <w:szCs w:val="24"/>
          <w:lang w:val="en-US"/>
        </w:rPr>
        <w:t xml:space="preserve">across </w:t>
      </w:r>
      <w:r w:rsidRPr="002C24A8">
        <w:rPr>
          <w:rFonts w:ascii="Times New Roman" w:hAnsi="Times New Roman" w:cs="Times New Roman"/>
          <w:sz w:val="24"/>
          <w:szCs w:val="24"/>
          <w:lang w:val="en-US"/>
        </w:rPr>
        <w:t xml:space="preserve">the </w:t>
      </w:r>
      <w:r w:rsidR="002F42D3" w:rsidRPr="002C24A8">
        <w:rPr>
          <w:rFonts w:ascii="Times New Roman" w:hAnsi="Times New Roman" w:cs="Times New Roman"/>
          <w:sz w:val="24"/>
          <w:szCs w:val="24"/>
          <w:lang w:val="en-US"/>
        </w:rPr>
        <w:t xml:space="preserve">sectors, </w:t>
      </w:r>
      <w:r w:rsidRPr="002C24A8">
        <w:rPr>
          <w:rFonts w:ascii="Times New Roman" w:hAnsi="Times New Roman" w:cs="Times New Roman"/>
          <w:sz w:val="24"/>
          <w:szCs w:val="24"/>
          <w:lang w:val="en-US"/>
        </w:rPr>
        <w:t xml:space="preserve">with an overall standard deviation ranging from 0.23 to 0.28 (with the exception of the Utilities sector). </w:t>
      </w:r>
      <w:r w:rsidR="00FF08A2" w:rsidRPr="002C24A8">
        <w:rPr>
          <w:rFonts w:ascii="Times New Roman" w:hAnsi="Times New Roman" w:cs="Times New Roman"/>
          <w:sz w:val="24"/>
          <w:szCs w:val="24"/>
          <w:lang w:val="en-US"/>
        </w:rPr>
        <w:t>The sectors with higher performance under the effect of ESG criteria adoption are ‘Utilities’ and ‘Energy’</w:t>
      </w:r>
      <w:r w:rsidR="002F42D3" w:rsidRPr="002C24A8">
        <w:rPr>
          <w:rFonts w:ascii="Times New Roman" w:hAnsi="Times New Roman" w:cs="Times New Roman"/>
          <w:sz w:val="24"/>
          <w:szCs w:val="24"/>
          <w:lang w:val="en-US"/>
        </w:rPr>
        <w:t xml:space="preserve"> with mean efficiency scores of 0.820 a</w:t>
      </w:r>
      <w:r w:rsidR="00AD3975" w:rsidRPr="002C24A8">
        <w:rPr>
          <w:rFonts w:ascii="Times New Roman" w:hAnsi="Times New Roman" w:cs="Times New Roman"/>
          <w:sz w:val="24"/>
          <w:szCs w:val="24"/>
          <w:lang w:val="en-US"/>
        </w:rPr>
        <w:t>n</w:t>
      </w:r>
      <w:r w:rsidR="002F42D3" w:rsidRPr="002C24A8">
        <w:rPr>
          <w:rFonts w:ascii="Times New Roman" w:hAnsi="Times New Roman" w:cs="Times New Roman"/>
          <w:sz w:val="24"/>
          <w:szCs w:val="24"/>
          <w:lang w:val="en-US"/>
        </w:rPr>
        <w:t>d 0.950 respectively</w:t>
      </w:r>
      <w:r w:rsidR="00FF08A2" w:rsidRPr="002C24A8">
        <w:rPr>
          <w:rFonts w:ascii="Times New Roman" w:hAnsi="Times New Roman" w:cs="Times New Roman"/>
          <w:sz w:val="24"/>
          <w:szCs w:val="24"/>
          <w:lang w:val="en-US"/>
        </w:rPr>
        <w:t>, whereas the sector with the lowest performance is the ‘Healthcare’ sector</w:t>
      </w:r>
      <w:r w:rsidR="002F42D3" w:rsidRPr="002C24A8">
        <w:rPr>
          <w:rFonts w:ascii="Times New Roman" w:hAnsi="Times New Roman" w:cs="Times New Roman"/>
          <w:sz w:val="24"/>
          <w:szCs w:val="24"/>
          <w:lang w:val="en-US"/>
        </w:rPr>
        <w:t xml:space="preserve"> with a mean efficiency score of 0.466</w:t>
      </w:r>
      <w:r w:rsidR="00FF08A2" w:rsidRPr="002C24A8">
        <w:rPr>
          <w:rFonts w:ascii="Times New Roman" w:hAnsi="Times New Roman" w:cs="Times New Roman"/>
          <w:sz w:val="24"/>
          <w:szCs w:val="24"/>
          <w:lang w:val="en-US"/>
        </w:rPr>
        <w:t>. All the other sectors at least on average terms have similar efficiencies reported around 0.5. The similarity of the conditional estimates</w:t>
      </w:r>
      <w:r w:rsidR="001A1384" w:rsidRPr="002C24A8">
        <w:rPr>
          <w:rFonts w:ascii="Times New Roman" w:hAnsi="Times New Roman" w:cs="Times New Roman"/>
          <w:sz w:val="24"/>
          <w:szCs w:val="24"/>
          <w:lang w:val="en-US"/>
        </w:rPr>
        <w:t xml:space="preserve"> across the sectors</w:t>
      </w:r>
      <w:r w:rsidR="00FF08A2" w:rsidRPr="002C24A8">
        <w:rPr>
          <w:rFonts w:ascii="Times New Roman" w:hAnsi="Times New Roman" w:cs="Times New Roman"/>
          <w:sz w:val="24"/>
          <w:szCs w:val="24"/>
          <w:lang w:val="en-US"/>
        </w:rPr>
        <w:t xml:space="preserve"> suggests that</w:t>
      </w:r>
      <w:r w:rsidR="001A1384" w:rsidRPr="002C24A8">
        <w:rPr>
          <w:rFonts w:ascii="Times New Roman" w:hAnsi="Times New Roman" w:cs="Times New Roman"/>
          <w:sz w:val="24"/>
          <w:szCs w:val="24"/>
          <w:lang w:val="en-US"/>
        </w:rPr>
        <w:t xml:space="preserve"> (on average)</w:t>
      </w:r>
      <w:r w:rsidR="00FF08A2" w:rsidRPr="002C24A8">
        <w:rPr>
          <w:rFonts w:ascii="Times New Roman" w:hAnsi="Times New Roman" w:cs="Times New Roman"/>
          <w:sz w:val="24"/>
          <w:szCs w:val="24"/>
          <w:lang w:val="en-US"/>
        </w:rPr>
        <w:t xml:space="preserve"> the </w:t>
      </w:r>
      <w:r w:rsidR="001A1384" w:rsidRPr="002C24A8">
        <w:rPr>
          <w:rFonts w:ascii="Times New Roman" w:hAnsi="Times New Roman" w:cs="Times New Roman"/>
          <w:sz w:val="24"/>
          <w:szCs w:val="24"/>
          <w:lang w:val="en-US"/>
        </w:rPr>
        <w:t>benefits emerging fr</w:t>
      </w:r>
      <w:r w:rsidR="00FF08A2" w:rsidRPr="002C24A8">
        <w:rPr>
          <w:rFonts w:ascii="Times New Roman" w:hAnsi="Times New Roman" w:cs="Times New Roman"/>
          <w:sz w:val="24"/>
          <w:szCs w:val="24"/>
          <w:lang w:val="en-US"/>
        </w:rPr>
        <w:t>o</w:t>
      </w:r>
      <w:r w:rsidR="001A1384" w:rsidRPr="002C24A8">
        <w:rPr>
          <w:rFonts w:ascii="Times New Roman" w:hAnsi="Times New Roman" w:cs="Times New Roman"/>
          <w:sz w:val="24"/>
          <w:szCs w:val="24"/>
          <w:lang w:val="en-US"/>
        </w:rPr>
        <w:t>m</w:t>
      </w:r>
      <w:r w:rsidR="00FF08A2" w:rsidRPr="002C24A8">
        <w:rPr>
          <w:rFonts w:ascii="Times New Roman" w:hAnsi="Times New Roman" w:cs="Times New Roman"/>
          <w:sz w:val="24"/>
          <w:szCs w:val="24"/>
          <w:lang w:val="en-US"/>
        </w:rPr>
        <w:t xml:space="preserve"> ESG criteria adoption </w:t>
      </w:r>
      <w:r w:rsidR="001A1384" w:rsidRPr="002C24A8">
        <w:rPr>
          <w:rFonts w:ascii="Times New Roman" w:hAnsi="Times New Roman" w:cs="Times New Roman"/>
          <w:sz w:val="24"/>
          <w:szCs w:val="24"/>
          <w:lang w:val="en-US"/>
        </w:rPr>
        <w:t>are not uniquely available/biased to any given sector, i.e. that all sectors can in principle derive benefits of similar magnitude</w:t>
      </w:r>
      <w:r w:rsidR="00FF08A2" w:rsidRPr="002C24A8">
        <w:rPr>
          <w:rFonts w:ascii="Times New Roman" w:hAnsi="Times New Roman" w:cs="Times New Roman"/>
          <w:sz w:val="24"/>
          <w:szCs w:val="24"/>
          <w:lang w:val="en-US"/>
        </w:rPr>
        <w:t>.</w:t>
      </w:r>
    </w:p>
    <w:p w14:paraId="2FF949FB" w14:textId="77777777" w:rsidR="00FF08A2" w:rsidRPr="002C24A8" w:rsidRDefault="00FF08A2" w:rsidP="00FF08A2">
      <w:pPr>
        <w:spacing w:after="0" w:line="480" w:lineRule="auto"/>
        <w:ind w:firstLine="720"/>
        <w:jc w:val="center"/>
        <w:rPr>
          <w:rFonts w:ascii="Times New Roman" w:hAnsi="Times New Roman" w:cs="Times New Roman"/>
          <w:i/>
          <w:sz w:val="24"/>
          <w:szCs w:val="24"/>
          <w:lang w:val="en-US"/>
        </w:rPr>
      </w:pPr>
      <w:r w:rsidRPr="002C24A8">
        <w:rPr>
          <w:rFonts w:ascii="Times New Roman" w:hAnsi="Times New Roman" w:cs="Times New Roman"/>
          <w:i/>
          <w:sz w:val="24"/>
          <w:szCs w:val="24"/>
          <w:lang w:val="en-US"/>
        </w:rPr>
        <w:t>Table 2 about here</w:t>
      </w:r>
    </w:p>
    <w:p w14:paraId="5862AB22" w14:textId="7D636323" w:rsidR="00F12B50" w:rsidRPr="002C24A8" w:rsidRDefault="00F1437D" w:rsidP="003F2547">
      <w:pPr>
        <w:spacing w:line="480" w:lineRule="auto"/>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 </w:t>
      </w:r>
      <w:r w:rsidR="002225C8" w:rsidRPr="002C24A8">
        <w:rPr>
          <w:rFonts w:ascii="Times New Roman" w:hAnsi="Times New Roman" w:cs="Times New Roman"/>
          <w:sz w:val="24"/>
          <w:szCs w:val="24"/>
          <w:lang w:val="en-US"/>
        </w:rPr>
        <w:tab/>
        <w:t xml:space="preserve">The overall effect of ESG criteria </w:t>
      </w:r>
      <w:r w:rsidR="00EE4CD5" w:rsidRPr="002C24A8">
        <w:rPr>
          <w:rFonts w:ascii="Times New Roman" w:hAnsi="Times New Roman" w:cs="Times New Roman"/>
          <w:sz w:val="24"/>
          <w:szCs w:val="24"/>
          <w:lang w:val="en-US"/>
        </w:rPr>
        <w:t>t</w:t>
      </w:r>
      <w:r w:rsidR="002225C8" w:rsidRPr="002C24A8">
        <w:rPr>
          <w:rFonts w:ascii="Times New Roman" w:hAnsi="Times New Roman" w:cs="Times New Roman"/>
          <w:sz w:val="24"/>
          <w:szCs w:val="24"/>
          <w:lang w:val="en-US"/>
        </w:rPr>
        <w:t xml:space="preserve">o firms’ innovation capacity (i.e. technological change) is graphically examined </w:t>
      </w:r>
      <w:r w:rsidR="00EE4CD5" w:rsidRPr="002C24A8">
        <w:rPr>
          <w:rFonts w:ascii="Times New Roman" w:hAnsi="Times New Roman" w:cs="Times New Roman"/>
          <w:sz w:val="24"/>
          <w:szCs w:val="24"/>
          <w:lang w:val="en-US"/>
        </w:rPr>
        <w:t xml:space="preserve">in </w:t>
      </w:r>
      <w:r w:rsidR="002225C8" w:rsidRPr="002C24A8">
        <w:rPr>
          <w:rFonts w:ascii="Times New Roman" w:hAnsi="Times New Roman" w:cs="Times New Roman"/>
          <w:sz w:val="24"/>
          <w:szCs w:val="24"/>
          <w:lang w:val="en-US"/>
        </w:rPr>
        <w:t xml:space="preserve">Figure 2.  </w:t>
      </w:r>
      <w:r w:rsidR="000347FE" w:rsidRPr="002C24A8">
        <w:rPr>
          <w:rFonts w:ascii="Times New Roman" w:hAnsi="Times New Roman" w:cs="Times New Roman"/>
          <w:sz w:val="24"/>
          <w:szCs w:val="24"/>
          <w:lang w:val="en-US"/>
        </w:rPr>
        <w:t>S</w:t>
      </w:r>
      <w:r w:rsidR="002225C8" w:rsidRPr="002C24A8">
        <w:rPr>
          <w:rFonts w:ascii="Times New Roman" w:hAnsi="Times New Roman" w:cs="Times New Roman"/>
          <w:sz w:val="24"/>
          <w:szCs w:val="24"/>
          <w:lang w:val="en-US"/>
        </w:rPr>
        <w:t>ubfigure 2a examines the effect for the entire sample</w:t>
      </w:r>
      <w:r w:rsidR="00EE4CD5" w:rsidRPr="002C24A8">
        <w:rPr>
          <w:rFonts w:ascii="Times New Roman" w:hAnsi="Times New Roman" w:cs="Times New Roman"/>
          <w:sz w:val="24"/>
          <w:szCs w:val="24"/>
          <w:lang w:val="en-US"/>
        </w:rPr>
        <w:t>, while 2b through</w:t>
      </w:r>
      <w:r w:rsidR="00EF316A" w:rsidRPr="002C24A8">
        <w:rPr>
          <w:rFonts w:ascii="Times New Roman" w:hAnsi="Times New Roman" w:cs="Times New Roman"/>
          <w:sz w:val="24"/>
          <w:szCs w:val="24"/>
          <w:lang w:val="en-US"/>
        </w:rPr>
        <w:t xml:space="preserve"> 2k present sector specific</w:t>
      </w:r>
      <w:r w:rsidR="00A6413B" w:rsidRPr="002C24A8">
        <w:rPr>
          <w:rFonts w:ascii="Times New Roman" w:hAnsi="Times New Roman" w:cs="Times New Roman"/>
          <w:sz w:val="24"/>
          <w:szCs w:val="24"/>
          <w:lang w:val="en-US"/>
        </w:rPr>
        <w:t xml:space="preserve"> results</w:t>
      </w:r>
      <w:r w:rsidR="002225C8" w:rsidRPr="002C24A8">
        <w:rPr>
          <w:rFonts w:ascii="Times New Roman" w:hAnsi="Times New Roman" w:cs="Times New Roman"/>
          <w:sz w:val="24"/>
          <w:szCs w:val="24"/>
          <w:lang w:val="en-US"/>
        </w:rPr>
        <w:t xml:space="preserve">. </w:t>
      </w:r>
      <w:r w:rsidR="00A6413B" w:rsidRPr="002C24A8">
        <w:rPr>
          <w:rFonts w:ascii="Times New Roman" w:hAnsi="Times New Roman" w:cs="Times New Roman"/>
          <w:sz w:val="24"/>
          <w:szCs w:val="24"/>
          <w:lang w:val="en-US"/>
        </w:rPr>
        <w:t>I</w:t>
      </w:r>
      <w:r w:rsidR="002225C8" w:rsidRPr="002C24A8">
        <w:rPr>
          <w:rFonts w:ascii="Times New Roman" w:hAnsi="Times New Roman" w:cs="Times New Roman"/>
          <w:sz w:val="24"/>
          <w:szCs w:val="24"/>
          <w:lang w:val="en-US"/>
        </w:rPr>
        <w:t>n the</w:t>
      </w:r>
      <w:r w:rsidR="00A6413B" w:rsidRPr="002C24A8">
        <w:rPr>
          <w:rFonts w:ascii="Times New Roman" w:hAnsi="Times New Roman" w:cs="Times New Roman"/>
          <w:sz w:val="24"/>
          <w:szCs w:val="24"/>
          <w:lang w:val="en-US"/>
        </w:rPr>
        <w:t>se plots the</w:t>
      </w:r>
      <w:r w:rsidR="002225C8" w:rsidRPr="002C24A8">
        <w:rPr>
          <w:rFonts w:ascii="Times New Roman" w:hAnsi="Times New Roman" w:cs="Times New Roman"/>
          <w:sz w:val="24"/>
          <w:szCs w:val="24"/>
          <w:lang w:val="en-US"/>
        </w:rPr>
        <w:t xml:space="preserve"> vertical ax</w:t>
      </w:r>
      <w:r w:rsidR="00A6413B" w:rsidRPr="002C24A8">
        <w:rPr>
          <w:rFonts w:ascii="Times New Roman" w:hAnsi="Times New Roman" w:cs="Times New Roman"/>
          <w:sz w:val="24"/>
          <w:szCs w:val="24"/>
          <w:lang w:val="en-US"/>
        </w:rPr>
        <w:t>is</w:t>
      </w:r>
      <w:r w:rsidR="002225C8" w:rsidRPr="002C24A8">
        <w:rPr>
          <w:rFonts w:ascii="Times New Roman" w:hAnsi="Times New Roman" w:cs="Times New Roman"/>
          <w:sz w:val="24"/>
          <w:szCs w:val="24"/>
          <w:lang w:val="en-US"/>
        </w:rPr>
        <w:t xml:space="preserve"> </w:t>
      </w:r>
      <w:r w:rsidR="00A6413B" w:rsidRPr="002C24A8">
        <w:rPr>
          <w:rFonts w:ascii="Times New Roman" w:hAnsi="Times New Roman" w:cs="Times New Roman"/>
          <w:sz w:val="24"/>
          <w:szCs w:val="24"/>
          <w:lang w:val="en-US"/>
        </w:rPr>
        <w:t xml:space="preserve">represents </w:t>
      </w:r>
      <w:r w:rsidR="002225C8" w:rsidRPr="002C24A8">
        <w:rPr>
          <w:rFonts w:ascii="Times New Roman" w:hAnsi="Times New Roman" w:cs="Times New Roman"/>
          <w:sz w:val="24"/>
          <w:szCs w:val="24"/>
          <w:lang w:val="en-US"/>
        </w:rPr>
        <w:t>the ‘</w:t>
      </w:r>
      <m:oMath>
        <m:acc>
          <m:accPr>
            <m:ctrlPr>
              <w:rPr>
                <w:rFonts w:ascii="Cambria Math" w:eastAsiaTheme="minorEastAsia" w:hAnsi="Cambria Math" w:cs="Times New Roman"/>
                <w:i/>
                <w:sz w:val="24"/>
                <w:szCs w:val="24"/>
                <w:lang w:val="en-US"/>
              </w:rPr>
            </m:ctrlPr>
          </m:accPr>
          <m:e>
            <m:r>
              <w:rPr>
                <w:rFonts w:ascii="Cambria Math" w:eastAsiaTheme="minorEastAsia" w:hAnsi="Cambria Math" w:cs="Times New Roman"/>
                <w:sz w:val="24"/>
                <w:szCs w:val="24"/>
                <w:lang w:val="en-US"/>
              </w:rPr>
              <m:t>Q</m:t>
            </m:r>
          </m:e>
        </m:acc>
        <m:d>
          <m:dPr>
            <m:ctrlPr>
              <w:rPr>
                <w:rFonts w:ascii="Cambria Math" w:eastAsiaTheme="minorEastAsia" w:hAnsi="Cambria Math" w:cs="Times New Roman"/>
                <w:i/>
                <w:sz w:val="24"/>
                <w:szCs w:val="24"/>
                <w:lang w:val="en-US"/>
              </w:rPr>
            </m:ctrlPr>
          </m:dPr>
          <m:e>
            <m:d>
              <m:dPr>
                <m:begChr m:val=""/>
                <m:endChr m:val="|"/>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x,y</m:t>
                </m:r>
              </m:e>
            </m:d>
            <m:r>
              <w:rPr>
                <w:rFonts w:ascii="Cambria Math" w:eastAsiaTheme="minorEastAsia" w:hAnsi="Cambria Math" w:cs="Times New Roman"/>
                <w:sz w:val="24"/>
                <w:szCs w:val="24"/>
                <w:lang w:val="en-US"/>
              </w:rPr>
              <m:t>z,t</m:t>
            </m:r>
          </m:e>
        </m:d>
      </m:oMath>
      <w:r w:rsidR="002225C8" w:rsidRPr="002C24A8">
        <w:rPr>
          <w:rFonts w:ascii="Times New Roman" w:hAnsi="Times New Roman" w:cs="Times New Roman"/>
          <w:sz w:val="24"/>
          <w:szCs w:val="24"/>
          <w:lang w:val="en-US"/>
        </w:rPr>
        <w:t>’ ratio wh</w:t>
      </w:r>
      <w:r w:rsidR="00A6413B" w:rsidRPr="002C24A8">
        <w:rPr>
          <w:rFonts w:ascii="Times New Roman" w:hAnsi="Times New Roman" w:cs="Times New Roman"/>
          <w:sz w:val="24"/>
          <w:szCs w:val="24"/>
          <w:lang w:val="en-US"/>
        </w:rPr>
        <w:t>il</w:t>
      </w:r>
      <w:r w:rsidR="002225C8" w:rsidRPr="002C24A8">
        <w:rPr>
          <w:rFonts w:ascii="Times New Roman" w:hAnsi="Times New Roman" w:cs="Times New Roman"/>
          <w:sz w:val="24"/>
          <w:szCs w:val="24"/>
          <w:lang w:val="en-US"/>
        </w:rPr>
        <w:t xml:space="preserve">e the other two axes </w:t>
      </w:r>
      <w:r w:rsidR="00A6413B" w:rsidRPr="002C24A8">
        <w:rPr>
          <w:rFonts w:ascii="Times New Roman" w:hAnsi="Times New Roman" w:cs="Times New Roman"/>
          <w:sz w:val="24"/>
          <w:szCs w:val="24"/>
          <w:lang w:val="en-US"/>
        </w:rPr>
        <w:t>re</w:t>
      </w:r>
      <w:r w:rsidR="002225C8" w:rsidRPr="002C24A8">
        <w:rPr>
          <w:rFonts w:ascii="Times New Roman" w:hAnsi="Times New Roman" w:cs="Times New Roman"/>
          <w:sz w:val="24"/>
          <w:szCs w:val="24"/>
          <w:lang w:val="en-US"/>
        </w:rPr>
        <w:t xml:space="preserve">present the ESG score and time (i.e. the years of our </w:t>
      </w:r>
      <w:r w:rsidR="002225C8" w:rsidRPr="002C24A8">
        <w:rPr>
          <w:rFonts w:ascii="Times New Roman" w:hAnsi="Times New Roman" w:cs="Times New Roman"/>
          <w:sz w:val="24"/>
          <w:szCs w:val="24"/>
          <w:lang w:val="en-US"/>
        </w:rPr>
        <w:lastRenderedPageBreak/>
        <w:t>study)</w:t>
      </w:r>
      <w:r w:rsidR="00A6413B" w:rsidRPr="002C24A8">
        <w:rPr>
          <w:rFonts w:ascii="Times New Roman" w:hAnsi="Times New Roman" w:cs="Times New Roman"/>
          <w:sz w:val="24"/>
          <w:szCs w:val="24"/>
          <w:lang w:val="en-US"/>
        </w:rPr>
        <w:t>, therefore these plots illustrate how time and ESG scores align with efficien</w:t>
      </w:r>
      <w:r w:rsidR="00677ECF" w:rsidRPr="002C24A8">
        <w:rPr>
          <w:rFonts w:ascii="Times New Roman" w:hAnsi="Times New Roman" w:cs="Times New Roman"/>
          <w:sz w:val="24"/>
          <w:szCs w:val="24"/>
          <w:lang w:val="en-US"/>
        </w:rPr>
        <w:t>c</w:t>
      </w:r>
      <w:r w:rsidR="00A6413B" w:rsidRPr="002C24A8">
        <w:rPr>
          <w:rFonts w:ascii="Times New Roman" w:hAnsi="Times New Roman" w:cs="Times New Roman"/>
          <w:sz w:val="24"/>
          <w:szCs w:val="24"/>
          <w:lang w:val="en-US"/>
        </w:rPr>
        <w:t>y</w:t>
      </w:r>
      <w:r w:rsidR="002225C8" w:rsidRPr="002C24A8">
        <w:rPr>
          <w:rFonts w:ascii="Times New Roman" w:hAnsi="Times New Roman" w:cs="Times New Roman"/>
          <w:sz w:val="24"/>
          <w:szCs w:val="24"/>
          <w:lang w:val="en-US"/>
        </w:rPr>
        <w:t xml:space="preserve">. It is evident that as the ESG adoption criteria </w:t>
      </w:r>
      <w:r w:rsidR="00A6413B" w:rsidRPr="002C24A8">
        <w:rPr>
          <w:rFonts w:ascii="Times New Roman" w:hAnsi="Times New Roman" w:cs="Times New Roman"/>
          <w:sz w:val="24"/>
          <w:szCs w:val="24"/>
          <w:lang w:val="en-US"/>
        </w:rPr>
        <w:t xml:space="preserve">imparts a </w:t>
      </w:r>
      <w:r w:rsidR="002225C8" w:rsidRPr="002C24A8">
        <w:rPr>
          <w:rFonts w:ascii="Times New Roman" w:hAnsi="Times New Roman" w:cs="Times New Roman"/>
          <w:sz w:val="24"/>
          <w:szCs w:val="24"/>
          <w:lang w:val="en-US"/>
        </w:rPr>
        <w:t xml:space="preserve">positive effect </w:t>
      </w:r>
      <w:r w:rsidR="00A6413B" w:rsidRPr="002C24A8">
        <w:rPr>
          <w:rFonts w:ascii="Times New Roman" w:hAnsi="Times New Roman" w:cs="Times New Roman"/>
          <w:sz w:val="24"/>
          <w:szCs w:val="24"/>
          <w:lang w:val="en-US"/>
        </w:rPr>
        <w:t>t</w:t>
      </w:r>
      <w:r w:rsidR="002225C8" w:rsidRPr="002C24A8">
        <w:rPr>
          <w:rFonts w:ascii="Times New Roman" w:hAnsi="Times New Roman" w:cs="Times New Roman"/>
          <w:sz w:val="24"/>
          <w:szCs w:val="24"/>
          <w:lang w:val="en-US"/>
        </w:rPr>
        <w:t>o firms’ innovation capacity</w:t>
      </w:r>
      <w:r w:rsidR="00A6413B" w:rsidRPr="002C24A8">
        <w:rPr>
          <w:rFonts w:ascii="Times New Roman" w:hAnsi="Times New Roman" w:cs="Times New Roman"/>
          <w:sz w:val="24"/>
          <w:szCs w:val="24"/>
          <w:lang w:val="en-US"/>
        </w:rPr>
        <w:t>,</w:t>
      </w:r>
      <w:r w:rsidR="002225C8" w:rsidRPr="002C24A8">
        <w:rPr>
          <w:rFonts w:ascii="Times New Roman" w:hAnsi="Times New Roman" w:cs="Times New Roman"/>
          <w:sz w:val="24"/>
          <w:szCs w:val="24"/>
          <w:lang w:val="en-US"/>
        </w:rPr>
        <w:t xml:space="preserve"> </w:t>
      </w:r>
      <w:r w:rsidR="00196664" w:rsidRPr="002C24A8">
        <w:rPr>
          <w:rFonts w:ascii="Times New Roman" w:hAnsi="Times New Roman" w:cs="Times New Roman"/>
          <w:sz w:val="24"/>
          <w:szCs w:val="24"/>
          <w:lang w:val="en-US"/>
        </w:rPr>
        <w:t xml:space="preserve">further confirming that </w:t>
      </w:r>
      <w:r w:rsidR="002225C8" w:rsidRPr="002C24A8">
        <w:rPr>
          <w:rFonts w:ascii="Times New Roman" w:hAnsi="Times New Roman" w:cs="Times New Roman"/>
          <w:sz w:val="24"/>
          <w:szCs w:val="24"/>
          <w:lang w:val="en-US"/>
        </w:rPr>
        <w:t>that ESG practices enhance firms’ ability to innovate. However, this innovation capacity enhancement increase</w:t>
      </w:r>
      <w:r w:rsidR="000347FE" w:rsidRPr="002C24A8">
        <w:rPr>
          <w:rFonts w:ascii="Times New Roman" w:hAnsi="Times New Roman" w:cs="Times New Roman"/>
          <w:sz w:val="24"/>
          <w:szCs w:val="24"/>
          <w:lang w:val="en-US"/>
        </w:rPr>
        <w:t>s</w:t>
      </w:r>
      <w:r w:rsidR="002225C8" w:rsidRPr="002C24A8">
        <w:rPr>
          <w:rFonts w:ascii="Times New Roman" w:hAnsi="Times New Roman" w:cs="Times New Roman"/>
          <w:sz w:val="24"/>
          <w:szCs w:val="24"/>
          <w:lang w:val="en-US"/>
        </w:rPr>
        <w:t xml:space="preserve"> up to a certain level after which diminishing returns appear. It is </w:t>
      </w:r>
      <w:r w:rsidR="00196664" w:rsidRPr="002C24A8">
        <w:rPr>
          <w:rFonts w:ascii="Times New Roman" w:hAnsi="Times New Roman" w:cs="Times New Roman"/>
          <w:sz w:val="24"/>
          <w:szCs w:val="24"/>
          <w:lang w:val="en-US"/>
        </w:rPr>
        <w:t xml:space="preserve">therefore </w:t>
      </w:r>
      <w:r w:rsidR="002225C8" w:rsidRPr="002C24A8">
        <w:rPr>
          <w:rFonts w:ascii="Times New Roman" w:hAnsi="Times New Roman" w:cs="Times New Roman"/>
          <w:sz w:val="24"/>
          <w:szCs w:val="24"/>
          <w:lang w:val="en-US"/>
        </w:rPr>
        <w:t>evident that we have a nonlinear behavior of ESG policies on firms’ innovation capacity</w:t>
      </w:r>
      <w:r w:rsidR="00196664" w:rsidRPr="002C24A8">
        <w:rPr>
          <w:rFonts w:ascii="Times New Roman" w:hAnsi="Times New Roman" w:cs="Times New Roman"/>
          <w:sz w:val="24"/>
          <w:szCs w:val="24"/>
          <w:lang w:val="en-US"/>
        </w:rPr>
        <w:t>, which incidentally provides some implicit validation that the flexible nonparametric methodology we adopt is suitable for the analysis</w:t>
      </w:r>
      <w:r w:rsidR="002225C8" w:rsidRPr="002C24A8">
        <w:rPr>
          <w:rFonts w:ascii="Times New Roman" w:hAnsi="Times New Roman" w:cs="Times New Roman"/>
          <w:sz w:val="24"/>
          <w:szCs w:val="24"/>
          <w:lang w:val="en-US"/>
        </w:rPr>
        <w:t xml:space="preserve">. </w:t>
      </w:r>
      <w:r w:rsidR="008013CC" w:rsidRPr="002C24A8">
        <w:rPr>
          <w:rFonts w:ascii="Times New Roman" w:hAnsi="Times New Roman" w:cs="Times New Roman"/>
          <w:sz w:val="24"/>
          <w:szCs w:val="24"/>
          <w:lang w:val="en-US"/>
        </w:rPr>
        <w:t xml:space="preserve">As a generalization of our findings we can </w:t>
      </w:r>
      <w:r w:rsidR="00196664" w:rsidRPr="002C24A8">
        <w:rPr>
          <w:rFonts w:ascii="Times New Roman" w:hAnsi="Times New Roman" w:cs="Times New Roman"/>
          <w:sz w:val="24"/>
          <w:szCs w:val="24"/>
          <w:lang w:val="en-US"/>
        </w:rPr>
        <w:t xml:space="preserve">infer </w:t>
      </w:r>
      <w:r w:rsidR="008013CC" w:rsidRPr="002C24A8">
        <w:rPr>
          <w:rFonts w:ascii="Times New Roman" w:hAnsi="Times New Roman" w:cs="Times New Roman"/>
          <w:sz w:val="24"/>
          <w:szCs w:val="24"/>
          <w:lang w:val="en-US"/>
        </w:rPr>
        <w:t>that CSR engagement stimulate</w:t>
      </w:r>
      <w:r w:rsidR="00196664" w:rsidRPr="002C24A8">
        <w:rPr>
          <w:rFonts w:ascii="Times New Roman" w:hAnsi="Times New Roman" w:cs="Times New Roman"/>
          <w:sz w:val="24"/>
          <w:szCs w:val="24"/>
          <w:lang w:val="en-US"/>
        </w:rPr>
        <w:t>s</w:t>
      </w:r>
      <w:r w:rsidR="008013CC" w:rsidRPr="002C24A8">
        <w:rPr>
          <w:rFonts w:ascii="Times New Roman" w:hAnsi="Times New Roman" w:cs="Times New Roman"/>
          <w:sz w:val="24"/>
          <w:szCs w:val="24"/>
          <w:lang w:val="en-US"/>
        </w:rPr>
        <w:t xml:space="preserve"> innovation but up to a certain </w:t>
      </w:r>
      <w:r w:rsidR="00196664" w:rsidRPr="002C24A8">
        <w:rPr>
          <w:rFonts w:ascii="Times New Roman" w:hAnsi="Times New Roman" w:cs="Times New Roman"/>
          <w:sz w:val="24"/>
          <w:szCs w:val="24"/>
          <w:lang w:val="en-US"/>
        </w:rPr>
        <w:t xml:space="preserve">threshold </w:t>
      </w:r>
      <w:r w:rsidR="008013CC" w:rsidRPr="002C24A8">
        <w:rPr>
          <w:rFonts w:ascii="Times New Roman" w:hAnsi="Times New Roman" w:cs="Times New Roman"/>
          <w:sz w:val="24"/>
          <w:szCs w:val="24"/>
          <w:lang w:val="en-US"/>
        </w:rPr>
        <w:t xml:space="preserve">after </w:t>
      </w:r>
      <w:r w:rsidR="00196664" w:rsidRPr="002C24A8">
        <w:rPr>
          <w:rFonts w:ascii="Times New Roman" w:hAnsi="Times New Roman" w:cs="Times New Roman"/>
          <w:sz w:val="24"/>
          <w:szCs w:val="24"/>
          <w:lang w:val="en-US"/>
        </w:rPr>
        <w:t xml:space="preserve">which </w:t>
      </w:r>
      <w:r w:rsidR="008013CC" w:rsidRPr="002C24A8">
        <w:rPr>
          <w:rFonts w:ascii="Times New Roman" w:hAnsi="Times New Roman" w:cs="Times New Roman"/>
          <w:sz w:val="24"/>
          <w:szCs w:val="24"/>
          <w:lang w:val="en-US"/>
        </w:rPr>
        <w:t>over adoption</w:t>
      </w:r>
      <w:r w:rsidR="00196664" w:rsidRPr="002C24A8">
        <w:rPr>
          <w:rFonts w:ascii="Times New Roman" w:hAnsi="Times New Roman" w:cs="Times New Roman"/>
          <w:sz w:val="24"/>
          <w:szCs w:val="24"/>
          <w:lang w:val="en-US"/>
        </w:rPr>
        <w:t xml:space="preserve"> causes</w:t>
      </w:r>
      <w:r w:rsidR="008013CC" w:rsidRPr="002C24A8">
        <w:rPr>
          <w:rFonts w:ascii="Times New Roman" w:hAnsi="Times New Roman" w:cs="Times New Roman"/>
          <w:sz w:val="24"/>
          <w:szCs w:val="24"/>
          <w:lang w:val="en-US"/>
        </w:rPr>
        <w:t xml:space="preserve"> the effects</w:t>
      </w:r>
      <w:r w:rsidR="00196664" w:rsidRPr="002C24A8">
        <w:rPr>
          <w:rFonts w:ascii="Times New Roman" w:hAnsi="Times New Roman" w:cs="Times New Roman"/>
          <w:sz w:val="24"/>
          <w:szCs w:val="24"/>
          <w:lang w:val="en-US"/>
        </w:rPr>
        <w:t xml:space="preserve"> of socially responsible business practice</w:t>
      </w:r>
      <w:r w:rsidR="008013CC" w:rsidRPr="002C24A8">
        <w:rPr>
          <w:rFonts w:ascii="Times New Roman" w:hAnsi="Times New Roman" w:cs="Times New Roman"/>
          <w:sz w:val="24"/>
          <w:szCs w:val="24"/>
          <w:lang w:val="en-US"/>
        </w:rPr>
        <w:t xml:space="preserve"> may become negative</w:t>
      </w:r>
      <w:r w:rsidR="00196664" w:rsidRPr="002C24A8">
        <w:rPr>
          <w:rFonts w:ascii="Times New Roman" w:hAnsi="Times New Roman" w:cs="Times New Roman"/>
          <w:sz w:val="24"/>
          <w:szCs w:val="24"/>
          <w:lang w:val="en-US"/>
        </w:rPr>
        <w:t xml:space="preserve"> to the process innovation capacity enhancement</w:t>
      </w:r>
      <w:r w:rsidR="008013CC" w:rsidRPr="002C24A8">
        <w:rPr>
          <w:rFonts w:ascii="Times New Roman" w:hAnsi="Times New Roman" w:cs="Times New Roman"/>
          <w:sz w:val="24"/>
          <w:szCs w:val="24"/>
          <w:lang w:val="en-US"/>
        </w:rPr>
        <w:t>. In order to check of the robustness of this finding we perform our analysis separate</w:t>
      </w:r>
      <w:r w:rsidR="00196664" w:rsidRPr="002C24A8">
        <w:rPr>
          <w:rFonts w:ascii="Times New Roman" w:hAnsi="Times New Roman" w:cs="Times New Roman"/>
          <w:sz w:val="24"/>
          <w:szCs w:val="24"/>
          <w:lang w:val="en-US"/>
        </w:rPr>
        <w:t>ly</w:t>
      </w:r>
      <w:r w:rsidR="008013CC" w:rsidRPr="002C24A8">
        <w:rPr>
          <w:rFonts w:ascii="Times New Roman" w:hAnsi="Times New Roman" w:cs="Times New Roman"/>
          <w:sz w:val="24"/>
          <w:szCs w:val="24"/>
          <w:lang w:val="en-US"/>
        </w:rPr>
        <w:t xml:space="preserve"> for </w:t>
      </w:r>
      <w:r w:rsidR="00196664" w:rsidRPr="002C24A8">
        <w:rPr>
          <w:rFonts w:ascii="Times New Roman" w:hAnsi="Times New Roman" w:cs="Times New Roman"/>
          <w:sz w:val="24"/>
          <w:szCs w:val="24"/>
          <w:lang w:val="en-US"/>
        </w:rPr>
        <w:t xml:space="preserve">each of the industrial </w:t>
      </w:r>
      <w:r w:rsidR="008013CC" w:rsidRPr="002C24A8">
        <w:rPr>
          <w:rFonts w:ascii="Times New Roman" w:hAnsi="Times New Roman" w:cs="Times New Roman"/>
          <w:sz w:val="24"/>
          <w:szCs w:val="24"/>
          <w:lang w:val="en-US"/>
        </w:rPr>
        <w:t>sector</w:t>
      </w:r>
      <w:r w:rsidR="00196664" w:rsidRPr="002C24A8">
        <w:rPr>
          <w:rFonts w:ascii="Times New Roman" w:hAnsi="Times New Roman" w:cs="Times New Roman"/>
          <w:sz w:val="24"/>
          <w:szCs w:val="24"/>
          <w:lang w:val="en-US"/>
        </w:rPr>
        <w:t>s contained in our data sample</w:t>
      </w:r>
      <w:r w:rsidR="008013CC" w:rsidRPr="002C24A8">
        <w:rPr>
          <w:rFonts w:ascii="Times New Roman" w:hAnsi="Times New Roman" w:cs="Times New Roman"/>
          <w:sz w:val="24"/>
          <w:szCs w:val="24"/>
          <w:lang w:val="en-US"/>
        </w:rPr>
        <w:t>. The results</w:t>
      </w:r>
      <w:r w:rsidR="00196664" w:rsidRPr="002C24A8">
        <w:rPr>
          <w:rFonts w:ascii="Times New Roman" w:hAnsi="Times New Roman" w:cs="Times New Roman"/>
          <w:sz w:val="24"/>
          <w:szCs w:val="24"/>
          <w:lang w:val="en-US"/>
        </w:rPr>
        <w:t xml:space="preserve"> are,</w:t>
      </w:r>
      <w:r w:rsidR="008013CC" w:rsidRPr="002C24A8">
        <w:rPr>
          <w:rFonts w:ascii="Times New Roman" w:hAnsi="Times New Roman" w:cs="Times New Roman"/>
          <w:sz w:val="24"/>
          <w:szCs w:val="24"/>
          <w:lang w:val="en-US"/>
        </w:rPr>
        <w:t xml:space="preserve"> in the majority of </w:t>
      </w:r>
      <w:r w:rsidR="00196664" w:rsidRPr="002C24A8">
        <w:rPr>
          <w:rFonts w:ascii="Times New Roman" w:hAnsi="Times New Roman" w:cs="Times New Roman"/>
          <w:sz w:val="24"/>
          <w:szCs w:val="24"/>
          <w:lang w:val="en-US"/>
        </w:rPr>
        <w:t>cases,</w:t>
      </w:r>
      <w:r w:rsidR="008013CC" w:rsidRPr="002C24A8">
        <w:rPr>
          <w:rFonts w:ascii="Times New Roman" w:hAnsi="Times New Roman" w:cs="Times New Roman"/>
          <w:sz w:val="24"/>
          <w:szCs w:val="24"/>
          <w:lang w:val="en-US"/>
        </w:rPr>
        <w:t xml:space="preserve"> robust (</w:t>
      </w:r>
      <w:r w:rsidR="00196664" w:rsidRPr="002C24A8">
        <w:rPr>
          <w:rFonts w:ascii="Times New Roman" w:hAnsi="Times New Roman" w:cs="Times New Roman"/>
          <w:sz w:val="24"/>
          <w:szCs w:val="24"/>
          <w:lang w:val="en-US"/>
        </w:rPr>
        <w:t xml:space="preserve">refer to </w:t>
      </w:r>
      <w:r w:rsidR="008013CC" w:rsidRPr="002C24A8">
        <w:rPr>
          <w:rFonts w:ascii="Times New Roman" w:hAnsi="Times New Roman" w:cs="Times New Roman"/>
          <w:sz w:val="24"/>
          <w:szCs w:val="24"/>
          <w:lang w:val="en-US"/>
        </w:rPr>
        <w:t xml:space="preserve">subfigures 2b, 2c, 2d, 2g, 2h and 2i) signifying in </w:t>
      </w:r>
      <w:r w:rsidR="00196664" w:rsidRPr="002C24A8">
        <w:rPr>
          <w:rFonts w:ascii="Times New Roman" w:hAnsi="Times New Roman" w:cs="Times New Roman"/>
          <w:sz w:val="24"/>
          <w:szCs w:val="24"/>
          <w:lang w:val="en-US"/>
        </w:rPr>
        <w:t xml:space="preserve">several </w:t>
      </w:r>
      <w:r w:rsidR="008013CC" w:rsidRPr="002C24A8">
        <w:rPr>
          <w:rFonts w:ascii="Times New Roman" w:hAnsi="Times New Roman" w:cs="Times New Roman"/>
          <w:sz w:val="24"/>
          <w:szCs w:val="24"/>
          <w:lang w:val="en-US"/>
        </w:rPr>
        <w:t>cases a</w:t>
      </w:r>
      <w:r w:rsidR="00196664" w:rsidRPr="002C24A8">
        <w:rPr>
          <w:rFonts w:ascii="Times New Roman" w:hAnsi="Times New Roman" w:cs="Times New Roman"/>
          <w:sz w:val="24"/>
          <w:szCs w:val="24"/>
          <w:lang w:val="en-US"/>
        </w:rPr>
        <w:t>n</w:t>
      </w:r>
      <w:r w:rsidR="008013CC" w:rsidRPr="002C24A8">
        <w:rPr>
          <w:rFonts w:ascii="Times New Roman" w:hAnsi="Times New Roman" w:cs="Times New Roman"/>
          <w:sz w:val="24"/>
          <w:szCs w:val="24"/>
          <w:lang w:val="en-US"/>
        </w:rPr>
        <w:t xml:space="preserve"> inverted ‘U’-shape relation</w:t>
      </w:r>
      <w:r w:rsidR="00196664" w:rsidRPr="002C24A8">
        <w:rPr>
          <w:rFonts w:ascii="Times New Roman" w:hAnsi="Times New Roman" w:cs="Times New Roman"/>
          <w:sz w:val="24"/>
          <w:szCs w:val="24"/>
          <w:lang w:val="en-US"/>
        </w:rPr>
        <w:t xml:space="preserve"> albeit with some variation in the strength of inflection</w:t>
      </w:r>
      <w:r w:rsidR="008013CC" w:rsidRPr="002C24A8">
        <w:rPr>
          <w:rFonts w:ascii="Times New Roman" w:hAnsi="Times New Roman" w:cs="Times New Roman"/>
          <w:sz w:val="24"/>
          <w:szCs w:val="24"/>
          <w:lang w:val="en-US"/>
        </w:rPr>
        <w:t>. However, for the cases of</w:t>
      </w:r>
      <w:r w:rsidR="00196664" w:rsidRPr="002C24A8">
        <w:rPr>
          <w:rFonts w:ascii="Times New Roman" w:hAnsi="Times New Roman" w:cs="Times New Roman"/>
          <w:sz w:val="24"/>
          <w:szCs w:val="24"/>
          <w:lang w:val="en-US"/>
        </w:rPr>
        <w:t xml:space="preserve"> the</w:t>
      </w:r>
      <w:r w:rsidR="008013CC" w:rsidRPr="002C24A8">
        <w:rPr>
          <w:rFonts w:ascii="Times New Roman" w:hAnsi="Times New Roman" w:cs="Times New Roman"/>
          <w:sz w:val="24"/>
          <w:szCs w:val="24"/>
          <w:lang w:val="en-US"/>
        </w:rPr>
        <w:t xml:space="preserve"> ‘Energy’ (subfigure 2e), ‘Financials’ (subfigure 2f), ‘Technology (subfigure 2j) and ‘Utilities’ (subfigure 2k)</w:t>
      </w:r>
      <w:r w:rsidR="00196664" w:rsidRPr="002C24A8">
        <w:rPr>
          <w:rFonts w:ascii="Times New Roman" w:hAnsi="Times New Roman" w:cs="Times New Roman"/>
          <w:sz w:val="24"/>
          <w:szCs w:val="24"/>
          <w:lang w:val="en-US"/>
        </w:rPr>
        <w:t xml:space="preserve"> sectors</w:t>
      </w:r>
      <w:r w:rsidR="008013CC" w:rsidRPr="002C24A8">
        <w:rPr>
          <w:rFonts w:ascii="Times New Roman" w:hAnsi="Times New Roman" w:cs="Times New Roman"/>
          <w:sz w:val="24"/>
          <w:szCs w:val="24"/>
          <w:lang w:val="en-US"/>
        </w:rPr>
        <w:t>, the effect of ESG policy adoption is</w:t>
      </w:r>
      <w:r w:rsidR="00C23F2A" w:rsidRPr="002C24A8">
        <w:rPr>
          <w:rFonts w:ascii="Times New Roman" w:hAnsi="Times New Roman" w:cs="Times New Roman"/>
          <w:sz w:val="24"/>
          <w:szCs w:val="24"/>
          <w:lang w:val="en-US"/>
        </w:rPr>
        <w:t xml:space="preserve"> more consistently</w:t>
      </w:r>
      <w:r w:rsidR="008013CC" w:rsidRPr="002C24A8">
        <w:rPr>
          <w:rFonts w:ascii="Times New Roman" w:hAnsi="Times New Roman" w:cs="Times New Roman"/>
          <w:sz w:val="24"/>
          <w:szCs w:val="24"/>
          <w:lang w:val="en-US"/>
        </w:rPr>
        <w:t xml:space="preserve"> positive</w:t>
      </w:r>
      <w:r w:rsidR="00C23F2A" w:rsidRPr="002C24A8">
        <w:rPr>
          <w:rFonts w:ascii="Times New Roman" w:hAnsi="Times New Roman" w:cs="Times New Roman"/>
          <w:sz w:val="24"/>
          <w:szCs w:val="24"/>
          <w:lang w:val="en-US"/>
        </w:rPr>
        <w:t xml:space="preserve"> across all levels of ESG adoption,</w:t>
      </w:r>
      <w:r w:rsidR="008013CC" w:rsidRPr="002C24A8">
        <w:rPr>
          <w:rFonts w:ascii="Times New Roman" w:hAnsi="Times New Roman" w:cs="Times New Roman"/>
          <w:sz w:val="24"/>
          <w:szCs w:val="24"/>
          <w:lang w:val="en-US"/>
        </w:rPr>
        <w:t xml:space="preserve"> </w:t>
      </w:r>
      <w:r w:rsidR="00C23F2A" w:rsidRPr="002C24A8">
        <w:rPr>
          <w:rFonts w:ascii="Times New Roman" w:hAnsi="Times New Roman" w:cs="Times New Roman"/>
          <w:sz w:val="24"/>
          <w:szCs w:val="24"/>
          <w:lang w:val="en-US"/>
        </w:rPr>
        <w:t xml:space="preserve">as </w:t>
      </w:r>
      <w:r w:rsidR="008013CC" w:rsidRPr="002C24A8">
        <w:rPr>
          <w:rFonts w:ascii="Times New Roman" w:hAnsi="Times New Roman" w:cs="Times New Roman"/>
          <w:sz w:val="24"/>
          <w:szCs w:val="24"/>
          <w:lang w:val="en-US"/>
        </w:rPr>
        <w:t>indicated by an increasing nonparametric regression line</w:t>
      </w:r>
      <w:r w:rsidR="00C23F2A" w:rsidRPr="002C24A8">
        <w:rPr>
          <w:rFonts w:ascii="Times New Roman" w:hAnsi="Times New Roman" w:cs="Times New Roman"/>
          <w:sz w:val="24"/>
          <w:szCs w:val="24"/>
          <w:lang w:val="en-US"/>
        </w:rPr>
        <w:t xml:space="preserve"> and the absence of a clear inverted ‘U’-shape profile</w:t>
      </w:r>
      <w:r w:rsidR="008013CC" w:rsidRPr="002C24A8">
        <w:rPr>
          <w:rFonts w:ascii="Times New Roman" w:hAnsi="Times New Roman" w:cs="Times New Roman"/>
          <w:sz w:val="24"/>
          <w:szCs w:val="24"/>
          <w:lang w:val="en-US"/>
        </w:rPr>
        <w:t xml:space="preserve">. </w:t>
      </w:r>
      <w:r w:rsidR="0049421F" w:rsidRPr="002C24A8">
        <w:rPr>
          <w:rFonts w:ascii="Times New Roman" w:hAnsi="Times New Roman" w:cs="Times New Roman"/>
          <w:sz w:val="24"/>
          <w:szCs w:val="24"/>
          <w:lang w:val="en-US"/>
        </w:rPr>
        <w:t>Notwithstanding the absence of clear inver</w:t>
      </w:r>
      <w:r w:rsidR="00677ECF" w:rsidRPr="002C24A8">
        <w:rPr>
          <w:rFonts w:ascii="Times New Roman" w:hAnsi="Times New Roman" w:cs="Times New Roman"/>
          <w:sz w:val="24"/>
          <w:szCs w:val="24"/>
          <w:lang w:val="en-US"/>
        </w:rPr>
        <w:t>te</w:t>
      </w:r>
      <w:r w:rsidR="0049421F" w:rsidRPr="002C24A8">
        <w:rPr>
          <w:rFonts w:ascii="Times New Roman" w:hAnsi="Times New Roman" w:cs="Times New Roman"/>
          <w:sz w:val="24"/>
          <w:szCs w:val="24"/>
          <w:lang w:val="en-US"/>
        </w:rPr>
        <w:t>d ‘U’-shapes for these sectors, the nonparametric regression surfaces uncover clear non-linearities and patterns that would not otherwise emerge using simple</w:t>
      </w:r>
      <w:r w:rsidR="008013CC" w:rsidRPr="002C24A8">
        <w:rPr>
          <w:rFonts w:ascii="Times New Roman" w:hAnsi="Times New Roman" w:cs="Times New Roman"/>
          <w:sz w:val="24"/>
          <w:szCs w:val="24"/>
          <w:lang w:val="en-US"/>
        </w:rPr>
        <w:t xml:space="preserve"> linear</w:t>
      </w:r>
      <w:r w:rsidR="0049421F" w:rsidRPr="002C24A8">
        <w:rPr>
          <w:rFonts w:ascii="Times New Roman" w:hAnsi="Times New Roman" w:cs="Times New Roman"/>
          <w:sz w:val="24"/>
          <w:szCs w:val="24"/>
          <w:lang w:val="en-US"/>
        </w:rPr>
        <w:t xml:space="preserve"> regressions</w:t>
      </w:r>
      <w:r w:rsidR="008013CC" w:rsidRPr="002C24A8">
        <w:rPr>
          <w:rFonts w:ascii="Times New Roman" w:hAnsi="Times New Roman" w:cs="Times New Roman"/>
          <w:sz w:val="24"/>
          <w:szCs w:val="24"/>
          <w:lang w:val="en-US"/>
        </w:rPr>
        <w:t xml:space="preserve">. </w:t>
      </w:r>
    </w:p>
    <w:p w14:paraId="26C9028F" w14:textId="75CE9BB6" w:rsidR="004535D6" w:rsidRPr="002C24A8" w:rsidRDefault="00A021F2" w:rsidP="00163BB9">
      <w:pPr>
        <w:spacing w:line="480" w:lineRule="auto"/>
        <w:ind w:firstLine="72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In summary, we find empirical evidence of a positive influence of CSR to innovation which is robust to industry and time. In an effort to pull out the contributions as they relate to specific </w:t>
      </w:r>
      <w:r w:rsidR="00677ECF" w:rsidRPr="002C24A8">
        <w:rPr>
          <w:rFonts w:ascii="Times New Roman" w:hAnsi="Times New Roman" w:cs="Times New Roman"/>
          <w:sz w:val="24"/>
          <w:szCs w:val="24"/>
          <w:lang w:val="en-US"/>
        </w:rPr>
        <w:t>bodies</w:t>
      </w:r>
      <w:r w:rsidRPr="002C24A8">
        <w:rPr>
          <w:rFonts w:ascii="Times New Roman" w:hAnsi="Times New Roman" w:cs="Times New Roman"/>
          <w:sz w:val="24"/>
          <w:szCs w:val="24"/>
          <w:lang w:val="en-US"/>
        </w:rPr>
        <w:t xml:space="preserve"> of literature we note first that our work supports several previous studies in the literature spanning innovation and CSR (McWilliams and Siegel, 2000; Hull and Rothenberg, 2008; </w:t>
      </w:r>
      <w:r w:rsidRPr="002C24A8">
        <w:rPr>
          <w:rFonts w:ascii="Times New Roman" w:hAnsi="Times New Roman" w:cs="Times New Roman"/>
          <w:sz w:val="24"/>
          <w:szCs w:val="24"/>
          <w:lang w:val="en-US"/>
        </w:rPr>
        <w:lastRenderedPageBreak/>
        <w:t xml:space="preserve">Bocquet et al. 2013; Reverte et al. 2016; Ueki et al., 2016). However none of these studies, or others that we are aware of within the wider literature on CSR/ESG performance, reported a possible nonlinear association between CSR and innovation capacity. </w:t>
      </w:r>
      <w:r w:rsidR="00747281" w:rsidRPr="002C24A8">
        <w:rPr>
          <w:rFonts w:ascii="Times New Roman" w:hAnsi="Times New Roman" w:cs="Times New Roman"/>
          <w:sz w:val="24"/>
          <w:szCs w:val="24"/>
          <w:lang w:val="en-US"/>
        </w:rPr>
        <w:t>Thus,</w:t>
      </w:r>
      <w:r w:rsidRPr="002C24A8">
        <w:rPr>
          <w:rFonts w:ascii="Times New Roman" w:hAnsi="Times New Roman" w:cs="Times New Roman"/>
          <w:sz w:val="24"/>
          <w:szCs w:val="24"/>
          <w:lang w:val="en-US"/>
        </w:rPr>
        <w:t xml:space="preserve"> we feel our analysis provides a unique contribution salient to two core strands of literature spanning innovation, and CSR/ESG performance. Finally, we note the fact that our primary findings point towards an inverted ‘U’-shape profile containing decreasing returns of ESG policies to firms’ innovation once some threshold level of CSR engagement has been reached, allows us also to reconcile our analysis against studies arguing negative returns to firms’ CSR engagement activities (Margolis and Walsh, 2003; Wang et al. 2016).</w:t>
      </w:r>
      <w:r w:rsidR="00B8032A" w:rsidRPr="002C24A8">
        <w:rPr>
          <w:rFonts w:ascii="Times New Roman" w:hAnsi="Times New Roman" w:cs="Times New Roman"/>
          <w:sz w:val="24"/>
          <w:szCs w:val="24"/>
          <w:lang w:val="en-US"/>
        </w:rPr>
        <w:t xml:space="preserve">  </w:t>
      </w:r>
    </w:p>
    <w:p w14:paraId="0C9A09F5" w14:textId="77777777" w:rsidR="009B286C" w:rsidRPr="002C24A8" w:rsidRDefault="009B286C" w:rsidP="00B42949">
      <w:pPr>
        <w:spacing w:line="480" w:lineRule="auto"/>
        <w:jc w:val="both"/>
        <w:rPr>
          <w:rFonts w:ascii="Times New Roman" w:hAnsi="Times New Roman" w:cs="Times New Roman"/>
          <w:sz w:val="24"/>
          <w:szCs w:val="24"/>
          <w:lang w:val="en-US"/>
        </w:rPr>
      </w:pPr>
    </w:p>
    <w:p w14:paraId="0873FE7F" w14:textId="77777777" w:rsidR="00F1437D" w:rsidRPr="002C24A8" w:rsidRDefault="004535D6" w:rsidP="004535D6">
      <w:pPr>
        <w:spacing w:line="480" w:lineRule="auto"/>
        <w:jc w:val="center"/>
        <w:rPr>
          <w:rFonts w:ascii="Times New Roman" w:hAnsi="Times New Roman" w:cs="Times New Roman"/>
          <w:i/>
          <w:sz w:val="24"/>
          <w:szCs w:val="24"/>
          <w:lang w:val="en-US"/>
        </w:rPr>
      </w:pPr>
      <w:r w:rsidRPr="002C24A8">
        <w:rPr>
          <w:rFonts w:ascii="Times New Roman" w:hAnsi="Times New Roman" w:cs="Times New Roman"/>
          <w:i/>
          <w:sz w:val="24"/>
          <w:szCs w:val="24"/>
          <w:lang w:val="en-US"/>
        </w:rPr>
        <w:t>Figure 2 about here</w:t>
      </w:r>
    </w:p>
    <w:p w14:paraId="381CCE46" w14:textId="77777777" w:rsidR="00163BB9" w:rsidRPr="002C24A8" w:rsidRDefault="00163BB9" w:rsidP="002A4E6B">
      <w:pPr>
        <w:spacing w:after="0" w:line="480" w:lineRule="auto"/>
        <w:jc w:val="both"/>
        <w:rPr>
          <w:rFonts w:ascii="Times New Roman" w:hAnsi="Times New Roman" w:cs="Times New Roman"/>
          <w:b/>
          <w:sz w:val="24"/>
          <w:szCs w:val="24"/>
          <w:lang w:val="en-US"/>
        </w:rPr>
      </w:pPr>
    </w:p>
    <w:p w14:paraId="676614A6" w14:textId="0C2DE98B" w:rsidR="009F7C5A" w:rsidRPr="002C24A8" w:rsidRDefault="00E900D1" w:rsidP="00E11D5D">
      <w:pPr>
        <w:spacing w:after="0" w:line="480" w:lineRule="auto"/>
        <w:jc w:val="both"/>
        <w:rPr>
          <w:rFonts w:ascii="Times New Roman" w:eastAsia="Times New Roman" w:hAnsi="Times New Roman" w:cs="Times New Roman"/>
          <w:i/>
          <w:sz w:val="24"/>
          <w:szCs w:val="24"/>
          <w:lang w:val="en-US"/>
        </w:rPr>
      </w:pPr>
      <w:r w:rsidRPr="002C24A8">
        <w:rPr>
          <w:rFonts w:ascii="Times New Roman" w:hAnsi="Times New Roman" w:cs="Times New Roman"/>
          <w:b/>
          <w:sz w:val="24"/>
          <w:szCs w:val="24"/>
          <w:lang w:val="en-US"/>
        </w:rPr>
        <w:t xml:space="preserve">5. </w:t>
      </w:r>
      <w:r w:rsidR="00504A2E" w:rsidRPr="002C24A8">
        <w:rPr>
          <w:rFonts w:ascii="Times New Roman" w:hAnsi="Times New Roman" w:cs="Times New Roman"/>
          <w:b/>
          <w:sz w:val="24"/>
          <w:szCs w:val="24"/>
          <w:lang w:val="en-US"/>
        </w:rPr>
        <w:t xml:space="preserve">Discussion and </w:t>
      </w:r>
      <w:r w:rsidRPr="002C24A8">
        <w:rPr>
          <w:rFonts w:ascii="Times New Roman" w:hAnsi="Times New Roman" w:cs="Times New Roman"/>
          <w:b/>
          <w:sz w:val="24"/>
          <w:szCs w:val="24"/>
          <w:lang w:val="en-US"/>
        </w:rPr>
        <w:t>Conclusions</w:t>
      </w:r>
    </w:p>
    <w:p w14:paraId="43409B88" w14:textId="1B832BA4" w:rsidR="009F7C5A" w:rsidRPr="002C24A8" w:rsidRDefault="009F7C5A" w:rsidP="00E11D5D">
      <w:pPr>
        <w:spacing w:line="480" w:lineRule="auto"/>
        <w:jc w:val="both"/>
        <w:rPr>
          <w:rFonts w:ascii="Times New Roman" w:eastAsia="Times New Roman" w:hAnsi="Times New Roman" w:cs="Times New Roman"/>
          <w:i/>
          <w:sz w:val="24"/>
          <w:szCs w:val="24"/>
          <w:lang w:val="en-US"/>
        </w:rPr>
      </w:pPr>
      <w:r w:rsidRPr="002C24A8">
        <w:rPr>
          <w:rFonts w:ascii="Times New Roman" w:eastAsia="Times New Roman" w:hAnsi="Times New Roman" w:cs="Times New Roman"/>
          <w:i/>
          <w:sz w:val="24"/>
          <w:szCs w:val="24"/>
          <w:lang w:val="en-US"/>
        </w:rPr>
        <w:t xml:space="preserve">5.1 </w:t>
      </w:r>
      <w:r w:rsidR="003F3E36" w:rsidRPr="002C24A8">
        <w:rPr>
          <w:rFonts w:ascii="Times New Roman" w:eastAsia="Times New Roman" w:hAnsi="Times New Roman" w:cs="Times New Roman"/>
          <w:i/>
          <w:sz w:val="24"/>
          <w:szCs w:val="24"/>
          <w:lang w:val="en-US"/>
        </w:rPr>
        <w:t xml:space="preserve">The </w:t>
      </w:r>
      <w:r w:rsidRPr="002C24A8">
        <w:rPr>
          <w:rFonts w:ascii="Times New Roman" w:eastAsia="Times New Roman" w:hAnsi="Times New Roman" w:cs="Times New Roman"/>
          <w:i/>
          <w:sz w:val="24"/>
          <w:szCs w:val="24"/>
          <w:lang w:val="en-US"/>
        </w:rPr>
        <w:t xml:space="preserve">CSR-Innovation Capacity </w:t>
      </w:r>
      <w:r w:rsidR="003F3E36" w:rsidRPr="002C24A8">
        <w:rPr>
          <w:rFonts w:ascii="Times New Roman" w:eastAsia="Times New Roman" w:hAnsi="Times New Roman" w:cs="Times New Roman"/>
          <w:i/>
          <w:sz w:val="24"/>
          <w:szCs w:val="24"/>
          <w:lang w:val="en-US"/>
        </w:rPr>
        <w:t>Relationship</w:t>
      </w:r>
      <w:r w:rsidRPr="002C24A8">
        <w:rPr>
          <w:rFonts w:ascii="Times New Roman" w:eastAsia="Times New Roman" w:hAnsi="Times New Roman" w:cs="Times New Roman"/>
          <w:i/>
          <w:sz w:val="24"/>
          <w:szCs w:val="24"/>
          <w:lang w:val="en-US"/>
        </w:rPr>
        <w:t xml:space="preserve">: a Case of Indirect Value-Creation </w:t>
      </w:r>
    </w:p>
    <w:p w14:paraId="71D7E349" w14:textId="53EED56C" w:rsidR="003450E3" w:rsidRPr="002C24A8" w:rsidRDefault="002A4E6B" w:rsidP="00173488">
      <w:pPr>
        <w:spacing w:line="480" w:lineRule="auto"/>
        <w:ind w:firstLine="72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The effect of CSR practices on firms’ performance is an ongoing research </w:t>
      </w:r>
      <w:r w:rsidR="005C5360" w:rsidRPr="002C24A8">
        <w:rPr>
          <w:rFonts w:ascii="Times New Roman" w:hAnsi="Times New Roman" w:cs="Times New Roman"/>
          <w:sz w:val="24"/>
          <w:szCs w:val="24"/>
          <w:lang w:val="en-US"/>
        </w:rPr>
        <w:t>priority for scholars of business and related disciplines</w:t>
      </w:r>
      <w:r w:rsidRPr="002C24A8">
        <w:rPr>
          <w:rFonts w:ascii="Times New Roman" w:hAnsi="Times New Roman" w:cs="Times New Roman"/>
          <w:sz w:val="24"/>
          <w:szCs w:val="24"/>
          <w:lang w:val="en-US"/>
        </w:rPr>
        <w:t xml:space="preserve">. The </w:t>
      </w:r>
      <w:r w:rsidR="005C5360" w:rsidRPr="002C24A8">
        <w:rPr>
          <w:rFonts w:ascii="Times New Roman" w:hAnsi="Times New Roman" w:cs="Times New Roman"/>
          <w:sz w:val="24"/>
          <w:szCs w:val="24"/>
          <w:lang w:val="en-US"/>
        </w:rPr>
        <w:t xml:space="preserve">“doing well by doing good” </w:t>
      </w:r>
      <w:r w:rsidRPr="002C24A8">
        <w:rPr>
          <w:rFonts w:ascii="Times New Roman" w:hAnsi="Times New Roman" w:cs="Times New Roman"/>
          <w:sz w:val="24"/>
          <w:szCs w:val="24"/>
          <w:lang w:val="en-US"/>
        </w:rPr>
        <w:t xml:space="preserve">hypothesis </w:t>
      </w:r>
      <w:r w:rsidRPr="002C24A8">
        <w:rPr>
          <w:lang w:val="en-US"/>
        </w:rPr>
        <w:t xml:space="preserve"> (</w:t>
      </w:r>
      <w:r w:rsidRPr="002C24A8">
        <w:rPr>
          <w:rFonts w:ascii="Times New Roman" w:hAnsi="Times New Roman" w:cs="Times New Roman"/>
          <w:sz w:val="24"/>
          <w:szCs w:val="24"/>
          <w:lang w:val="en-US"/>
        </w:rPr>
        <w:t xml:space="preserve">Bénabou and Tirole, 2010; Krüger, 2015) under which the engagement </w:t>
      </w:r>
      <w:r w:rsidR="00146EEB" w:rsidRPr="002C24A8">
        <w:rPr>
          <w:rFonts w:ascii="Times New Roman" w:hAnsi="Times New Roman" w:cs="Times New Roman"/>
          <w:sz w:val="24"/>
          <w:szCs w:val="24"/>
          <w:lang w:val="en-US"/>
        </w:rPr>
        <w:t>i</w:t>
      </w:r>
      <w:r w:rsidRPr="002C24A8">
        <w:rPr>
          <w:rFonts w:ascii="Times New Roman" w:hAnsi="Times New Roman" w:cs="Times New Roman"/>
          <w:sz w:val="24"/>
          <w:szCs w:val="24"/>
          <w:lang w:val="en-US"/>
        </w:rPr>
        <w:t xml:space="preserve">n CSR activities will result on maximizing both firms’ performance and shareholders value, has been often debated and the empirical findings over the years provide contradictory results (see Cheng et al. 2013; Deng et al., 2013; Ferrell et al. 2016; Wang et al. 2016). </w:t>
      </w:r>
      <w:r w:rsidR="00E2749E" w:rsidRPr="002C24A8">
        <w:rPr>
          <w:rFonts w:ascii="Times New Roman" w:hAnsi="Times New Roman" w:cs="Times New Roman"/>
          <w:sz w:val="24"/>
          <w:szCs w:val="24"/>
          <w:lang w:val="en-US"/>
        </w:rPr>
        <w:t xml:space="preserve">However, the </w:t>
      </w:r>
      <w:r w:rsidR="005C5360" w:rsidRPr="002C24A8">
        <w:rPr>
          <w:rFonts w:ascii="Times New Roman" w:hAnsi="Times New Roman" w:cs="Times New Roman"/>
          <w:sz w:val="24"/>
          <w:szCs w:val="24"/>
          <w:lang w:val="en-US"/>
        </w:rPr>
        <w:t xml:space="preserve">opposing </w:t>
      </w:r>
      <w:r w:rsidR="00E2749E" w:rsidRPr="002C24A8">
        <w:rPr>
          <w:rFonts w:ascii="Times New Roman" w:hAnsi="Times New Roman" w:cs="Times New Roman"/>
          <w:sz w:val="24"/>
          <w:szCs w:val="24"/>
          <w:lang w:val="en-US"/>
        </w:rPr>
        <w:t xml:space="preserve">results can be attributed </w:t>
      </w:r>
      <w:r w:rsidR="005C5360" w:rsidRPr="002C24A8">
        <w:rPr>
          <w:rFonts w:ascii="Times New Roman" w:hAnsi="Times New Roman" w:cs="Times New Roman"/>
          <w:sz w:val="24"/>
          <w:szCs w:val="24"/>
          <w:lang w:val="en-US"/>
        </w:rPr>
        <w:t xml:space="preserve">at least in part </w:t>
      </w:r>
      <w:r w:rsidR="00E2749E" w:rsidRPr="002C24A8">
        <w:rPr>
          <w:rFonts w:ascii="Times New Roman" w:hAnsi="Times New Roman" w:cs="Times New Roman"/>
          <w:sz w:val="24"/>
          <w:szCs w:val="24"/>
          <w:lang w:val="en-US"/>
        </w:rPr>
        <w:t xml:space="preserve">to the fact that CSR </w:t>
      </w:r>
      <w:r w:rsidR="005C5360" w:rsidRPr="002C24A8">
        <w:rPr>
          <w:rFonts w:ascii="Times New Roman" w:hAnsi="Times New Roman" w:cs="Times New Roman"/>
          <w:sz w:val="24"/>
          <w:szCs w:val="24"/>
          <w:lang w:val="en-US"/>
        </w:rPr>
        <w:t xml:space="preserve">indirectly </w:t>
      </w:r>
      <w:r w:rsidR="00E2749E" w:rsidRPr="002C24A8">
        <w:rPr>
          <w:rFonts w:ascii="Times New Roman" w:hAnsi="Times New Roman" w:cs="Times New Roman"/>
          <w:sz w:val="24"/>
          <w:szCs w:val="24"/>
          <w:lang w:val="en-US"/>
        </w:rPr>
        <w:t xml:space="preserve">affects firms’ value and performance, through its positive influence on firms’ ability to engage </w:t>
      </w:r>
      <w:r w:rsidR="005C5360" w:rsidRPr="002C24A8">
        <w:rPr>
          <w:rFonts w:ascii="Times New Roman" w:hAnsi="Times New Roman" w:cs="Times New Roman"/>
          <w:sz w:val="24"/>
          <w:szCs w:val="24"/>
          <w:lang w:val="en-US"/>
        </w:rPr>
        <w:t>i</w:t>
      </w:r>
      <w:r w:rsidR="00E2749E" w:rsidRPr="002C24A8">
        <w:rPr>
          <w:rFonts w:ascii="Times New Roman" w:hAnsi="Times New Roman" w:cs="Times New Roman"/>
          <w:sz w:val="24"/>
          <w:szCs w:val="24"/>
          <w:lang w:val="en-US"/>
        </w:rPr>
        <w:t>n innovation creatin</w:t>
      </w:r>
      <w:r w:rsidR="00AD042C" w:rsidRPr="002C24A8">
        <w:rPr>
          <w:rFonts w:ascii="Times New Roman" w:hAnsi="Times New Roman" w:cs="Times New Roman"/>
          <w:sz w:val="24"/>
          <w:szCs w:val="24"/>
          <w:lang w:val="en-US"/>
        </w:rPr>
        <w:t>g</w:t>
      </w:r>
      <w:r w:rsidR="00E2749E" w:rsidRPr="002C24A8">
        <w:rPr>
          <w:rFonts w:ascii="Times New Roman" w:hAnsi="Times New Roman" w:cs="Times New Roman"/>
          <w:sz w:val="24"/>
          <w:szCs w:val="24"/>
          <w:lang w:val="en-US"/>
        </w:rPr>
        <w:t xml:space="preserve"> activities.</w:t>
      </w:r>
      <w:r w:rsidR="00E14FAF" w:rsidRPr="002C24A8">
        <w:rPr>
          <w:rFonts w:ascii="Times New Roman" w:hAnsi="Times New Roman" w:cs="Times New Roman"/>
          <w:sz w:val="24"/>
          <w:szCs w:val="24"/>
          <w:lang w:val="en-US"/>
        </w:rPr>
        <w:t xml:space="preserve"> This is to say that </w:t>
      </w:r>
      <w:r w:rsidR="00E14FAF" w:rsidRPr="002C24A8">
        <w:rPr>
          <w:rFonts w:ascii="Times New Roman" w:hAnsi="Times New Roman" w:cs="Times New Roman"/>
          <w:sz w:val="24"/>
          <w:szCs w:val="24"/>
          <w:lang w:val="en-US"/>
        </w:rPr>
        <w:lastRenderedPageBreak/>
        <w:t>once a more nuanced view is taken as to how CSR activities can stimulate value enhancing business activity through indirect channels such as innovation, the scales are more favorably tilted towards a positive impact from CSR.</w:t>
      </w:r>
    </w:p>
    <w:p w14:paraId="16AE77C3" w14:textId="19944756" w:rsidR="009F7C5A" w:rsidRPr="002C24A8" w:rsidRDefault="002275B8" w:rsidP="00E11D5D">
      <w:pPr>
        <w:spacing w:line="480" w:lineRule="auto"/>
        <w:ind w:firstLine="72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O</w:t>
      </w:r>
      <w:r w:rsidR="003450E3" w:rsidRPr="002C24A8">
        <w:rPr>
          <w:rFonts w:ascii="Times New Roman" w:hAnsi="Times New Roman" w:cs="Times New Roman"/>
          <w:sz w:val="24"/>
          <w:szCs w:val="24"/>
          <w:lang w:val="en-US"/>
        </w:rPr>
        <w:t xml:space="preserve">ur study </w:t>
      </w:r>
      <w:r w:rsidR="00146EEB" w:rsidRPr="002C24A8">
        <w:rPr>
          <w:rFonts w:ascii="Times New Roman" w:hAnsi="Times New Roman" w:cs="Times New Roman"/>
          <w:sz w:val="24"/>
          <w:szCs w:val="24"/>
          <w:lang w:val="en-US"/>
        </w:rPr>
        <w:t xml:space="preserve">provides </w:t>
      </w:r>
      <w:r w:rsidR="003450E3" w:rsidRPr="002C24A8">
        <w:rPr>
          <w:rFonts w:ascii="Times New Roman" w:hAnsi="Times New Roman" w:cs="Times New Roman"/>
          <w:sz w:val="24"/>
          <w:szCs w:val="24"/>
          <w:lang w:val="en-US"/>
        </w:rPr>
        <w:t>new evidence of th</w:t>
      </w:r>
      <w:r w:rsidR="00146EEB" w:rsidRPr="002C24A8">
        <w:rPr>
          <w:rFonts w:ascii="Times New Roman" w:hAnsi="Times New Roman" w:cs="Times New Roman"/>
          <w:sz w:val="24"/>
          <w:szCs w:val="24"/>
          <w:lang w:val="en-US"/>
        </w:rPr>
        <w:t xml:space="preserve">e existence of an </w:t>
      </w:r>
      <w:r w:rsidRPr="002C24A8">
        <w:rPr>
          <w:rFonts w:ascii="Times New Roman" w:hAnsi="Times New Roman" w:cs="Times New Roman"/>
          <w:sz w:val="24"/>
          <w:szCs w:val="24"/>
          <w:lang w:val="en-US"/>
        </w:rPr>
        <w:t xml:space="preserve">indirect link. By using nonparametric frontier analysis our paper models </w:t>
      </w:r>
      <w:r w:rsidR="00E14FAF" w:rsidRPr="002C24A8">
        <w:rPr>
          <w:rFonts w:ascii="Times New Roman" w:hAnsi="Times New Roman" w:cs="Times New Roman"/>
          <w:sz w:val="24"/>
          <w:szCs w:val="24"/>
          <w:lang w:val="en-US"/>
        </w:rPr>
        <w:t>explicitly</w:t>
      </w:r>
      <w:r w:rsidR="00A41368" w:rsidRPr="002C24A8">
        <w:rPr>
          <w:rFonts w:ascii="Times New Roman" w:hAnsi="Times New Roman" w:cs="Times New Roman"/>
          <w:sz w:val="24"/>
          <w:szCs w:val="24"/>
          <w:lang w:val="en-US"/>
        </w:rPr>
        <w:t>,</w:t>
      </w:r>
      <w:r w:rsidRPr="002C24A8">
        <w:rPr>
          <w:rFonts w:ascii="Times New Roman" w:hAnsi="Times New Roman" w:cs="Times New Roman"/>
          <w:sz w:val="24"/>
          <w:szCs w:val="24"/>
          <w:lang w:val="en-US"/>
        </w:rPr>
        <w:t xml:space="preserve"> the effect of ESG policies adoption on the estimation of firms’ production efficiency levels. Specifically,</w:t>
      </w:r>
      <w:r w:rsidR="00E14FAF" w:rsidRPr="002C24A8">
        <w:rPr>
          <w:rFonts w:ascii="Times New Roman" w:hAnsi="Times New Roman" w:cs="Times New Roman"/>
          <w:sz w:val="24"/>
          <w:szCs w:val="24"/>
          <w:lang w:val="en-US"/>
        </w:rPr>
        <w:t xml:space="preserve"> through</w:t>
      </w:r>
      <w:r w:rsidRPr="002C24A8">
        <w:rPr>
          <w:rFonts w:ascii="Times New Roman" w:hAnsi="Times New Roman" w:cs="Times New Roman"/>
          <w:sz w:val="24"/>
          <w:szCs w:val="24"/>
          <w:lang w:val="en-US"/>
        </w:rPr>
        <w:t xml:space="preserve"> </w:t>
      </w:r>
      <w:r w:rsidR="00146EEB" w:rsidRPr="002C24A8">
        <w:rPr>
          <w:rFonts w:ascii="Times New Roman" w:hAnsi="Times New Roman" w:cs="Times New Roman"/>
          <w:sz w:val="24"/>
          <w:szCs w:val="24"/>
          <w:lang w:val="en-US"/>
        </w:rPr>
        <w:t xml:space="preserve">the application of </w:t>
      </w:r>
      <w:r w:rsidR="00E14FAF" w:rsidRPr="002C24A8">
        <w:rPr>
          <w:rFonts w:ascii="Times New Roman" w:hAnsi="Times New Roman" w:cs="Times New Roman"/>
          <w:sz w:val="24"/>
          <w:szCs w:val="24"/>
          <w:lang w:val="en-US"/>
        </w:rPr>
        <w:t xml:space="preserve">the </w:t>
      </w:r>
      <w:r w:rsidR="00146EEB" w:rsidRPr="002C24A8">
        <w:rPr>
          <w:rFonts w:ascii="Times New Roman" w:hAnsi="Times New Roman" w:cs="Times New Roman"/>
          <w:sz w:val="24"/>
          <w:szCs w:val="24"/>
          <w:lang w:val="en-US"/>
        </w:rPr>
        <w:t xml:space="preserve">recently developed </w:t>
      </w:r>
      <w:r w:rsidRPr="002C24A8">
        <w:rPr>
          <w:rFonts w:ascii="Times New Roman" w:hAnsi="Times New Roman" w:cs="Times New Roman"/>
          <w:sz w:val="24"/>
          <w:szCs w:val="24"/>
          <w:lang w:val="en-US"/>
        </w:rPr>
        <w:t>probabilistic approach</w:t>
      </w:r>
      <w:r w:rsidR="00E14FAF" w:rsidRPr="002C24A8">
        <w:rPr>
          <w:rFonts w:ascii="Times New Roman" w:hAnsi="Times New Roman" w:cs="Times New Roman"/>
          <w:sz w:val="24"/>
          <w:szCs w:val="24"/>
          <w:lang w:val="en-US"/>
        </w:rPr>
        <w:t xml:space="preserve"> to efficiency analysis </w:t>
      </w:r>
      <w:r w:rsidRPr="002C24A8">
        <w:rPr>
          <w:rFonts w:ascii="Times New Roman" w:hAnsi="Times New Roman" w:cs="Times New Roman"/>
          <w:sz w:val="24"/>
          <w:szCs w:val="24"/>
          <w:lang w:val="en-US"/>
        </w:rPr>
        <w:t>(Bădin et al., 2012. 2014, Mastromarco and Simar, 2015; Daraio et al., 2018)</w:t>
      </w:r>
      <w:r w:rsidR="00146EEB" w:rsidRPr="002C24A8">
        <w:rPr>
          <w:rFonts w:ascii="Times New Roman" w:hAnsi="Times New Roman" w:cs="Times New Roman"/>
          <w:sz w:val="24"/>
          <w:szCs w:val="24"/>
          <w:lang w:val="en-US"/>
        </w:rPr>
        <w:t xml:space="preserve">, we could examine </w:t>
      </w:r>
      <w:r w:rsidRPr="002C24A8">
        <w:rPr>
          <w:rFonts w:ascii="Times New Roman" w:hAnsi="Times New Roman" w:cs="Times New Roman"/>
          <w:sz w:val="24"/>
          <w:szCs w:val="24"/>
          <w:lang w:val="en-US"/>
        </w:rPr>
        <w:t>firms’ production efficiency measuremen</w:t>
      </w:r>
      <w:r w:rsidR="00146EEB" w:rsidRPr="002C24A8">
        <w:rPr>
          <w:rFonts w:ascii="Times New Roman" w:hAnsi="Times New Roman" w:cs="Times New Roman"/>
          <w:sz w:val="24"/>
          <w:szCs w:val="24"/>
          <w:lang w:val="en-US"/>
        </w:rPr>
        <w:t xml:space="preserve">t and </w:t>
      </w:r>
      <w:r w:rsidRPr="002C24A8">
        <w:rPr>
          <w:rFonts w:ascii="Times New Roman" w:hAnsi="Times New Roman" w:cs="Times New Roman"/>
          <w:sz w:val="24"/>
          <w:szCs w:val="24"/>
          <w:lang w:val="en-US"/>
        </w:rPr>
        <w:t xml:space="preserve">the effect of ESG choices on firms’ innovation capacity levels. </w:t>
      </w:r>
      <w:r w:rsidR="00146EEB" w:rsidRPr="002C24A8">
        <w:rPr>
          <w:rFonts w:ascii="Times New Roman" w:hAnsi="Times New Roman" w:cs="Times New Roman"/>
          <w:sz w:val="24"/>
          <w:szCs w:val="24"/>
          <w:lang w:val="en-US"/>
        </w:rPr>
        <w:t>W</w:t>
      </w:r>
      <w:r w:rsidRPr="002C24A8">
        <w:rPr>
          <w:rFonts w:ascii="Times New Roman" w:hAnsi="Times New Roman" w:cs="Times New Roman"/>
          <w:sz w:val="24"/>
          <w:szCs w:val="24"/>
          <w:lang w:val="en-US"/>
        </w:rPr>
        <w:t xml:space="preserve">e </w:t>
      </w:r>
      <w:r w:rsidR="00146EEB" w:rsidRPr="002C24A8">
        <w:rPr>
          <w:rFonts w:ascii="Times New Roman" w:hAnsi="Times New Roman" w:cs="Times New Roman"/>
          <w:sz w:val="24"/>
          <w:szCs w:val="24"/>
          <w:lang w:val="en-US"/>
        </w:rPr>
        <w:t xml:space="preserve">confirm of the existence of </w:t>
      </w:r>
      <w:r w:rsidRPr="002C24A8">
        <w:rPr>
          <w:rFonts w:ascii="Times New Roman" w:hAnsi="Times New Roman" w:cs="Times New Roman"/>
          <w:sz w:val="24"/>
          <w:szCs w:val="24"/>
          <w:lang w:val="en-US"/>
        </w:rPr>
        <w:t xml:space="preserve">a nonlinear effect of ESG adoption policies on firms’ innovation capacity. </w:t>
      </w:r>
    </w:p>
    <w:p w14:paraId="457DDDF2" w14:textId="1568C5C8" w:rsidR="009F7C5A" w:rsidRPr="002C24A8" w:rsidRDefault="009F7C5A" w:rsidP="00E11D5D">
      <w:pPr>
        <w:spacing w:line="480" w:lineRule="auto"/>
        <w:ind w:firstLine="720"/>
        <w:jc w:val="both"/>
        <w:rPr>
          <w:rFonts w:ascii="Times New Roman" w:hAnsi="Times New Roman" w:cs="Times New Roman"/>
          <w:sz w:val="24"/>
          <w:szCs w:val="24"/>
          <w:lang w:val="en-US"/>
        </w:rPr>
      </w:pPr>
      <w:r w:rsidRPr="002C24A8">
        <w:rPr>
          <w:rFonts w:ascii="Times New Roman" w:eastAsia="Times New Roman" w:hAnsi="Times New Roman" w:cs="Times New Roman"/>
          <w:sz w:val="24"/>
          <w:szCs w:val="24"/>
          <w:lang w:val="en-US"/>
        </w:rPr>
        <w:t xml:space="preserve">Our findings provide empirical evidence of the indirect value-creation hypothesis (Lioui and Sharma, 2012) under which the engagement on CSR/ESG activities influence firms’ performance. We provide convincing evidence that firms’ engagement on ESG activities </w:t>
      </w:r>
      <w:r w:rsidR="00D064FB" w:rsidRPr="002C24A8">
        <w:rPr>
          <w:rFonts w:ascii="Times New Roman" w:eastAsia="Times New Roman" w:hAnsi="Times New Roman" w:cs="Times New Roman"/>
          <w:sz w:val="24"/>
          <w:szCs w:val="24"/>
          <w:lang w:val="en-US"/>
        </w:rPr>
        <w:t xml:space="preserve">catalyzes </w:t>
      </w:r>
      <w:r w:rsidRPr="002C24A8">
        <w:rPr>
          <w:rFonts w:ascii="Times New Roman" w:eastAsia="Times New Roman" w:hAnsi="Times New Roman" w:cs="Times New Roman"/>
          <w:sz w:val="24"/>
          <w:szCs w:val="24"/>
          <w:lang w:val="en-US"/>
        </w:rPr>
        <w:t>firms’ mechanism</w:t>
      </w:r>
      <w:r w:rsidR="00D064FB" w:rsidRPr="002C24A8">
        <w:rPr>
          <w:rFonts w:ascii="Times New Roman" w:eastAsia="Times New Roman" w:hAnsi="Times New Roman" w:cs="Times New Roman"/>
          <w:sz w:val="24"/>
          <w:szCs w:val="24"/>
          <w:lang w:val="en-US"/>
        </w:rPr>
        <w:t>s</w:t>
      </w:r>
      <w:r w:rsidRPr="002C24A8">
        <w:rPr>
          <w:rFonts w:ascii="Times New Roman" w:eastAsia="Times New Roman" w:hAnsi="Times New Roman" w:cs="Times New Roman"/>
          <w:sz w:val="24"/>
          <w:szCs w:val="24"/>
          <w:lang w:val="en-US"/>
        </w:rPr>
        <w:t xml:space="preserve"> f</w:t>
      </w:r>
      <w:r w:rsidR="00D064FB" w:rsidRPr="002C24A8">
        <w:rPr>
          <w:rFonts w:ascii="Times New Roman" w:eastAsia="Times New Roman" w:hAnsi="Times New Roman" w:cs="Times New Roman"/>
          <w:sz w:val="24"/>
          <w:szCs w:val="24"/>
          <w:lang w:val="en-US"/>
        </w:rPr>
        <w:t>or</w:t>
      </w:r>
      <w:r w:rsidRPr="002C24A8">
        <w:rPr>
          <w:rFonts w:ascii="Times New Roman" w:eastAsia="Times New Roman" w:hAnsi="Times New Roman" w:cs="Times New Roman"/>
          <w:sz w:val="24"/>
          <w:szCs w:val="24"/>
          <w:lang w:val="en-US"/>
        </w:rPr>
        <w:t xml:space="preserve"> innovation capacity creation, which in turn reflect</w:t>
      </w:r>
      <w:r w:rsidR="00D064FB" w:rsidRPr="002C24A8">
        <w:rPr>
          <w:rFonts w:ascii="Times New Roman" w:eastAsia="Times New Roman" w:hAnsi="Times New Roman" w:cs="Times New Roman"/>
          <w:sz w:val="24"/>
          <w:szCs w:val="24"/>
          <w:lang w:val="en-US"/>
        </w:rPr>
        <w:t>s</w:t>
      </w:r>
      <w:r w:rsidRPr="002C24A8">
        <w:rPr>
          <w:rFonts w:ascii="Times New Roman" w:eastAsia="Times New Roman" w:hAnsi="Times New Roman" w:cs="Times New Roman"/>
          <w:sz w:val="24"/>
          <w:szCs w:val="24"/>
          <w:lang w:val="en-US"/>
        </w:rPr>
        <w:t xml:space="preserve"> on their performance levels. Th</w:t>
      </w:r>
      <w:r w:rsidR="00D064FB" w:rsidRPr="002C24A8">
        <w:rPr>
          <w:rFonts w:ascii="Times New Roman" w:eastAsia="Times New Roman" w:hAnsi="Times New Roman" w:cs="Times New Roman"/>
          <w:sz w:val="24"/>
          <w:szCs w:val="24"/>
          <w:lang w:val="en-US"/>
        </w:rPr>
        <w:t>is</w:t>
      </w:r>
      <w:r w:rsidRPr="002C24A8">
        <w:rPr>
          <w:rFonts w:ascii="Times New Roman" w:eastAsia="Times New Roman" w:hAnsi="Times New Roman" w:cs="Times New Roman"/>
          <w:sz w:val="24"/>
          <w:szCs w:val="24"/>
          <w:lang w:val="en-US"/>
        </w:rPr>
        <w:t xml:space="preserve"> path</w:t>
      </w:r>
      <w:r w:rsidR="00D064FB" w:rsidRPr="002C24A8">
        <w:rPr>
          <w:rFonts w:ascii="Times New Roman" w:eastAsia="Times New Roman" w:hAnsi="Times New Roman" w:cs="Times New Roman"/>
          <w:sz w:val="24"/>
          <w:szCs w:val="24"/>
          <w:lang w:val="en-US"/>
        </w:rPr>
        <w:t xml:space="preserve"> of value creation</w:t>
      </w:r>
      <w:r w:rsidRPr="002C24A8">
        <w:rPr>
          <w:rFonts w:ascii="Times New Roman" w:eastAsia="Times New Roman" w:hAnsi="Times New Roman" w:cs="Times New Roman"/>
          <w:sz w:val="24"/>
          <w:szCs w:val="24"/>
          <w:lang w:val="en-US"/>
        </w:rPr>
        <w:t xml:space="preserve"> implies that we have a potential delay and</w:t>
      </w:r>
      <w:r w:rsidR="00D064FB" w:rsidRPr="002C24A8">
        <w:rPr>
          <w:rFonts w:ascii="Times New Roman" w:eastAsia="Times New Roman" w:hAnsi="Times New Roman" w:cs="Times New Roman"/>
          <w:sz w:val="24"/>
          <w:szCs w:val="24"/>
          <w:lang w:val="en-US"/>
        </w:rPr>
        <w:t>/or</w:t>
      </w:r>
      <w:r w:rsidRPr="002C24A8">
        <w:rPr>
          <w:rFonts w:ascii="Times New Roman" w:eastAsia="Times New Roman" w:hAnsi="Times New Roman" w:cs="Times New Roman"/>
          <w:sz w:val="24"/>
          <w:szCs w:val="24"/>
          <w:lang w:val="en-US"/>
        </w:rPr>
        <w:t xml:space="preserve"> indirect effect of the CSR/ESG impact </w:t>
      </w:r>
      <w:r w:rsidR="00D064FB" w:rsidRPr="002C24A8">
        <w:rPr>
          <w:rFonts w:ascii="Times New Roman" w:eastAsia="Times New Roman" w:hAnsi="Times New Roman" w:cs="Times New Roman"/>
          <w:sz w:val="24"/>
          <w:szCs w:val="24"/>
          <w:lang w:val="en-US"/>
        </w:rPr>
        <w:t>t</w:t>
      </w:r>
      <w:r w:rsidRPr="002C24A8">
        <w:rPr>
          <w:rFonts w:ascii="Times New Roman" w:eastAsia="Times New Roman" w:hAnsi="Times New Roman" w:cs="Times New Roman"/>
          <w:sz w:val="24"/>
          <w:szCs w:val="24"/>
          <w:lang w:val="en-US"/>
        </w:rPr>
        <w:t>o firms’ performance levels</w:t>
      </w:r>
      <w:r w:rsidR="00D064FB" w:rsidRPr="002C24A8">
        <w:rPr>
          <w:rFonts w:ascii="Times New Roman" w:eastAsia="Times New Roman" w:hAnsi="Times New Roman" w:cs="Times New Roman"/>
          <w:sz w:val="24"/>
          <w:szCs w:val="24"/>
          <w:lang w:val="en-US"/>
        </w:rPr>
        <w:t xml:space="preserve"> since the CSR activity stimulates a sequence of events that eventually give rise to the indirect benefit</w:t>
      </w:r>
      <w:r w:rsidRPr="002C24A8">
        <w:rPr>
          <w:rFonts w:ascii="Times New Roman" w:eastAsia="Times New Roman" w:hAnsi="Times New Roman" w:cs="Times New Roman"/>
          <w:sz w:val="24"/>
          <w:szCs w:val="24"/>
          <w:lang w:val="en-US"/>
        </w:rPr>
        <w:t xml:space="preserve">, </w:t>
      </w:r>
      <w:r w:rsidR="00D064FB" w:rsidRPr="002C24A8">
        <w:rPr>
          <w:rFonts w:ascii="Times New Roman" w:eastAsia="Times New Roman" w:hAnsi="Times New Roman" w:cs="Times New Roman"/>
          <w:sz w:val="24"/>
          <w:szCs w:val="24"/>
          <w:lang w:val="en-US"/>
        </w:rPr>
        <w:t xml:space="preserve">and </w:t>
      </w:r>
      <w:r w:rsidRPr="002C24A8">
        <w:rPr>
          <w:rFonts w:ascii="Times New Roman" w:eastAsia="Times New Roman" w:hAnsi="Times New Roman" w:cs="Times New Roman"/>
          <w:sz w:val="24"/>
          <w:szCs w:val="24"/>
          <w:lang w:val="en-US"/>
        </w:rPr>
        <w:t>which justifies conflicting empirical findings reported in the related literature (Deng et al., 2013; Ferrell et al., 2016; Wang et al., 2016). Our findings further show that the engagement on ESG activities enable firms to utilize successful innovation processes (Wang et al., 2008), which initiate R&amp;D related activities (</w:t>
      </w:r>
      <w:r w:rsidRPr="002C24A8">
        <w:rPr>
          <w:rFonts w:ascii="Times New Roman" w:hAnsi="Times New Roman" w:cs="Times New Roman"/>
          <w:sz w:val="24"/>
          <w:szCs w:val="24"/>
          <w:lang w:val="en-US"/>
        </w:rPr>
        <w:t xml:space="preserve">Reverte et al., 2016; Ueki et al., 2016) and greater innovation intensity. As a result, this phenomenon reflects on firms’ innovation capacity levels and then on firms’ technological change levels. Finally, our findings align with those by Hull and Rothenberg (2008) by suggesting that the positive effect of </w:t>
      </w:r>
      <w:r w:rsidRPr="002C24A8">
        <w:rPr>
          <w:rFonts w:ascii="Times New Roman" w:hAnsi="Times New Roman" w:cs="Times New Roman"/>
          <w:sz w:val="24"/>
          <w:szCs w:val="24"/>
          <w:lang w:val="en-US"/>
        </w:rPr>
        <w:lastRenderedPageBreak/>
        <w:t xml:space="preserve">CSR/ESG activities on firms’ performance levels is moderated by firms’ innovation capability levels. In fact, this adjustment effect attributed to different levels of firms’ innovation capability is evident from the observed nonlinear behavior of ESG impact on firms’ technological levels. </w:t>
      </w:r>
    </w:p>
    <w:p w14:paraId="0C8FD0D4" w14:textId="77777777" w:rsidR="009F7C5A" w:rsidRPr="002C24A8" w:rsidRDefault="009F7C5A" w:rsidP="00E11D5D">
      <w:pPr>
        <w:spacing w:line="480" w:lineRule="auto"/>
        <w:jc w:val="both"/>
        <w:rPr>
          <w:rFonts w:ascii="Times New Roman" w:hAnsi="Times New Roman" w:cs="Times New Roman"/>
          <w:i/>
          <w:sz w:val="24"/>
          <w:szCs w:val="24"/>
          <w:lang w:val="en-US"/>
        </w:rPr>
      </w:pPr>
    </w:p>
    <w:p w14:paraId="6423F1D1" w14:textId="6034023B" w:rsidR="009F7C5A" w:rsidRPr="002C24A8" w:rsidRDefault="009F7C5A" w:rsidP="00E11D5D">
      <w:pPr>
        <w:spacing w:line="480" w:lineRule="auto"/>
        <w:jc w:val="both"/>
        <w:rPr>
          <w:rFonts w:ascii="Times New Roman" w:hAnsi="Times New Roman" w:cs="Times New Roman"/>
          <w:i/>
          <w:sz w:val="24"/>
          <w:szCs w:val="24"/>
          <w:lang w:val="en-US"/>
        </w:rPr>
      </w:pPr>
      <w:r w:rsidRPr="002C24A8">
        <w:rPr>
          <w:rFonts w:ascii="Times New Roman" w:hAnsi="Times New Roman" w:cs="Times New Roman"/>
          <w:i/>
          <w:sz w:val="24"/>
          <w:szCs w:val="24"/>
          <w:lang w:val="en-US"/>
        </w:rPr>
        <w:t>5.2 Nonlinearity of the Relationship and Sectoral Differences</w:t>
      </w:r>
    </w:p>
    <w:p w14:paraId="21A385D7" w14:textId="7318CFA8" w:rsidR="009F7C5A" w:rsidRPr="002C24A8" w:rsidRDefault="002275B8" w:rsidP="00CF6E86">
      <w:pPr>
        <w:spacing w:line="480" w:lineRule="auto"/>
        <w:ind w:firstLine="72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Overall our </w:t>
      </w:r>
      <w:r w:rsidR="00146EEB" w:rsidRPr="002C24A8">
        <w:rPr>
          <w:rFonts w:ascii="Times New Roman" w:hAnsi="Times New Roman" w:cs="Times New Roman"/>
          <w:sz w:val="24"/>
          <w:szCs w:val="24"/>
          <w:lang w:val="en-US"/>
        </w:rPr>
        <w:t xml:space="preserve">results further </w:t>
      </w:r>
      <w:r w:rsidRPr="002C24A8">
        <w:rPr>
          <w:rFonts w:ascii="Times New Roman" w:hAnsi="Times New Roman" w:cs="Times New Roman"/>
          <w:sz w:val="24"/>
          <w:szCs w:val="24"/>
          <w:lang w:val="en-US"/>
        </w:rPr>
        <w:t xml:space="preserve">suggest </w:t>
      </w:r>
      <w:r w:rsidR="00146EEB" w:rsidRPr="002C24A8">
        <w:rPr>
          <w:rFonts w:ascii="Times New Roman" w:hAnsi="Times New Roman" w:cs="Times New Roman"/>
          <w:sz w:val="24"/>
          <w:szCs w:val="24"/>
          <w:lang w:val="en-US"/>
        </w:rPr>
        <w:t xml:space="preserve">that there is </w:t>
      </w:r>
      <w:r w:rsidRPr="002C24A8">
        <w:rPr>
          <w:rFonts w:ascii="Times New Roman" w:hAnsi="Times New Roman" w:cs="Times New Roman"/>
          <w:sz w:val="24"/>
          <w:szCs w:val="24"/>
          <w:lang w:val="en-US"/>
        </w:rPr>
        <w:t>a positive effect on innovation capacity as firms’ compliance with ESG criteria increases</w:t>
      </w:r>
      <w:r w:rsidR="00146EEB" w:rsidRPr="002C24A8">
        <w:rPr>
          <w:rFonts w:ascii="Times New Roman" w:hAnsi="Times New Roman" w:cs="Times New Roman"/>
          <w:sz w:val="24"/>
          <w:szCs w:val="24"/>
          <w:lang w:val="en-US"/>
        </w:rPr>
        <w:t xml:space="preserve">. However, there is critical cut-off ESG level after which </w:t>
      </w:r>
      <w:r w:rsidR="00A57E59" w:rsidRPr="002C24A8">
        <w:rPr>
          <w:rFonts w:ascii="Times New Roman" w:hAnsi="Times New Roman" w:cs="Times New Roman"/>
          <w:sz w:val="24"/>
          <w:szCs w:val="24"/>
          <w:lang w:val="en-US"/>
        </w:rPr>
        <w:t>the effect become</w:t>
      </w:r>
      <w:r w:rsidR="00E170A1" w:rsidRPr="002C24A8">
        <w:rPr>
          <w:rFonts w:ascii="Times New Roman" w:hAnsi="Times New Roman" w:cs="Times New Roman"/>
          <w:sz w:val="24"/>
          <w:szCs w:val="24"/>
          <w:lang w:val="en-US"/>
        </w:rPr>
        <w:t>s</w:t>
      </w:r>
      <w:r w:rsidR="00A57E59" w:rsidRPr="002C24A8">
        <w:rPr>
          <w:rFonts w:ascii="Times New Roman" w:hAnsi="Times New Roman" w:cs="Times New Roman"/>
          <w:sz w:val="24"/>
          <w:szCs w:val="24"/>
          <w:lang w:val="en-US"/>
        </w:rPr>
        <w:t xml:space="preserve"> negative. </w:t>
      </w:r>
      <w:r w:rsidR="00146EEB" w:rsidRPr="002C24A8">
        <w:rPr>
          <w:rFonts w:ascii="Times New Roman" w:hAnsi="Times New Roman" w:cs="Times New Roman"/>
          <w:sz w:val="24"/>
          <w:szCs w:val="24"/>
          <w:lang w:val="en-US"/>
        </w:rPr>
        <w:t>We deploy a</w:t>
      </w:r>
      <w:r w:rsidR="007573D8" w:rsidRPr="002C24A8">
        <w:rPr>
          <w:rFonts w:ascii="Times New Roman" w:hAnsi="Times New Roman" w:cs="Times New Roman"/>
          <w:sz w:val="24"/>
          <w:szCs w:val="24"/>
          <w:lang w:val="en-US"/>
        </w:rPr>
        <w:t xml:space="preserve"> robustness check</w:t>
      </w:r>
      <w:r w:rsidR="00146EEB" w:rsidRPr="002C24A8">
        <w:rPr>
          <w:rFonts w:ascii="Times New Roman" w:hAnsi="Times New Roman" w:cs="Times New Roman"/>
          <w:sz w:val="24"/>
          <w:szCs w:val="24"/>
          <w:lang w:val="en-US"/>
        </w:rPr>
        <w:t xml:space="preserve"> </w:t>
      </w:r>
      <w:r w:rsidR="00E170A1" w:rsidRPr="002C24A8">
        <w:rPr>
          <w:rFonts w:ascii="Times New Roman" w:hAnsi="Times New Roman" w:cs="Times New Roman"/>
          <w:sz w:val="24"/>
          <w:szCs w:val="24"/>
          <w:lang w:val="en-US"/>
        </w:rPr>
        <w:t xml:space="preserve">on our main results </w:t>
      </w:r>
      <w:r w:rsidR="00146EEB" w:rsidRPr="002C24A8">
        <w:rPr>
          <w:rFonts w:ascii="Times New Roman" w:hAnsi="Times New Roman" w:cs="Times New Roman"/>
          <w:sz w:val="24"/>
          <w:szCs w:val="24"/>
          <w:lang w:val="en-US"/>
        </w:rPr>
        <w:t xml:space="preserve">by performing </w:t>
      </w:r>
      <w:r w:rsidR="007573D8" w:rsidRPr="002C24A8">
        <w:rPr>
          <w:rFonts w:ascii="Times New Roman" w:hAnsi="Times New Roman" w:cs="Times New Roman"/>
          <w:sz w:val="24"/>
          <w:szCs w:val="24"/>
          <w:lang w:val="en-US"/>
        </w:rPr>
        <w:t>our analysis separate</w:t>
      </w:r>
      <w:r w:rsidR="00146EEB" w:rsidRPr="002C24A8">
        <w:rPr>
          <w:rFonts w:ascii="Times New Roman" w:hAnsi="Times New Roman" w:cs="Times New Roman"/>
          <w:sz w:val="24"/>
          <w:szCs w:val="24"/>
          <w:lang w:val="en-US"/>
        </w:rPr>
        <w:t xml:space="preserve">ly </w:t>
      </w:r>
      <w:r w:rsidR="007573D8" w:rsidRPr="002C24A8">
        <w:rPr>
          <w:rFonts w:ascii="Times New Roman" w:hAnsi="Times New Roman" w:cs="Times New Roman"/>
          <w:sz w:val="24"/>
          <w:szCs w:val="24"/>
          <w:lang w:val="en-US"/>
        </w:rPr>
        <w:t>for different sectors. The results</w:t>
      </w:r>
      <w:r w:rsidR="00E170A1" w:rsidRPr="002C24A8">
        <w:rPr>
          <w:rFonts w:ascii="Times New Roman" w:hAnsi="Times New Roman" w:cs="Times New Roman"/>
          <w:sz w:val="24"/>
          <w:szCs w:val="24"/>
          <w:lang w:val="en-US"/>
        </w:rPr>
        <w:t>,</w:t>
      </w:r>
      <w:r w:rsidR="007573D8" w:rsidRPr="002C24A8">
        <w:rPr>
          <w:rFonts w:ascii="Times New Roman" w:hAnsi="Times New Roman" w:cs="Times New Roman"/>
          <w:sz w:val="24"/>
          <w:szCs w:val="24"/>
          <w:lang w:val="en-US"/>
        </w:rPr>
        <w:t xml:space="preserve"> in the majority of cases</w:t>
      </w:r>
      <w:r w:rsidR="00E170A1" w:rsidRPr="002C24A8">
        <w:rPr>
          <w:rFonts w:ascii="Times New Roman" w:hAnsi="Times New Roman" w:cs="Times New Roman"/>
          <w:sz w:val="24"/>
          <w:szCs w:val="24"/>
          <w:lang w:val="en-US"/>
        </w:rPr>
        <w:t>,</w:t>
      </w:r>
      <w:r w:rsidR="007573D8" w:rsidRPr="002C24A8">
        <w:rPr>
          <w:rFonts w:ascii="Times New Roman" w:hAnsi="Times New Roman" w:cs="Times New Roman"/>
          <w:sz w:val="24"/>
          <w:szCs w:val="24"/>
          <w:lang w:val="en-US"/>
        </w:rPr>
        <w:t xml:space="preserve"> </w:t>
      </w:r>
      <w:r w:rsidR="00E170A1" w:rsidRPr="002C24A8">
        <w:rPr>
          <w:rFonts w:ascii="Times New Roman" w:hAnsi="Times New Roman" w:cs="Times New Roman"/>
          <w:sz w:val="24"/>
          <w:szCs w:val="24"/>
          <w:lang w:val="en-US"/>
        </w:rPr>
        <w:t xml:space="preserve">verify the presence of </w:t>
      </w:r>
      <w:r w:rsidR="007573D8" w:rsidRPr="002C24A8">
        <w:rPr>
          <w:rFonts w:ascii="Times New Roman" w:hAnsi="Times New Roman" w:cs="Times New Roman"/>
          <w:sz w:val="24"/>
          <w:szCs w:val="24"/>
          <w:lang w:val="en-US"/>
        </w:rPr>
        <w:t xml:space="preserve">an inverted “U”-shape </w:t>
      </w:r>
      <w:r w:rsidR="00E170A1" w:rsidRPr="002C24A8">
        <w:rPr>
          <w:rFonts w:ascii="Times New Roman" w:hAnsi="Times New Roman" w:cs="Times New Roman"/>
          <w:sz w:val="24"/>
          <w:szCs w:val="24"/>
          <w:lang w:val="en-US"/>
        </w:rPr>
        <w:t xml:space="preserve">profile, </w:t>
      </w:r>
      <w:r w:rsidR="007573D8" w:rsidRPr="002C24A8">
        <w:rPr>
          <w:rFonts w:ascii="Times New Roman" w:hAnsi="Times New Roman" w:cs="Times New Roman"/>
          <w:sz w:val="24"/>
          <w:szCs w:val="24"/>
          <w:lang w:val="en-US"/>
        </w:rPr>
        <w:t xml:space="preserve">suggesting a nonlinear relationship. </w:t>
      </w:r>
    </w:p>
    <w:p w14:paraId="0AFB08A3" w14:textId="4F359547" w:rsidR="006D719B" w:rsidRPr="002C24A8" w:rsidRDefault="00A41368" w:rsidP="00E11D5D">
      <w:pPr>
        <w:spacing w:line="480" w:lineRule="auto"/>
        <w:ind w:firstLine="72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Nevertheless,</w:t>
      </w:r>
      <w:r w:rsidR="00146EEB" w:rsidRPr="002C24A8">
        <w:rPr>
          <w:rFonts w:ascii="Times New Roman" w:hAnsi="Times New Roman" w:cs="Times New Roman"/>
          <w:sz w:val="24"/>
          <w:szCs w:val="24"/>
          <w:lang w:val="en-US"/>
        </w:rPr>
        <w:t xml:space="preserve"> in some </w:t>
      </w:r>
      <w:r w:rsidRPr="002C24A8">
        <w:rPr>
          <w:rFonts w:ascii="Times New Roman" w:hAnsi="Times New Roman" w:cs="Times New Roman"/>
          <w:sz w:val="24"/>
          <w:szCs w:val="24"/>
          <w:lang w:val="en-US"/>
        </w:rPr>
        <w:t>instances and</w:t>
      </w:r>
      <w:r w:rsidR="007573D8" w:rsidRPr="002C24A8">
        <w:rPr>
          <w:rFonts w:ascii="Times New Roman" w:hAnsi="Times New Roman" w:cs="Times New Roman"/>
          <w:sz w:val="24"/>
          <w:szCs w:val="24"/>
          <w:lang w:val="en-US"/>
        </w:rPr>
        <w:t xml:space="preserve"> especially for the sectors of: Energy, Financials, Technology and Utilities, the effect is positive characterized by a nonparametric</w:t>
      </w:r>
      <w:r w:rsidR="00E170A1" w:rsidRPr="002C24A8">
        <w:rPr>
          <w:rFonts w:ascii="Times New Roman" w:hAnsi="Times New Roman" w:cs="Times New Roman"/>
          <w:sz w:val="24"/>
          <w:szCs w:val="24"/>
          <w:lang w:val="en-US"/>
        </w:rPr>
        <w:t xml:space="preserve"> (curvilinear)</w:t>
      </w:r>
      <w:r w:rsidR="007573D8" w:rsidRPr="002C24A8">
        <w:rPr>
          <w:rFonts w:ascii="Times New Roman" w:hAnsi="Times New Roman" w:cs="Times New Roman"/>
          <w:sz w:val="24"/>
          <w:szCs w:val="24"/>
          <w:lang w:val="en-US"/>
        </w:rPr>
        <w:t xml:space="preserve"> increasing line. Specifically, as firms’ ESG criteria compliance increases</w:t>
      </w:r>
      <w:r w:rsidR="00E170A1" w:rsidRPr="002C24A8">
        <w:rPr>
          <w:rFonts w:ascii="Times New Roman" w:hAnsi="Times New Roman" w:cs="Times New Roman"/>
          <w:sz w:val="24"/>
          <w:szCs w:val="24"/>
          <w:lang w:val="en-US"/>
        </w:rPr>
        <w:t>,</w:t>
      </w:r>
      <w:r w:rsidR="007573D8" w:rsidRPr="002C24A8">
        <w:rPr>
          <w:rFonts w:ascii="Times New Roman" w:hAnsi="Times New Roman" w:cs="Times New Roman"/>
          <w:sz w:val="24"/>
          <w:szCs w:val="24"/>
          <w:lang w:val="en-US"/>
        </w:rPr>
        <w:t xml:space="preserve"> the positive effect </w:t>
      </w:r>
      <w:r w:rsidR="00E170A1" w:rsidRPr="002C24A8">
        <w:rPr>
          <w:rFonts w:ascii="Times New Roman" w:hAnsi="Times New Roman" w:cs="Times New Roman"/>
          <w:sz w:val="24"/>
          <w:szCs w:val="24"/>
          <w:lang w:val="en-US"/>
        </w:rPr>
        <w:t>t</w:t>
      </w:r>
      <w:r w:rsidR="007573D8" w:rsidRPr="002C24A8">
        <w:rPr>
          <w:rFonts w:ascii="Times New Roman" w:hAnsi="Times New Roman" w:cs="Times New Roman"/>
          <w:sz w:val="24"/>
          <w:szCs w:val="24"/>
          <w:lang w:val="en-US"/>
        </w:rPr>
        <w:t xml:space="preserve">o firms’ innovation capacity also increases but in a nonlinear manner. </w:t>
      </w:r>
      <w:r w:rsidR="009F7C5A" w:rsidRPr="002C24A8">
        <w:rPr>
          <w:rFonts w:ascii="Times New Roman" w:eastAsia="Times New Roman" w:hAnsi="Times New Roman" w:cs="Times New Roman"/>
          <w:sz w:val="24"/>
          <w:szCs w:val="24"/>
          <w:lang w:val="en-US"/>
        </w:rPr>
        <w:t xml:space="preserve">Our results provide support </w:t>
      </w:r>
      <w:r w:rsidR="006D719B" w:rsidRPr="002C24A8">
        <w:rPr>
          <w:rFonts w:ascii="Times New Roman" w:eastAsia="Times New Roman" w:hAnsi="Times New Roman" w:cs="Times New Roman"/>
          <w:sz w:val="24"/>
          <w:szCs w:val="24"/>
          <w:lang w:val="en-US"/>
        </w:rPr>
        <w:t xml:space="preserve">that the nonlinear effect on the examined sectors </w:t>
      </w:r>
      <w:r w:rsidR="006960EE" w:rsidRPr="002C24A8">
        <w:rPr>
          <w:rFonts w:ascii="Times New Roman" w:eastAsia="Times New Roman" w:hAnsi="Times New Roman" w:cs="Times New Roman"/>
          <w:sz w:val="24"/>
          <w:szCs w:val="24"/>
          <w:lang w:val="en-US"/>
        </w:rPr>
        <w:t xml:space="preserve">is </w:t>
      </w:r>
      <w:r w:rsidR="00E170A1" w:rsidRPr="002C24A8">
        <w:rPr>
          <w:rFonts w:ascii="Times New Roman" w:eastAsia="Times New Roman" w:hAnsi="Times New Roman" w:cs="Times New Roman"/>
          <w:sz w:val="24"/>
          <w:szCs w:val="24"/>
          <w:lang w:val="en-US"/>
        </w:rPr>
        <w:t>consistent with</w:t>
      </w:r>
      <w:r w:rsidR="006D719B" w:rsidRPr="002C24A8">
        <w:rPr>
          <w:rFonts w:ascii="Times New Roman" w:eastAsia="Times New Roman" w:hAnsi="Times New Roman" w:cs="Times New Roman"/>
          <w:sz w:val="24"/>
          <w:szCs w:val="24"/>
          <w:lang w:val="en-US"/>
        </w:rPr>
        <w:t xml:space="preserve"> unique sectoral characteristics. Such an outcome </w:t>
      </w:r>
      <w:r w:rsidR="00F556ED" w:rsidRPr="002C24A8">
        <w:rPr>
          <w:rFonts w:ascii="Times New Roman" w:eastAsia="Times New Roman" w:hAnsi="Times New Roman" w:cs="Times New Roman"/>
          <w:sz w:val="24"/>
          <w:szCs w:val="24"/>
          <w:lang w:val="en-US"/>
        </w:rPr>
        <w:t xml:space="preserve">is to </w:t>
      </w:r>
      <w:r w:rsidR="006D719B" w:rsidRPr="002C24A8">
        <w:rPr>
          <w:rFonts w:ascii="Times New Roman" w:eastAsia="Times New Roman" w:hAnsi="Times New Roman" w:cs="Times New Roman"/>
          <w:sz w:val="24"/>
          <w:szCs w:val="24"/>
          <w:lang w:val="en-US"/>
        </w:rPr>
        <w:t>be</w:t>
      </w:r>
      <w:r w:rsidR="00F556ED" w:rsidRPr="002C24A8">
        <w:rPr>
          <w:rFonts w:ascii="Times New Roman" w:eastAsia="Times New Roman" w:hAnsi="Times New Roman" w:cs="Times New Roman"/>
          <w:sz w:val="24"/>
          <w:szCs w:val="24"/>
          <w:lang w:val="en-US"/>
        </w:rPr>
        <w:t xml:space="preserve"> </w:t>
      </w:r>
      <w:r w:rsidR="006D719B" w:rsidRPr="002C24A8">
        <w:rPr>
          <w:rFonts w:ascii="Times New Roman" w:eastAsia="Times New Roman" w:hAnsi="Times New Roman" w:cs="Times New Roman"/>
          <w:sz w:val="24"/>
          <w:szCs w:val="24"/>
          <w:lang w:val="en-US"/>
        </w:rPr>
        <w:t>expected especially when the effect of CSR/ESG policies is evaluated among industries. Beschorner and Hajduk (2017) provide convincing evidence that the industry-specific characteristics shape the CSR/ESG practices and the interlink among the different ‘actors’ involve</w:t>
      </w:r>
      <w:r w:rsidR="009F7C5A" w:rsidRPr="002C24A8">
        <w:rPr>
          <w:rFonts w:ascii="Times New Roman" w:eastAsia="Times New Roman" w:hAnsi="Times New Roman" w:cs="Times New Roman"/>
          <w:sz w:val="24"/>
          <w:szCs w:val="24"/>
          <w:lang w:val="en-US"/>
        </w:rPr>
        <w:t>ments. This is referred to as ‘industry-</w:t>
      </w:r>
      <w:r w:rsidR="006D719B" w:rsidRPr="002C24A8">
        <w:rPr>
          <w:rFonts w:ascii="Times New Roman" w:eastAsia="Times New Roman" w:hAnsi="Times New Roman" w:cs="Times New Roman"/>
          <w:sz w:val="24"/>
          <w:szCs w:val="24"/>
          <w:lang w:val="en-US"/>
        </w:rPr>
        <w:t xml:space="preserve">specific </w:t>
      </w:r>
      <w:r w:rsidR="009F7C5A" w:rsidRPr="002C24A8">
        <w:rPr>
          <w:rFonts w:ascii="Times New Roman" w:eastAsia="Times New Roman" w:hAnsi="Times New Roman" w:cs="Times New Roman"/>
          <w:sz w:val="24"/>
          <w:szCs w:val="24"/>
          <w:lang w:val="en-US"/>
        </w:rPr>
        <w:t>corporate social responsibility’</w:t>
      </w:r>
      <w:r w:rsidR="006D719B" w:rsidRPr="002C24A8">
        <w:rPr>
          <w:rFonts w:ascii="Times New Roman" w:eastAsia="Times New Roman" w:hAnsi="Times New Roman" w:cs="Times New Roman"/>
          <w:sz w:val="24"/>
          <w:szCs w:val="24"/>
          <w:lang w:val="en-US"/>
        </w:rPr>
        <w:t xml:space="preserve"> (Beschorner and Hajduk, 2017; p.635). Matten and Crane (2005) and</w:t>
      </w:r>
      <w:r w:rsidR="006D719B" w:rsidRPr="002C24A8">
        <w:rPr>
          <w:lang w:val="en-US"/>
        </w:rPr>
        <w:t xml:space="preserve"> </w:t>
      </w:r>
      <w:r w:rsidR="006D719B" w:rsidRPr="002C24A8">
        <w:rPr>
          <w:rFonts w:ascii="Times New Roman" w:eastAsia="Times New Roman" w:hAnsi="Times New Roman" w:cs="Times New Roman"/>
          <w:sz w:val="24"/>
          <w:szCs w:val="24"/>
          <w:lang w:val="en-US"/>
        </w:rPr>
        <w:t>Kinderman (2011) argue that the different institutional arrangements and different business systems among the sectors have a different impact on CSR/ESG</w:t>
      </w:r>
      <w:r w:rsidR="00EA4C6F" w:rsidRPr="002C24A8">
        <w:rPr>
          <w:rFonts w:ascii="Times New Roman" w:eastAsia="Times New Roman" w:hAnsi="Times New Roman" w:cs="Times New Roman"/>
          <w:sz w:val="24"/>
          <w:szCs w:val="24"/>
          <w:lang w:val="en-US"/>
        </w:rPr>
        <w:t xml:space="preserve"> opportunities and</w:t>
      </w:r>
      <w:r w:rsidR="006D719B" w:rsidRPr="002C24A8">
        <w:rPr>
          <w:rFonts w:ascii="Times New Roman" w:eastAsia="Times New Roman" w:hAnsi="Times New Roman" w:cs="Times New Roman"/>
          <w:sz w:val="24"/>
          <w:szCs w:val="24"/>
          <w:lang w:val="en-US"/>
        </w:rPr>
        <w:t xml:space="preserve"> practices. Thus, the effect on firms’ performances is </w:t>
      </w:r>
      <w:r w:rsidR="00EA4C6F" w:rsidRPr="002C24A8">
        <w:rPr>
          <w:rFonts w:ascii="Times New Roman" w:eastAsia="Times New Roman" w:hAnsi="Times New Roman" w:cs="Times New Roman"/>
          <w:sz w:val="24"/>
          <w:szCs w:val="24"/>
          <w:lang w:val="en-US"/>
        </w:rPr>
        <w:t xml:space="preserve">also </w:t>
      </w:r>
      <w:r w:rsidR="006D719B" w:rsidRPr="002C24A8">
        <w:rPr>
          <w:rFonts w:ascii="Times New Roman" w:eastAsia="Times New Roman" w:hAnsi="Times New Roman" w:cs="Times New Roman"/>
          <w:sz w:val="24"/>
          <w:szCs w:val="24"/>
          <w:lang w:val="en-US"/>
        </w:rPr>
        <w:lastRenderedPageBreak/>
        <w:t xml:space="preserve">expected to </w:t>
      </w:r>
      <w:r w:rsidR="00EA4C6F" w:rsidRPr="002C24A8">
        <w:rPr>
          <w:rFonts w:ascii="Times New Roman" w:eastAsia="Times New Roman" w:hAnsi="Times New Roman" w:cs="Times New Roman"/>
          <w:sz w:val="24"/>
          <w:szCs w:val="24"/>
          <w:lang w:val="en-US"/>
        </w:rPr>
        <w:t>vary</w:t>
      </w:r>
      <w:r w:rsidR="006D719B" w:rsidRPr="002C24A8">
        <w:rPr>
          <w:rFonts w:ascii="Times New Roman" w:eastAsia="Times New Roman" w:hAnsi="Times New Roman" w:cs="Times New Roman"/>
          <w:sz w:val="24"/>
          <w:szCs w:val="24"/>
          <w:lang w:val="en-US"/>
        </w:rPr>
        <w:t xml:space="preserve">. Jain et al. (2017) </w:t>
      </w:r>
      <w:r w:rsidR="00EA4C6F" w:rsidRPr="002C24A8">
        <w:rPr>
          <w:rFonts w:ascii="Times New Roman" w:eastAsia="Times New Roman" w:hAnsi="Times New Roman" w:cs="Times New Roman"/>
          <w:sz w:val="24"/>
          <w:szCs w:val="24"/>
          <w:lang w:val="en-US"/>
        </w:rPr>
        <w:t xml:space="preserve">argue </w:t>
      </w:r>
      <w:r w:rsidR="006D719B" w:rsidRPr="002C24A8">
        <w:rPr>
          <w:rFonts w:ascii="Times New Roman" w:eastAsia="Times New Roman" w:hAnsi="Times New Roman" w:cs="Times New Roman"/>
          <w:sz w:val="24"/>
          <w:szCs w:val="24"/>
          <w:lang w:val="en-US"/>
        </w:rPr>
        <w:t>that specific industries’ institutional dynamics initiate different stakeholders</w:t>
      </w:r>
      <w:r w:rsidR="00B0445D" w:rsidRPr="002C24A8">
        <w:rPr>
          <w:rFonts w:ascii="Times New Roman" w:eastAsia="Times New Roman" w:hAnsi="Times New Roman" w:cs="Times New Roman"/>
          <w:sz w:val="24"/>
          <w:szCs w:val="24"/>
          <w:lang w:val="en-US"/>
        </w:rPr>
        <w:t>’</w:t>
      </w:r>
      <w:r w:rsidR="006D719B" w:rsidRPr="002C24A8">
        <w:rPr>
          <w:rFonts w:ascii="Times New Roman" w:eastAsia="Times New Roman" w:hAnsi="Times New Roman" w:cs="Times New Roman"/>
          <w:sz w:val="24"/>
          <w:szCs w:val="24"/>
          <w:lang w:val="en-US"/>
        </w:rPr>
        <w:t xml:space="preserve"> orientations </w:t>
      </w:r>
      <w:r w:rsidR="00EA4C6F" w:rsidRPr="002C24A8">
        <w:rPr>
          <w:rFonts w:ascii="Times New Roman" w:eastAsia="Times New Roman" w:hAnsi="Times New Roman" w:cs="Times New Roman"/>
          <w:sz w:val="24"/>
          <w:szCs w:val="24"/>
          <w:lang w:val="en-US"/>
        </w:rPr>
        <w:t xml:space="preserve">across </w:t>
      </w:r>
      <w:r w:rsidR="006D719B" w:rsidRPr="002C24A8">
        <w:rPr>
          <w:rFonts w:ascii="Times New Roman" w:eastAsia="Times New Roman" w:hAnsi="Times New Roman" w:cs="Times New Roman"/>
          <w:sz w:val="24"/>
          <w:szCs w:val="24"/>
          <w:lang w:val="en-US"/>
        </w:rPr>
        <w:t xml:space="preserve">firms </w:t>
      </w:r>
      <w:r w:rsidR="00EA4C6F" w:rsidRPr="002C24A8">
        <w:rPr>
          <w:rFonts w:ascii="Times New Roman" w:eastAsia="Times New Roman" w:hAnsi="Times New Roman" w:cs="Times New Roman"/>
          <w:sz w:val="24"/>
          <w:szCs w:val="24"/>
          <w:lang w:val="en-US"/>
        </w:rPr>
        <w:t xml:space="preserve">in </w:t>
      </w:r>
      <w:r w:rsidR="006D719B" w:rsidRPr="002C24A8">
        <w:rPr>
          <w:rFonts w:ascii="Times New Roman" w:eastAsia="Times New Roman" w:hAnsi="Times New Roman" w:cs="Times New Roman"/>
          <w:sz w:val="24"/>
          <w:szCs w:val="24"/>
          <w:lang w:val="en-US"/>
        </w:rPr>
        <w:t>different industries. As a result</w:t>
      </w:r>
      <w:r w:rsidR="00EA4C6F" w:rsidRPr="002C24A8">
        <w:rPr>
          <w:rFonts w:ascii="Times New Roman" w:eastAsia="Times New Roman" w:hAnsi="Times New Roman" w:cs="Times New Roman"/>
          <w:sz w:val="24"/>
          <w:szCs w:val="24"/>
          <w:lang w:val="en-US"/>
        </w:rPr>
        <w:t>,</w:t>
      </w:r>
      <w:r w:rsidR="006D719B" w:rsidRPr="002C24A8">
        <w:rPr>
          <w:rFonts w:ascii="Times New Roman" w:eastAsia="Times New Roman" w:hAnsi="Times New Roman" w:cs="Times New Roman"/>
          <w:sz w:val="24"/>
          <w:szCs w:val="24"/>
          <w:lang w:val="en-US"/>
        </w:rPr>
        <w:t xml:space="preserve"> industry</w:t>
      </w:r>
      <w:r w:rsidR="009F7C5A" w:rsidRPr="002C24A8">
        <w:rPr>
          <w:rFonts w:ascii="Times New Roman" w:eastAsia="Times New Roman" w:hAnsi="Times New Roman" w:cs="Times New Roman"/>
          <w:sz w:val="24"/>
          <w:szCs w:val="24"/>
          <w:lang w:val="en-US"/>
        </w:rPr>
        <w:t>-</w:t>
      </w:r>
      <w:r w:rsidR="006D719B" w:rsidRPr="002C24A8">
        <w:rPr>
          <w:rFonts w:ascii="Times New Roman" w:eastAsia="Times New Roman" w:hAnsi="Times New Roman" w:cs="Times New Roman"/>
          <w:sz w:val="24"/>
          <w:szCs w:val="24"/>
          <w:lang w:val="en-US"/>
        </w:rPr>
        <w:t xml:space="preserve">specific characteristics that include competitive environment, nature of product/services, negative externalities, </w:t>
      </w:r>
      <w:r w:rsidR="00EA4C6F" w:rsidRPr="002C24A8">
        <w:rPr>
          <w:rFonts w:ascii="Times New Roman" w:eastAsia="Times New Roman" w:hAnsi="Times New Roman" w:cs="Times New Roman"/>
          <w:sz w:val="24"/>
          <w:szCs w:val="24"/>
          <w:lang w:val="en-US"/>
        </w:rPr>
        <w:t xml:space="preserve">and </w:t>
      </w:r>
      <w:r w:rsidR="006D719B" w:rsidRPr="002C24A8">
        <w:rPr>
          <w:rFonts w:ascii="Times New Roman" w:eastAsia="Times New Roman" w:hAnsi="Times New Roman" w:cs="Times New Roman"/>
          <w:sz w:val="24"/>
          <w:szCs w:val="24"/>
          <w:lang w:val="en-US"/>
        </w:rPr>
        <w:t>social activism among other</w:t>
      </w:r>
      <w:r w:rsidR="00EA4C6F" w:rsidRPr="002C24A8">
        <w:rPr>
          <w:rFonts w:ascii="Times New Roman" w:eastAsia="Times New Roman" w:hAnsi="Times New Roman" w:cs="Times New Roman"/>
          <w:sz w:val="24"/>
          <w:szCs w:val="24"/>
          <w:lang w:val="en-US"/>
        </w:rPr>
        <w:t>s will give rise to difference</w:t>
      </w:r>
      <w:r w:rsidR="006D719B" w:rsidRPr="002C24A8">
        <w:rPr>
          <w:rFonts w:ascii="Times New Roman" w:eastAsia="Times New Roman" w:hAnsi="Times New Roman" w:cs="Times New Roman"/>
          <w:sz w:val="24"/>
          <w:szCs w:val="24"/>
          <w:lang w:val="en-US"/>
        </w:rPr>
        <w:t xml:space="preserve"> influence</w:t>
      </w:r>
      <w:r w:rsidR="00EA4C6F" w:rsidRPr="002C24A8">
        <w:rPr>
          <w:rFonts w:ascii="Times New Roman" w:eastAsia="Times New Roman" w:hAnsi="Times New Roman" w:cs="Times New Roman"/>
          <w:sz w:val="24"/>
          <w:szCs w:val="24"/>
          <w:lang w:val="en-US"/>
        </w:rPr>
        <w:t>s</w:t>
      </w:r>
      <w:r w:rsidR="006D719B" w:rsidRPr="002C24A8">
        <w:rPr>
          <w:rFonts w:ascii="Times New Roman" w:eastAsia="Times New Roman" w:hAnsi="Times New Roman" w:cs="Times New Roman"/>
          <w:sz w:val="24"/>
          <w:szCs w:val="24"/>
          <w:lang w:val="en-US"/>
        </w:rPr>
        <w:t xml:space="preserve"> </w:t>
      </w:r>
      <w:r w:rsidR="00EA4C6F" w:rsidRPr="002C24A8">
        <w:rPr>
          <w:rFonts w:ascii="Times New Roman" w:eastAsia="Times New Roman" w:hAnsi="Times New Roman" w:cs="Times New Roman"/>
          <w:sz w:val="24"/>
          <w:szCs w:val="24"/>
          <w:lang w:val="en-US"/>
        </w:rPr>
        <w:t xml:space="preserve">over </w:t>
      </w:r>
      <w:r w:rsidR="006D719B" w:rsidRPr="002C24A8">
        <w:rPr>
          <w:rFonts w:ascii="Times New Roman" w:eastAsia="Times New Roman" w:hAnsi="Times New Roman" w:cs="Times New Roman"/>
          <w:sz w:val="24"/>
          <w:szCs w:val="24"/>
          <w:lang w:val="en-US"/>
        </w:rPr>
        <w:t xml:space="preserve">the potential </w:t>
      </w:r>
      <w:r w:rsidR="00EA4C6F" w:rsidRPr="002C24A8">
        <w:rPr>
          <w:rFonts w:ascii="Times New Roman" w:eastAsia="Times New Roman" w:hAnsi="Times New Roman" w:cs="Times New Roman"/>
          <w:sz w:val="24"/>
          <w:szCs w:val="24"/>
          <w:lang w:val="en-US"/>
        </w:rPr>
        <w:t>benefits from</w:t>
      </w:r>
      <w:r w:rsidR="006D719B" w:rsidRPr="002C24A8">
        <w:rPr>
          <w:rFonts w:ascii="Times New Roman" w:eastAsia="Times New Roman" w:hAnsi="Times New Roman" w:cs="Times New Roman"/>
          <w:sz w:val="24"/>
          <w:szCs w:val="24"/>
          <w:lang w:val="en-US"/>
        </w:rPr>
        <w:t xml:space="preserve"> CSR/ESG practices. Carrigan et al. (2017) suggest that to avoid such diverse effects and practices among industries, policy makers are advised to </w:t>
      </w:r>
      <w:r w:rsidR="00EA4C6F" w:rsidRPr="002C24A8">
        <w:rPr>
          <w:rFonts w:ascii="Times New Roman" w:eastAsia="Times New Roman" w:hAnsi="Times New Roman" w:cs="Times New Roman"/>
          <w:sz w:val="24"/>
          <w:szCs w:val="24"/>
          <w:lang w:val="en-US"/>
        </w:rPr>
        <w:t xml:space="preserve">pursue </w:t>
      </w:r>
      <w:r w:rsidR="006D719B" w:rsidRPr="002C24A8">
        <w:rPr>
          <w:rFonts w:ascii="Times New Roman" w:eastAsia="Times New Roman" w:hAnsi="Times New Roman" w:cs="Times New Roman"/>
          <w:sz w:val="24"/>
          <w:szCs w:val="24"/>
          <w:lang w:val="en-US"/>
        </w:rPr>
        <w:t>initiatives to all the “actors” that are engaged to co-transform their business model and enhance multi-stakeholder involvements alongside industries and business of different size and operations. Carrigan et al. (2017) further argue that such solutions can only be obtained through the redesign of national and international legislative framework</w:t>
      </w:r>
      <w:r w:rsidR="00900CE5" w:rsidRPr="002C24A8">
        <w:rPr>
          <w:rFonts w:ascii="Times New Roman" w:eastAsia="Times New Roman" w:hAnsi="Times New Roman" w:cs="Times New Roman"/>
          <w:sz w:val="24"/>
          <w:szCs w:val="24"/>
          <w:lang w:val="en-US"/>
        </w:rPr>
        <w:t>s</w:t>
      </w:r>
      <w:r w:rsidR="006D719B" w:rsidRPr="002C24A8">
        <w:rPr>
          <w:rFonts w:ascii="Times New Roman" w:eastAsia="Times New Roman" w:hAnsi="Times New Roman" w:cs="Times New Roman"/>
          <w:sz w:val="24"/>
          <w:szCs w:val="24"/>
          <w:lang w:val="en-US"/>
        </w:rPr>
        <w:t xml:space="preserve">. Therefore future research should be directed on the examination of potential unified industry interrelated CSR adoption frameworks, alongside with simulated potential effects on the performance both on industry and firm level. </w:t>
      </w:r>
      <w:r w:rsidR="00EA4C6F" w:rsidRPr="002C24A8">
        <w:rPr>
          <w:rFonts w:ascii="Times New Roman" w:eastAsia="Times New Roman" w:hAnsi="Times New Roman" w:cs="Times New Roman"/>
          <w:sz w:val="24"/>
          <w:szCs w:val="24"/>
          <w:lang w:val="en-US"/>
        </w:rPr>
        <w:t>Though the complexity of developing such frameworks is formidable (Hess, 2001), and requires a concerted effort.</w:t>
      </w:r>
    </w:p>
    <w:p w14:paraId="02374BA1" w14:textId="5FA8379E" w:rsidR="007573D8" w:rsidRPr="002C24A8" w:rsidRDefault="007573D8" w:rsidP="00CF6E86">
      <w:pPr>
        <w:spacing w:line="480" w:lineRule="auto"/>
        <w:ind w:firstLine="72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Our finding supports those studies providing empirical evidence of a positive effect of firms’ CSR on their R&amp;D activities</w:t>
      </w:r>
      <w:r w:rsidRPr="002C24A8">
        <w:rPr>
          <w:lang w:val="en-US"/>
        </w:rPr>
        <w:t xml:space="preserve"> (</w:t>
      </w:r>
      <w:r w:rsidRPr="002C24A8">
        <w:rPr>
          <w:rFonts w:ascii="Times New Roman" w:hAnsi="Times New Roman" w:cs="Times New Roman"/>
          <w:sz w:val="24"/>
          <w:szCs w:val="24"/>
          <w:lang w:val="en-US"/>
        </w:rPr>
        <w:t>McWilliams and Siegel, 2000; Hull and Rothenberg, 2008; Padgett and Galan, 2010; Lioui and Sharma, 2012; Bocquet et al., 2013; Reverte et al., 2016; Ueki et al., 2016).</w:t>
      </w:r>
      <w:r w:rsidR="00CF6E86" w:rsidRPr="002C24A8">
        <w:rPr>
          <w:rFonts w:ascii="Times New Roman" w:hAnsi="Times New Roman" w:cs="Times New Roman"/>
          <w:sz w:val="24"/>
          <w:szCs w:val="24"/>
          <w:lang w:val="en-US"/>
        </w:rPr>
        <w:t xml:space="preserve"> Finally, by using a production efficiency framework, our findings </w:t>
      </w:r>
      <w:r w:rsidR="00FA30DD" w:rsidRPr="002C24A8">
        <w:rPr>
          <w:rFonts w:ascii="Times New Roman" w:hAnsi="Times New Roman" w:cs="Times New Roman"/>
          <w:sz w:val="24"/>
          <w:szCs w:val="24"/>
          <w:lang w:val="en-US"/>
        </w:rPr>
        <w:t xml:space="preserve">further show </w:t>
      </w:r>
      <w:r w:rsidR="00CF6E86" w:rsidRPr="002C24A8">
        <w:rPr>
          <w:rFonts w:ascii="Times New Roman" w:hAnsi="Times New Roman" w:cs="Times New Roman"/>
          <w:sz w:val="24"/>
          <w:szCs w:val="24"/>
          <w:lang w:val="en-US"/>
        </w:rPr>
        <w:t>that the revealed positive effect of ESG policies on firms’ innovation capacity (movements of the estimated frontier) translates also to a positive effect on firms’</w:t>
      </w:r>
      <w:r w:rsidR="00380E1F" w:rsidRPr="002C24A8">
        <w:rPr>
          <w:rFonts w:ascii="Times New Roman" w:hAnsi="Times New Roman" w:cs="Times New Roman"/>
          <w:sz w:val="24"/>
          <w:szCs w:val="24"/>
          <w:lang w:val="en-US"/>
        </w:rPr>
        <w:t xml:space="preserve"> operational performance supporting (at least for some cases) </w:t>
      </w:r>
      <w:r w:rsidR="00FA30DD" w:rsidRPr="002C24A8">
        <w:rPr>
          <w:rFonts w:ascii="Times New Roman" w:hAnsi="Times New Roman" w:cs="Times New Roman"/>
          <w:sz w:val="24"/>
          <w:szCs w:val="24"/>
          <w:lang w:val="en-US"/>
        </w:rPr>
        <w:t xml:space="preserve">i.e. </w:t>
      </w:r>
      <w:r w:rsidR="00380E1F" w:rsidRPr="002C24A8">
        <w:rPr>
          <w:rFonts w:ascii="Times New Roman" w:hAnsi="Times New Roman" w:cs="Times New Roman"/>
          <w:sz w:val="24"/>
          <w:szCs w:val="24"/>
          <w:lang w:val="en-US"/>
        </w:rPr>
        <w:t xml:space="preserve">the “doing well by doing good” </w:t>
      </w:r>
      <w:r w:rsidR="0093641A" w:rsidRPr="002C24A8">
        <w:rPr>
          <w:rFonts w:ascii="Times New Roman" w:hAnsi="Times New Roman" w:cs="Times New Roman"/>
          <w:sz w:val="24"/>
          <w:szCs w:val="24"/>
          <w:lang w:val="en-US"/>
        </w:rPr>
        <w:t>hypothe</w:t>
      </w:r>
      <w:r w:rsidR="00FA30DD" w:rsidRPr="002C24A8">
        <w:rPr>
          <w:rFonts w:ascii="Times New Roman" w:hAnsi="Times New Roman" w:cs="Times New Roman"/>
          <w:sz w:val="24"/>
          <w:szCs w:val="24"/>
          <w:lang w:val="en-US"/>
        </w:rPr>
        <w:t>sis is empirically supported</w:t>
      </w:r>
      <w:r w:rsidR="00380E1F" w:rsidRPr="002C24A8">
        <w:rPr>
          <w:rFonts w:ascii="Times New Roman" w:hAnsi="Times New Roman" w:cs="Times New Roman"/>
          <w:sz w:val="24"/>
          <w:szCs w:val="24"/>
          <w:lang w:val="en-US"/>
        </w:rPr>
        <w:t>.</w:t>
      </w:r>
    </w:p>
    <w:p w14:paraId="3EC8A2B0" w14:textId="77777777" w:rsidR="003F3E36" w:rsidRPr="002C24A8" w:rsidRDefault="003F3E36" w:rsidP="00E11D5D">
      <w:pPr>
        <w:spacing w:line="480" w:lineRule="auto"/>
        <w:jc w:val="both"/>
        <w:rPr>
          <w:rFonts w:ascii="Times New Roman" w:hAnsi="Times New Roman" w:cs="Times New Roman"/>
          <w:i/>
          <w:sz w:val="24"/>
          <w:szCs w:val="24"/>
          <w:lang w:val="en-US"/>
        </w:rPr>
      </w:pPr>
    </w:p>
    <w:p w14:paraId="04F8F7FD" w14:textId="77276E8A" w:rsidR="003F3E36" w:rsidRPr="002C24A8" w:rsidRDefault="003F3E36" w:rsidP="00E11D5D">
      <w:pPr>
        <w:spacing w:line="480" w:lineRule="auto"/>
        <w:jc w:val="both"/>
        <w:rPr>
          <w:rFonts w:ascii="Times New Roman" w:hAnsi="Times New Roman" w:cs="Times New Roman"/>
          <w:i/>
          <w:sz w:val="24"/>
          <w:szCs w:val="24"/>
          <w:lang w:val="en-US"/>
        </w:rPr>
      </w:pPr>
      <w:r w:rsidRPr="002C24A8">
        <w:rPr>
          <w:rFonts w:ascii="Times New Roman" w:hAnsi="Times New Roman" w:cs="Times New Roman"/>
          <w:i/>
          <w:sz w:val="24"/>
          <w:szCs w:val="24"/>
          <w:lang w:val="en-US"/>
        </w:rPr>
        <w:t xml:space="preserve">5.3 Future research </w:t>
      </w:r>
    </w:p>
    <w:p w14:paraId="31491635" w14:textId="77777777" w:rsidR="000E3BB3" w:rsidRPr="002C24A8" w:rsidRDefault="00124A62" w:rsidP="00173488">
      <w:pPr>
        <w:spacing w:line="480" w:lineRule="auto"/>
        <w:ind w:firstLine="72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lastRenderedPageBreak/>
        <w:t>With res</w:t>
      </w:r>
      <w:r w:rsidR="008C7B43" w:rsidRPr="002C24A8">
        <w:rPr>
          <w:rFonts w:ascii="Times New Roman" w:hAnsi="Times New Roman" w:cs="Times New Roman"/>
          <w:sz w:val="24"/>
          <w:szCs w:val="24"/>
          <w:lang w:val="en-US"/>
        </w:rPr>
        <w:t>pect</w:t>
      </w:r>
      <w:r w:rsidRPr="002C24A8">
        <w:rPr>
          <w:rFonts w:ascii="Times New Roman" w:hAnsi="Times New Roman" w:cs="Times New Roman"/>
          <w:sz w:val="24"/>
          <w:szCs w:val="24"/>
          <w:lang w:val="en-US"/>
        </w:rPr>
        <w:t xml:space="preserve"> to future research </w:t>
      </w:r>
      <w:r w:rsidR="008C7B43" w:rsidRPr="002C24A8">
        <w:rPr>
          <w:rFonts w:ascii="Times New Roman" w:hAnsi="Times New Roman" w:cs="Times New Roman"/>
          <w:sz w:val="24"/>
          <w:szCs w:val="24"/>
          <w:lang w:val="en-US"/>
        </w:rPr>
        <w:t>directions</w:t>
      </w:r>
      <w:r w:rsidRPr="002C24A8">
        <w:rPr>
          <w:rFonts w:ascii="Times New Roman" w:hAnsi="Times New Roman" w:cs="Times New Roman"/>
          <w:sz w:val="24"/>
          <w:szCs w:val="24"/>
          <w:lang w:val="en-US"/>
        </w:rPr>
        <w:t>, there are several ways in which our work</w:t>
      </w:r>
      <w:r w:rsidR="008C7B43" w:rsidRPr="002C24A8">
        <w:rPr>
          <w:rFonts w:ascii="Times New Roman" w:hAnsi="Times New Roman" w:cs="Times New Roman"/>
          <w:sz w:val="24"/>
          <w:szCs w:val="24"/>
          <w:lang w:val="en-US"/>
        </w:rPr>
        <w:t xml:space="preserve"> might be extended</w:t>
      </w:r>
      <w:r w:rsidRPr="002C24A8">
        <w:rPr>
          <w:rFonts w:ascii="Times New Roman" w:hAnsi="Times New Roman" w:cs="Times New Roman"/>
          <w:sz w:val="24"/>
          <w:szCs w:val="24"/>
          <w:lang w:val="en-US"/>
        </w:rPr>
        <w:t xml:space="preserve">. Disentangling the unique contributions of CSR </w:t>
      </w:r>
      <w:r w:rsidR="008C7B43" w:rsidRPr="002C24A8">
        <w:rPr>
          <w:rFonts w:ascii="Times New Roman" w:hAnsi="Times New Roman" w:cs="Times New Roman"/>
          <w:sz w:val="24"/>
          <w:szCs w:val="24"/>
          <w:lang w:val="en-US"/>
        </w:rPr>
        <w:t xml:space="preserve">activities </w:t>
      </w:r>
      <w:r w:rsidRPr="002C24A8">
        <w:rPr>
          <w:rFonts w:ascii="Times New Roman" w:hAnsi="Times New Roman" w:cs="Times New Roman"/>
          <w:sz w:val="24"/>
          <w:szCs w:val="24"/>
          <w:lang w:val="en-US"/>
        </w:rPr>
        <w:t>to explorative and exploitative innovation seems to be a viable research objective.</w:t>
      </w:r>
      <w:r w:rsidR="00AC23B1" w:rsidRPr="002C24A8">
        <w:rPr>
          <w:rFonts w:ascii="Times New Roman" w:hAnsi="Times New Roman" w:cs="Times New Roman"/>
          <w:sz w:val="24"/>
          <w:szCs w:val="24"/>
          <w:lang w:val="en-US"/>
        </w:rPr>
        <w:t xml:space="preserve"> Within the performance benchmarking paradigm</w:t>
      </w:r>
      <w:r w:rsidR="00AB2F2D" w:rsidRPr="002C24A8">
        <w:rPr>
          <w:rFonts w:ascii="Times New Roman" w:hAnsi="Times New Roman" w:cs="Times New Roman"/>
          <w:sz w:val="24"/>
          <w:szCs w:val="24"/>
          <w:lang w:val="en-US"/>
        </w:rPr>
        <w:t>, it may be feasible to map exploitative innovation to efficiency scores with respect to conditional frontiers, and explorative innovation to the technology gap implied</w:t>
      </w:r>
      <w:r w:rsidR="003642E6" w:rsidRPr="002C24A8">
        <w:rPr>
          <w:rFonts w:ascii="Times New Roman" w:hAnsi="Times New Roman" w:cs="Times New Roman"/>
          <w:sz w:val="24"/>
          <w:szCs w:val="24"/>
          <w:lang w:val="en-US"/>
        </w:rPr>
        <w:t xml:space="preserve"> by the distance between conditional frontiers</w:t>
      </w:r>
      <w:r w:rsidR="00AB2F2D" w:rsidRPr="002C24A8">
        <w:rPr>
          <w:rFonts w:ascii="Times New Roman" w:hAnsi="Times New Roman" w:cs="Times New Roman"/>
          <w:sz w:val="24"/>
          <w:szCs w:val="24"/>
          <w:lang w:val="en-US"/>
        </w:rPr>
        <w:t>.</w:t>
      </w:r>
      <w:r w:rsidR="003642E6" w:rsidRPr="002C24A8">
        <w:rPr>
          <w:rFonts w:ascii="Times New Roman" w:hAnsi="Times New Roman" w:cs="Times New Roman"/>
          <w:sz w:val="24"/>
          <w:szCs w:val="24"/>
          <w:lang w:val="en-US"/>
        </w:rPr>
        <w:t xml:space="preserve"> </w:t>
      </w:r>
    </w:p>
    <w:p w14:paraId="1E5D0661" w14:textId="6E167D45" w:rsidR="007573D8" w:rsidRPr="002C24A8" w:rsidRDefault="008C7B43" w:rsidP="00173488">
      <w:pPr>
        <w:spacing w:line="480" w:lineRule="auto"/>
        <w:ind w:firstLine="72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T</w:t>
      </w:r>
      <w:r w:rsidR="00AB2F2D" w:rsidRPr="002C24A8">
        <w:rPr>
          <w:rFonts w:ascii="Times New Roman" w:hAnsi="Times New Roman" w:cs="Times New Roman"/>
          <w:sz w:val="24"/>
          <w:szCs w:val="24"/>
          <w:lang w:val="en-US"/>
        </w:rPr>
        <w:t xml:space="preserve">he dynamics of </w:t>
      </w:r>
      <w:r w:rsidRPr="002C24A8">
        <w:rPr>
          <w:rFonts w:ascii="Times New Roman" w:hAnsi="Times New Roman" w:cs="Times New Roman"/>
          <w:sz w:val="24"/>
          <w:szCs w:val="24"/>
          <w:lang w:val="en-US"/>
        </w:rPr>
        <w:t>the CSR-</w:t>
      </w:r>
      <w:r w:rsidR="00AB2F2D" w:rsidRPr="002C24A8">
        <w:rPr>
          <w:rFonts w:ascii="Times New Roman" w:hAnsi="Times New Roman" w:cs="Times New Roman"/>
          <w:sz w:val="24"/>
          <w:szCs w:val="24"/>
          <w:lang w:val="en-US"/>
        </w:rPr>
        <w:t xml:space="preserve">innovation </w:t>
      </w:r>
      <w:r w:rsidRPr="002C24A8">
        <w:rPr>
          <w:rFonts w:ascii="Times New Roman" w:hAnsi="Times New Roman" w:cs="Times New Roman"/>
          <w:sz w:val="24"/>
          <w:szCs w:val="24"/>
          <w:lang w:val="en-US"/>
        </w:rPr>
        <w:t xml:space="preserve">nexus </w:t>
      </w:r>
      <w:r w:rsidR="00AB2F2D" w:rsidRPr="002C24A8">
        <w:rPr>
          <w:rFonts w:ascii="Times New Roman" w:hAnsi="Times New Roman" w:cs="Times New Roman"/>
          <w:sz w:val="24"/>
          <w:szCs w:val="24"/>
          <w:lang w:val="en-US"/>
        </w:rPr>
        <w:t xml:space="preserve">may be of interest also. Tsekouras et al. (2016) examine, among other things, the absorptive capacity </w:t>
      </w:r>
      <w:r w:rsidR="00FA30DD" w:rsidRPr="002C24A8">
        <w:rPr>
          <w:rFonts w:ascii="Times New Roman" w:hAnsi="Times New Roman" w:cs="Times New Roman"/>
          <w:sz w:val="24"/>
          <w:szCs w:val="24"/>
          <w:lang w:val="en-US"/>
        </w:rPr>
        <w:t xml:space="preserve">of </w:t>
      </w:r>
      <w:r w:rsidR="00AB2F2D" w:rsidRPr="002C24A8">
        <w:rPr>
          <w:rFonts w:ascii="Times New Roman" w:hAnsi="Times New Roman" w:cs="Times New Roman"/>
          <w:sz w:val="24"/>
          <w:szCs w:val="24"/>
          <w:lang w:val="en-US"/>
        </w:rPr>
        <w:t xml:space="preserve">firms within a dynamic modeling context, uncovering patterns of technological evolution and convergence. </w:t>
      </w:r>
      <w:r w:rsidR="00FA30DD" w:rsidRPr="002C24A8">
        <w:rPr>
          <w:rFonts w:ascii="Times New Roman" w:hAnsi="Times New Roman" w:cs="Times New Roman"/>
          <w:sz w:val="24"/>
          <w:szCs w:val="24"/>
          <w:lang w:val="en-US"/>
        </w:rPr>
        <w:t>In a related literature</w:t>
      </w:r>
      <w:r w:rsidR="000E3BB3" w:rsidRPr="002C24A8">
        <w:rPr>
          <w:rFonts w:ascii="Times New Roman" w:hAnsi="Times New Roman" w:cs="Times New Roman"/>
          <w:sz w:val="24"/>
          <w:szCs w:val="24"/>
          <w:lang w:val="en-US"/>
        </w:rPr>
        <w:t>,</w:t>
      </w:r>
      <w:r w:rsidR="00FA30DD" w:rsidRPr="002C24A8">
        <w:rPr>
          <w:rFonts w:ascii="Times New Roman" w:hAnsi="Times New Roman" w:cs="Times New Roman"/>
          <w:sz w:val="24"/>
          <w:szCs w:val="24"/>
          <w:lang w:val="en-US"/>
        </w:rPr>
        <w:t xml:space="preserve"> Makni et al. (2009) also consider dynamic patterns by exploiting dynamic causality tests. </w:t>
      </w:r>
      <w:r w:rsidR="00AB2F2D" w:rsidRPr="002C24A8">
        <w:rPr>
          <w:rFonts w:ascii="Times New Roman" w:hAnsi="Times New Roman" w:cs="Times New Roman"/>
          <w:sz w:val="24"/>
          <w:szCs w:val="24"/>
          <w:lang w:val="en-US"/>
        </w:rPr>
        <w:t>It seems intuitive that similar dynamics might also carry over to the processes of innovation capacity expansion and exploitation.</w:t>
      </w:r>
      <w:r w:rsidRPr="002C24A8">
        <w:rPr>
          <w:rFonts w:ascii="Times New Roman" w:hAnsi="Times New Roman" w:cs="Times New Roman"/>
          <w:sz w:val="24"/>
          <w:szCs w:val="24"/>
          <w:lang w:val="en-US"/>
        </w:rPr>
        <w:t xml:space="preserve"> </w:t>
      </w:r>
      <w:r w:rsidR="000E3BB3" w:rsidRPr="002C24A8">
        <w:rPr>
          <w:rFonts w:ascii="Times New Roman" w:hAnsi="Times New Roman" w:cs="Times New Roman"/>
          <w:sz w:val="24"/>
          <w:szCs w:val="24"/>
          <w:lang w:val="en-US"/>
        </w:rPr>
        <w:t xml:space="preserve">Also, it </w:t>
      </w:r>
      <w:r w:rsidRPr="002C24A8">
        <w:rPr>
          <w:rFonts w:ascii="Times New Roman" w:hAnsi="Times New Roman" w:cs="Times New Roman"/>
          <w:sz w:val="24"/>
          <w:szCs w:val="24"/>
          <w:lang w:val="en-US"/>
        </w:rPr>
        <w:t>remain</w:t>
      </w:r>
      <w:r w:rsidR="000E3BB3" w:rsidRPr="002C24A8">
        <w:rPr>
          <w:rFonts w:ascii="Times New Roman" w:hAnsi="Times New Roman" w:cs="Times New Roman"/>
          <w:sz w:val="24"/>
          <w:szCs w:val="24"/>
          <w:lang w:val="en-US"/>
        </w:rPr>
        <w:t>s</w:t>
      </w:r>
      <w:r w:rsidRPr="002C24A8">
        <w:rPr>
          <w:rFonts w:ascii="Times New Roman" w:hAnsi="Times New Roman" w:cs="Times New Roman"/>
          <w:sz w:val="24"/>
          <w:szCs w:val="24"/>
          <w:lang w:val="en-US"/>
        </w:rPr>
        <w:t xml:space="preserve"> important to better understand the measurement of corporate social performance and to further inquire into the potential influence</w:t>
      </w:r>
      <w:r w:rsidR="00FA30DD" w:rsidRPr="002C24A8">
        <w:rPr>
          <w:rFonts w:ascii="Times New Roman" w:hAnsi="Times New Roman" w:cs="Times New Roman"/>
          <w:sz w:val="24"/>
          <w:szCs w:val="24"/>
          <w:lang w:val="en-US"/>
        </w:rPr>
        <w:t xml:space="preserve"> to the multiple dimensions of firm performance and value creation</w:t>
      </w:r>
      <w:r w:rsidRPr="002C24A8">
        <w:rPr>
          <w:rFonts w:ascii="Times New Roman" w:hAnsi="Times New Roman" w:cs="Times New Roman"/>
          <w:sz w:val="24"/>
          <w:szCs w:val="24"/>
          <w:lang w:val="en-US"/>
        </w:rPr>
        <w:t xml:space="preserve">. In this spirit additional insights into the relative importance of specific/individual types of CSR activities may uncover richer insights that can translate into more prescriptive managerial implications. </w:t>
      </w:r>
      <w:bookmarkStart w:id="12" w:name="_Hlk7342446"/>
      <w:r w:rsidR="007A643C" w:rsidRPr="002C24A8">
        <w:rPr>
          <w:rFonts w:ascii="Times New Roman" w:hAnsi="Times New Roman" w:cs="Times New Roman"/>
          <w:sz w:val="24"/>
          <w:szCs w:val="24"/>
          <w:lang w:val="en-US"/>
        </w:rPr>
        <w:t xml:space="preserve">Further explorations in this direction might also remain cognizant </w:t>
      </w:r>
      <w:r w:rsidR="00FC7D5A" w:rsidRPr="002C24A8">
        <w:rPr>
          <w:rFonts w:ascii="Times New Roman" w:hAnsi="Times New Roman" w:cs="Times New Roman"/>
          <w:sz w:val="24"/>
          <w:szCs w:val="24"/>
          <w:lang w:val="en-US"/>
        </w:rPr>
        <w:t>of opportunities to link specific CSR activities to specific stakeholder groups.</w:t>
      </w:r>
      <w:bookmarkEnd w:id="12"/>
    </w:p>
    <w:p w14:paraId="1DF2FE62" w14:textId="77777777" w:rsidR="0093641A" w:rsidRPr="002C24A8" w:rsidRDefault="00836FA2" w:rsidP="0093641A">
      <w:pPr>
        <w:spacing w:line="480" w:lineRule="auto"/>
        <w:ind w:firstLine="72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In this contribution, we focused on the link between CSR and innovation capacity with the latter being viewed through the lens of technological change. While we follow Shao and Lin (2016) and their claim that technological change levels reveal firms' innovation capacity, we recognize this is a focus that is chosen. Innovation goes beyond technological change. As many authors, in particular Volberda and colleagues (e.g., </w:t>
      </w:r>
      <w:r w:rsidR="00AA3187" w:rsidRPr="002C24A8">
        <w:rPr>
          <w:rFonts w:ascii="Times New Roman" w:hAnsi="Times New Roman" w:cs="Times New Roman"/>
          <w:sz w:val="24"/>
          <w:szCs w:val="24"/>
          <w:lang w:val="en-US"/>
        </w:rPr>
        <w:t>Volberda</w:t>
      </w:r>
      <w:r w:rsidR="00A31526" w:rsidRPr="002C24A8">
        <w:rPr>
          <w:rFonts w:ascii="Times New Roman" w:hAnsi="Times New Roman" w:cs="Times New Roman"/>
          <w:sz w:val="24"/>
          <w:szCs w:val="24"/>
          <w:lang w:val="en-US"/>
        </w:rPr>
        <w:t xml:space="preserve"> et al</w:t>
      </w:r>
      <w:r w:rsidR="00AA3187" w:rsidRPr="002C24A8">
        <w:rPr>
          <w:rFonts w:ascii="Times New Roman" w:hAnsi="Times New Roman" w:cs="Times New Roman"/>
          <w:sz w:val="24"/>
          <w:szCs w:val="24"/>
          <w:lang w:val="en-US"/>
        </w:rPr>
        <w:t>, 2016</w:t>
      </w:r>
      <w:r w:rsidR="00A31526" w:rsidRPr="002C24A8">
        <w:rPr>
          <w:rFonts w:ascii="Times New Roman" w:hAnsi="Times New Roman" w:cs="Times New Roman"/>
          <w:sz w:val="24"/>
          <w:szCs w:val="24"/>
          <w:lang w:val="en-US"/>
        </w:rPr>
        <w:t>; Jansen et al., 2005, 2006</w:t>
      </w:r>
      <w:r w:rsidRPr="002C24A8">
        <w:rPr>
          <w:rFonts w:ascii="Times New Roman" w:hAnsi="Times New Roman" w:cs="Times New Roman"/>
          <w:sz w:val="24"/>
          <w:szCs w:val="24"/>
          <w:lang w:val="en-US"/>
        </w:rPr>
        <w:t xml:space="preserve">) have highlighted, innovation results also from non-technological developments, which often can be </w:t>
      </w:r>
      <w:r w:rsidRPr="002C24A8">
        <w:rPr>
          <w:rFonts w:ascii="Times New Roman" w:hAnsi="Times New Roman" w:cs="Times New Roman"/>
          <w:sz w:val="24"/>
          <w:szCs w:val="24"/>
          <w:lang w:val="en-US"/>
        </w:rPr>
        <w:lastRenderedPageBreak/>
        <w:t xml:space="preserve">more important than technological change. Extant work on absorptive capacity and ambidexterity </w:t>
      </w:r>
      <w:r w:rsidR="0086352D" w:rsidRPr="002C24A8">
        <w:rPr>
          <w:rFonts w:ascii="Times New Roman" w:hAnsi="Times New Roman" w:cs="Times New Roman"/>
          <w:sz w:val="24"/>
          <w:szCs w:val="24"/>
          <w:lang w:val="en-US"/>
        </w:rPr>
        <w:t xml:space="preserve">illustrates </w:t>
      </w:r>
      <w:r w:rsidRPr="002C24A8">
        <w:rPr>
          <w:rFonts w:ascii="Times New Roman" w:hAnsi="Times New Roman" w:cs="Times New Roman"/>
          <w:sz w:val="24"/>
          <w:szCs w:val="24"/>
          <w:lang w:val="en-US"/>
        </w:rPr>
        <w:t xml:space="preserve">the </w:t>
      </w:r>
      <w:r w:rsidR="0086352D" w:rsidRPr="002C24A8">
        <w:rPr>
          <w:rFonts w:ascii="Times New Roman" w:hAnsi="Times New Roman" w:cs="Times New Roman"/>
          <w:sz w:val="24"/>
          <w:szCs w:val="24"/>
          <w:lang w:val="en-US"/>
        </w:rPr>
        <w:t>importance of social</w:t>
      </w:r>
      <w:r w:rsidR="00A31526" w:rsidRPr="002C24A8">
        <w:rPr>
          <w:rFonts w:ascii="Times New Roman" w:hAnsi="Times New Roman" w:cs="Times New Roman"/>
          <w:sz w:val="24"/>
          <w:szCs w:val="24"/>
          <w:lang w:val="en-US"/>
        </w:rPr>
        <w:t xml:space="preserve"> and</w:t>
      </w:r>
      <w:r w:rsidR="0086352D" w:rsidRPr="002C24A8">
        <w:rPr>
          <w:rFonts w:ascii="Times New Roman" w:hAnsi="Times New Roman" w:cs="Times New Roman"/>
          <w:sz w:val="24"/>
          <w:szCs w:val="24"/>
          <w:lang w:val="en-US"/>
        </w:rPr>
        <w:t xml:space="preserve"> organiz</w:t>
      </w:r>
      <w:r w:rsidRPr="002C24A8">
        <w:rPr>
          <w:rFonts w:ascii="Times New Roman" w:hAnsi="Times New Roman" w:cs="Times New Roman"/>
          <w:sz w:val="24"/>
          <w:szCs w:val="24"/>
          <w:lang w:val="en-US"/>
        </w:rPr>
        <w:t xml:space="preserve">ational </w:t>
      </w:r>
      <w:r w:rsidR="0086352D" w:rsidRPr="002C24A8">
        <w:rPr>
          <w:rFonts w:ascii="Times New Roman" w:hAnsi="Times New Roman" w:cs="Times New Roman"/>
          <w:sz w:val="24"/>
          <w:szCs w:val="24"/>
          <w:lang w:val="en-US"/>
        </w:rPr>
        <w:t>drivers of innovation</w:t>
      </w:r>
      <w:r w:rsidRPr="002C24A8">
        <w:rPr>
          <w:rFonts w:ascii="Times New Roman" w:hAnsi="Times New Roman" w:cs="Times New Roman"/>
          <w:sz w:val="24"/>
          <w:szCs w:val="24"/>
          <w:lang w:val="en-US"/>
        </w:rPr>
        <w:t>.</w:t>
      </w:r>
      <w:r w:rsidR="0086352D" w:rsidRPr="002C24A8">
        <w:rPr>
          <w:rFonts w:ascii="Times New Roman" w:hAnsi="Times New Roman" w:cs="Times New Roman"/>
          <w:sz w:val="24"/>
          <w:szCs w:val="24"/>
          <w:lang w:val="en-US"/>
        </w:rPr>
        <w:t xml:space="preserve"> In many ways one can argue that engagement in CSR and innovation activities of various nature are a sign of absorptive capacity (Cohen &amp; Levinthal 1990, Zahra &amp; George 2002, Todoreva &amp; Durisin, 2007) that firms have developed. </w:t>
      </w:r>
      <w:r w:rsidR="00A31526" w:rsidRPr="002C24A8">
        <w:rPr>
          <w:rFonts w:ascii="Times New Roman" w:hAnsi="Times New Roman" w:cs="Times New Roman"/>
          <w:sz w:val="24"/>
          <w:szCs w:val="24"/>
          <w:lang w:val="en-US"/>
        </w:rPr>
        <w:t>T</w:t>
      </w:r>
      <w:r w:rsidR="0086352D" w:rsidRPr="002C24A8">
        <w:rPr>
          <w:rFonts w:ascii="Times New Roman" w:hAnsi="Times New Roman" w:cs="Times New Roman"/>
          <w:sz w:val="24"/>
          <w:szCs w:val="24"/>
          <w:lang w:val="en-US"/>
        </w:rPr>
        <w:t xml:space="preserve">hese broader inter-relationships, in particular links </w:t>
      </w:r>
      <w:r w:rsidR="00A31526" w:rsidRPr="002C24A8">
        <w:rPr>
          <w:rFonts w:ascii="Times New Roman" w:hAnsi="Times New Roman" w:cs="Times New Roman"/>
          <w:sz w:val="24"/>
          <w:szCs w:val="24"/>
          <w:lang w:val="en-US"/>
        </w:rPr>
        <w:t xml:space="preserve">between CSP and </w:t>
      </w:r>
      <w:r w:rsidR="0086352D" w:rsidRPr="002C24A8">
        <w:rPr>
          <w:rFonts w:ascii="Times New Roman" w:hAnsi="Times New Roman" w:cs="Times New Roman"/>
          <w:sz w:val="24"/>
          <w:szCs w:val="24"/>
          <w:lang w:val="en-US"/>
        </w:rPr>
        <w:t xml:space="preserve">different types </w:t>
      </w:r>
      <w:r w:rsidR="00A31526" w:rsidRPr="002C24A8">
        <w:rPr>
          <w:rFonts w:ascii="Times New Roman" w:hAnsi="Times New Roman" w:cs="Times New Roman"/>
          <w:sz w:val="24"/>
          <w:szCs w:val="24"/>
          <w:lang w:val="en-US"/>
        </w:rPr>
        <w:t>of innovation remain a relevant topic to be explored in future research.</w:t>
      </w:r>
    </w:p>
    <w:p w14:paraId="12BDB618" w14:textId="04642C81" w:rsidR="0093641A" w:rsidRPr="002C24A8" w:rsidRDefault="000E3BB3" w:rsidP="0093641A">
      <w:pPr>
        <w:spacing w:line="480" w:lineRule="auto"/>
        <w:ind w:firstLine="72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Finally, our research examined the CSR/innovation capacity connection drawing on data on large firms. </w:t>
      </w:r>
      <w:r w:rsidR="0093641A" w:rsidRPr="002C24A8">
        <w:rPr>
          <w:rFonts w:ascii="Times New Roman" w:hAnsi="Times New Roman" w:cs="Times New Roman"/>
          <w:sz w:val="24"/>
          <w:szCs w:val="24"/>
          <w:lang w:val="en-US"/>
        </w:rPr>
        <w:t xml:space="preserve">We know of some </w:t>
      </w:r>
      <w:r w:rsidRPr="002C24A8">
        <w:rPr>
          <w:rFonts w:ascii="Times New Roman" w:hAnsi="Times New Roman" w:cs="Times New Roman"/>
          <w:sz w:val="24"/>
          <w:szCs w:val="24"/>
          <w:lang w:val="en-US"/>
        </w:rPr>
        <w:t xml:space="preserve">studies that explicitly address SMEs (e.g., </w:t>
      </w:r>
      <w:r w:rsidR="00A467EF" w:rsidRPr="002C24A8">
        <w:rPr>
          <w:rFonts w:ascii="Times New Roman" w:hAnsi="Times New Roman" w:cs="Times New Roman"/>
          <w:sz w:val="24"/>
          <w:szCs w:val="24"/>
          <w:lang w:val="en-US"/>
        </w:rPr>
        <w:t>Martinez-Conesa et al., 2017) or cover a sample of firms that includes mostly SM</w:t>
      </w:r>
      <w:r w:rsidR="0093641A" w:rsidRPr="002C24A8">
        <w:rPr>
          <w:rFonts w:ascii="Times New Roman" w:hAnsi="Times New Roman" w:cs="Times New Roman"/>
          <w:sz w:val="24"/>
          <w:szCs w:val="24"/>
          <w:lang w:val="en-US"/>
        </w:rPr>
        <w:t xml:space="preserve">Es (e.g., Reverte et al., 2016). While these studies tend to concur with our </w:t>
      </w:r>
      <w:r w:rsidR="00C4640A" w:rsidRPr="002C24A8">
        <w:rPr>
          <w:rFonts w:ascii="Times New Roman" w:hAnsi="Times New Roman" w:cs="Times New Roman"/>
          <w:sz w:val="24"/>
          <w:szCs w:val="24"/>
          <w:lang w:val="en-US"/>
        </w:rPr>
        <w:t xml:space="preserve">observation </w:t>
      </w:r>
      <w:r w:rsidR="0093641A" w:rsidRPr="002C24A8">
        <w:rPr>
          <w:rFonts w:ascii="Times New Roman" w:hAnsi="Times New Roman" w:cs="Times New Roman"/>
          <w:sz w:val="24"/>
          <w:szCs w:val="24"/>
          <w:lang w:val="en-US"/>
        </w:rPr>
        <w:t xml:space="preserve">of a positive effect of firms’ CSR on their R&amp;D activities or innovation capacity, </w:t>
      </w:r>
      <w:r w:rsidR="00A467EF" w:rsidRPr="002C24A8">
        <w:rPr>
          <w:rFonts w:ascii="Times New Roman" w:hAnsi="Times New Roman" w:cs="Times New Roman"/>
          <w:sz w:val="24"/>
          <w:szCs w:val="24"/>
          <w:lang w:val="en-US"/>
        </w:rPr>
        <w:t>t</w:t>
      </w:r>
      <w:r w:rsidRPr="002C24A8">
        <w:rPr>
          <w:rFonts w:ascii="Times New Roman" w:hAnsi="Times New Roman" w:cs="Times New Roman"/>
          <w:sz w:val="24"/>
          <w:szCs w:val="24"/>
          <w:lang w:val="en-US"/>
        </w:rPr>
        <w:t xml:space="preserve">here is a need to </w:t>
      </w:r>
      <w:r w:rsidR="00A467EF" w:rsidRPr="002C24A8">
        <w:rPr>
          <w:rFonts w:ascii="Times New Roman" w:hAnsi="Times New Roman" w:cs="Times New Roman"/>
          <w:sz w:val="24"/>
          <w:szCs w:val="24"/>
          <w:lang w:val="en-US"/>
        </w:rPr>
        <w:t xml:space="preserve">further </w:t>
      </w:r>
      <w:r w:rsidRPr="002C24A8">
        <w:rPr>
          <w:rFonts w:ascii="Times New Roman" w:hAnsi="Times New Roman" w:cs="Times New Roman"/>
          <w:sz w:val="24"/>
          <w:szCs w:val="24"/>
          <w:lang w:val="en-US"/>
        </w:rPr>
        <w:t xml:space="preserve">explore </w:t>
      </w:r>
      <w:r w:rsidR="00A467EF" w:rsidRPr="002C24A8">
        <w:rPr>
          <w:rFonts w:ascii="Times New Roman" w:hAnsi="Times New Roman" w:cs="Times New Roman"/>
          <w:sz w:val="24"/>
          <w:szCs w:val="24"/>
          <w:lang w:val="en-US"/>
        </w:rPr>
        <w:t>the CSR/ESG</w:t>
      </w:r>
      <w:r w:rsidR="0093641A" w:rsidRPr="002C24A8">
        <w:rPr>
          <w:rFonts w:ascii="Times New Roman" w:hAnsi="Times New Roman" w:cs="Times New Roman"/>
          <w:sz w:val="24"/>
          <w:szCs w:val="24"/>
          <w:lang w:val="en-US"/>
        </w:rPr>
        <w:t>-innovation</w:t>
      </w:r>
      <w:r w:rsidR="00A467EF" w:rsidRPr="002C24A8">
        <w:rPr>
          <w:rFonts w:ascii="Times New Roman" w:hAnsi="Times New Roman" w:cs="Times New Roman"/>
          <w:sz w:val="24"/>
          <w:szCs w:val="24"/>
          <w:lang w:val="en-US"/>
        </w:rPr>
        <w:t xml:space="preserve"> connection </w:t>
      </w:r>
      <w:r w:rsidR="0093641A" w:rsidRPr="002C24A8">
        <w:rPr>
          <w:rFonts w:ascii="Times New Roman" w:hAnsi="Times New Roman" w:cs="Times New Roman"/>
          <w:sz w:val="24"/>
          <w:szCs w:val="24"/>
          <w:lang w:val="en-US"/>
        </w:rPr>
        <w:t xml:space="preserve">for firms in this category. In light of the nonlinear relationship we </w:t>
      </w:r>
      <w:r w:rsidR="00C4640A" w:rsidRPr="002C24A8">
        <w:rPr>
          <w:rFonts w:ascii="Times New Roman" w:hAnsi="Times New Roman" w:cs="Times New Roman"/>
          <w:sz w:val="24"/>
          <w:szCs w:val="24"/>
          <w:lang w:val="en-US"/>
        </w:rPr>
        <w:t xml:space="preserve">found for </w:t>
      </w:r>
      <w:r w:rsidR="00D939DC" w:rsidRPr="002C24A8">
        <w:rPr>
          <w:rFonts w:ascii="Times New Roman" w:hAnsi="Times New Roman" w:cs="Times New Roman"/>
          <w:sz w:val="24"/>
          <w:szCs w:val="24"/>
          <w:lang w:val="en-US"/>
        </w:rPr>
        <w:t>our sample of firms, t</w:t>
      </w:r>
      <w:r w:rsidR="0093641A" w:rsidRPr="002C24A8">
        <w:rPr>
          <w:rFonts w:ascii="Times New Roman" w:hAnsi="Times New Roman" w:cs="Times New Roman"/>
          <w:sz w:val="24"/>
          <w:szCs w:val="24"/>
          <w:lang w:val="en-US"/>
        </w:rPr>
        <w:t>h</w:t>
      </w:r>
      <w:r w:rsidR="00D939DC" w:rsidRPr="002C24A8">
        <w:rPr>
          <w:rFonts w:ascii="Times New Roman" w:hAnsi="Times New Roman" w:cs="Times New Roman"/>
          <w:sz w:val="24"/>
          <w:szCs w:val="24"/>
          <w:lang w:val="en-US"/>
        </w:rPr>
        <w:t>er</w:t>
      </w:r>
      <w:r w:rsidR="0093641A" w:rsidRPr="002C24A8">
        <w:rPr>
          <w:rFonts w:ascii="Times New Roman" w:hAnsi="Times New Roman" w:cs="Times New Roman"/>
          <w:sz w:val="24"/>
          <w:szCs w:val="24"/>
          <w:lang w:val="en-US"/>
        </w:rPr>
        <w:t>e</w:t>
      </w:r>
      <w:r w:rsidR="00D939DC" w:rsidRPr="002C24A8">
        <w:rPr>
          <w:rFonts w:ascii="Times New Roman" w:hAnsi="Times New Roman" w:cs="Times New Roman"/>
          <w:sz w:val="24"/>
          <w:szCs w:val="24"/>
          <w:lang w:val="en-US"/>
        </w:rPr>
        <w:t xml:space="preserve"> may be value in exploring also for </w:t>
      </w:r>
      <w:r w:rsidR="00A467EF" w:rsidRPr="002C24A8">
        <w:rPr>
          <w:rFonts w:ascii="Times New Roman" w:hAnsi="Times New Roman" w:cs="Times New Roman"/>
          <w:sz w:val="24"/>
          <w:szCs w:val="24"/>
          <w:lang w:val="en-US"/>
        </w:rPr>
        <w:t>SMEs</w:t>
      </w:r>
      <w:r w:rsidR="00D939DC" w:rsidRPr="002C24A8">
        <w:rPr>
          <w:rFonts w:ascii="Times New Roman" w:hAnsi="Times New Roman" w:cs="Times New Roman"/>
          <w:sz w:val="24"/>
          <w:szCs w:val="24"/>
          <w:lang w:val="en-US"/>
        </w:rPr>
        <w:t xml:space="preserve"> if there is critical cut-off ESG level after which the innovation capacity effect becomes negative</w:t>
      </w:r>
      <w:r w:rsidR="00A467EF" w:rsidRPr="002C24A8">
        <w:rPr>
          <w:rFonts w:ascii="Times New Roman" w:hAnsi="Times New Roman" w:cs="Times New Roman"/>
          <w:sz w:val="24"/>
          <w:szCs w:val="24"/>
          <w:lang w:val="en-US"/>
        </w:rPr>
        <w:t>.</w:t>
      </w:r>
    </w:p>
    <w:p w14:paraId="60EF63AF" w14:textId="77777777" w:rsidR="0093641A" w:rsidRPr="002C24A8" w:rsidRDefault="0093641A" w:rsidP="00A31526">
      <w:pPr>
        <w:rPr>
          <w:rFonts w:ascii="Times New Roman" w:hAnsi="Times New Roman" w:cs="Times New Roman"/>
          <w:sz w:val="24"/>
          <w:szCs w:val="24"/>
          <w:lang w:val="en-US"/>
        </w:rPr>
      </w:pPr>
    </w:p>
    <w:p w14:paraId="4F184C96" w14:textId="41BBE93B" w:rsidR="00A31526" w:rsidRPr="002C24A8" w:rsidRDefault="00A31526" w:rsidP="00A31526">
      <w:pPr>
        <w:rPr>
          <w:rFonts w:ascii="Times New Roman" w:hAnsi="Times New Roman" w:cs="Times New Roman"/>
          <w:b/>
          <w:sz w:val="24"/>
          <w:szCs w:val="24"/>
          <w:lang w:val="en-US"/>
        </w:rPr>
      </w:pPr>
      <w:r w:rsidRPr="002C24A8">
        <w:rPr>
          <w:rFonts w:ascii="Times New Roman" w:hAnsi="Times New Roman" w:cs="Times New Roman"/>
          <w:b/>
          <w:sz w:val="24"/>
          <w:szCs w:val="24"/>
          <w:lang w:val="en-US"/>
        </w:rPr>
        <w:t>Acknowledgments</w:t>
      </w:r>
    </w:p>
    <w:p w14:paraId="5FC10D82" w14:textId="7AFF158C" w:rsidR="002A4E6B" w:rsidRPr="002C24A8" w:rsidRDefault="002A4E6B">
      <w:pPr>
        <w:rPr>
          <w:rFonts w:ascii="Times New Roman" w:hAnsi="Times New Roman" w:cs="Times New Roman"/>
          <w:b/>
          <w:sz w:val="24"/>
          <w:szCs w:val="24"/>
          <w:lang w:val="en-US"/>
        </w:rPr>
      </w:pPr>
    </w:p>
    <w:p w14:paraId="47EFEC48" w14:textId="12DAE660" w:rsidR="00A31526" w:rsidRPr="002C24A8" w:rsidRDefault="007837FF" w:rsidP="00462401">
      <w:pPr>
        <w:spacing w:line="480" w:lineRule="auto"/>
        <w:jc w:val="both"/>
        <w:rPr>
          <w:rFonts w:ascii="Times New Roman" w:hAnsi="Times New Roman" w:cs="Times New Roman"/>
          <w:sz w:val="24"/>
          <w:szCs w:val="24"/>
          <w:highlight w:val="cyan"/>
          <w:lang w:val="en-US"/>
        </w:rPr>
      </w:pPr>
      <w:r w:rsidRPr="002C24A8">
        <w:rPr>
          <w:rFonts w:ascii="Times New Roman" w:hAnsi="Times New Roman" w:cs="Times New Roman"/>
          <w:sz w:val="24"/>
          <w:szCs w:val="24"/>
          <w:lang w:val="en-US"/>
        </w:rPr>
        <w:t xml:space="preserve">The authors </w:t>
      </w:r>
      <w:r w:rsidR="00A31526" w:rsidRPr="002C24A8">
        <w:rPr>
          <w:rFonts w:ascii="Times New Roman" w:hAnsi="Times New Roman" w:cs="Times New Roman"/>
          <w:sz w:val="24"/>
          <w:szCs w:val="24"/>
          <w:lang w:val="en-US"/>
        </w:rPr>
        <w:t xml:space="preserve">wish to thank three anonymous referees for their helpful </w:t>
      </w:r>
      <w:r w:rsidR="00AF19C0" w:rsidRPr="002C24A8">
        <w:rPr>
          <w:rFonts w:ascii="Times New Roman" w:hAnsi="Times New Roman" w:cs="Times New Roman"/>
          <w:sz w:val="24"/>
          <w:szCs w:val="24"/>
          <w:lang w:val="en-US"/>
        </w:rPr>
        <w:t xml:space="preserve">and stimulating </w:t>
      </w:r>
      <w:r w:rsidR="00A31526" w:rsidRPr="002C24A8">
        <w:rPr>
          <w:rFonts w:ascii="Times New Roman" w:hAnsi="Times New Roman" w:cs="Times New Roman"/>
          <w:sz w:val="24"/>
          <w:szCs w:val="24"/>
          <w:lang w:val="en-US"/>
        </w:rPr>
        <w:t xml:space="preserve">feedback. </w:t>
      </w:r>
      <w:r w:rsidRPr="002C24A8">
        <w:rPr>
          <w:rFonts w:ascii="Times New Roman" w:hAnsi="Times New Roman" w:cs="Times New Roman"/>
          <w:sz w:val="24"/>
          <w:szCs w:val="24"/>
          <w:lang w:val="en-US"/>
        </w:rPr>
        <w:t>Any remaining errors and inaccuracies are solely the responsibility of the authors.</w:t>
      </w:r>
    </w:p>
    <w:p w14:paraId="26EA9013" w14:textId="1DECE762" w:rsidR="00A31526" w:rsidRPr="002C24A8" w:rsidRDefault="00A31526">
      <w:pPr>
        <w:rPr>
          <w:rFonts w:ascii="Times New Roman" w:hAnsi="Times New Roman" w:cs="Times New Roman"/>
          <w:b/>
          <w:sz w:val="24"/>
          <w:szCs w:val="24"/>
          <w:lang w:val="en-US"/>
        </w:rPr>
      </w:pPr>
    </w:p>
    <w:p w14:paraId="24754F21" w14:textId="77777777" w:rsidR="00A31526" w:rsidRPr="002C24A8" w:rsidRDefault="00A31526">
      <w:pPr>
        <w:rPr>
          <w:rFonts w:ascii="Times New Roman" w:hAnsi="Times New Roman" w:cs="Times New Roman"/>
          <w:b/>
          <w:sz w:val="24"/>
          <w:szCs w:val="24"/>
          <w:lang w:val="en-US"/>
        </w:rPr>
      </w:pPr>
    </w:p>
    <w:p w14:paraId="0C302898" w14:textId="71CF62B8" w:rsidR="007D67CE" w:rsidRPr="002C24A8" w:rsidRDefault="007D67CE">
      <w:pPr>
        <w:rPr>
          <w:rFonts w:ascii="Times New Roman" w:hAnsi="Times New Roman" w:cs="Times New Roman"/>
          <w:b/>
          <w:sz w:val="24"/>
          <w:szCs w:val="24"/>
          <w:lang w:val="en-US"/>
        </w:rPr>
      </w:pPr>
      <w:r w:rsidRPr="002C24A8">
        <w:rPr>
          <w:rFonts w:ascii="Times New Roman" w:hAnsi="Times New Roman" w:cs="Times New Roman"/>
          <w:b/>
          <w:sz w:val="24"/>
          <w:szCs w:val="24"/>
          <w:lang w:val="en-US"/>
        </w:rPr>
        <w:t>References</w:t>
      </w:r>
    </w:p>
    <w:p w14:paraId="3C0B293A" w14:textId="77777777" w:rsidR="003F3E36" w:rsidRPr="002C24A8" w:rsidRDefault="003F3E36">
      <w:pPr>
        <w:rPr>
          <w:rFonts w:ascii="Times New Roman" w:hAnsi="Times New Roman" w:cs="Times New Roman"/>
          <w:b/>
          <w:sz w:val="24"/>
          <w:szCs w:val="24"/>
          <w:lang w:val="en-US"/>
        </w:rPr>
      </w:pPr>
    </w:p>
    <w:p w14:paraId="5BAAB73B"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lastRenderedPageBreak/>
        <w:t xml:space="preserve">Ameer, R., &amp; Othman, R. (2012). Sustainability practices and corporate financial performance: A study based on the top global corporations. </w:t>
      </w:r>
      <w:r w:rsidRPr="002C24A8">
        <w:rPr>
          <w:rFonts w:ascii="Times New Roman" w:hAnsi="Times New Roman" w:cs="Times New Roman"/>
          <w:i/>
          <w:sz w:val="24"/>
          <w:szCs w:val="24"/>
          <w:lang w:val="en-US"/>
        </w:rPr>
        <w:t>Journal of Business Ethics</w:t>
      </w:r>
      <w:r w:rsidRPr="002C24A8">
        <w:rPr>
          <w:rFonts w:ascii="Times New Roman" w:hAnsi="Times New Roman" w:cs="Times New Roman"/>
          <w:sz w:val="24"/>
          <w:szCs w:val="24"/>
          <w:lang w:val="en-US"/>
        </w:rPr>
        <w:t>, 108 (1), 61-79.</w:t>
      </w:r>
    </w:p>
    <w:p w14:paraId="3F4436EA"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Bădin, L., Daraio, C., &amp; Simar, L. (2010). Optimal bandwidth selection for conditional efficiency measures: a data-driven approach. </w:t>
      </w:r>
      <w:r w:rsidRPr="002C24A8">
        <w:rPr>
          <w:rFonts w:ascii="Times New Roman" w:hAnsi="Times New Roman" w:cs="Times New Roman"/>
          <w:i/>
          <w:sz w:val="24"/>
          <w:szCs w:val="24"/>
          <w:lang w:val="en-US"/>
        </w:rPr>
        <w:t>European Journal of Operational Research</w:t>
      </w:r>
      <w:r w:rsidRPr="002C24A8">
        <w:rPr>
          <w:rFonts w:ascii="Times New Roman" w:hAnsi="Times New Roman" w:cs="Times New Roman"/>
          <w:sz w:val="24"/>
          <w:szCs w:val="24"/>
          <w:lang w:val="en-US"/>
        </w:rPr>
        <w:t>, 201(2), 633-640.</w:t>
      </w:r>
    </w:p>
    <w:p w14:paraId="36FB78BD"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Bădin, L., Daraio, C., &amp; Simar, L. (2012). How to measure the impact of environmental factors in a nonparametric production model. </w:t>
      </w:r>
      <w:r w:rsidRPr="002C24A8">
        <w:rPr>
          <w:rFonts w:ascii="Times New Roman" w:hAnsi="Times New Roman" w:cs="Times New Roman"/>
          <w:i/>
          <w:sz w:val="24"/>
          <w:szCs w:val="24"/>
          <w:lang w:val="en-US"/>
        </w:rPr>
        <w:t>European Journal of Operational Research</w:t>
      </w:r>
      <w:r w:rsidRPr="002C24A8">
        <w:rPr>
          <w:rFonts w:ascii="Times New Roman" w:hAnsi="Times New Roman" w:cs="Times New Roman"/>
          <w:sz w:val="24"/>
          <w:szCs w:val="24"/>
          <w:lang w:val="en-US"/>
        </w:rPr>
        <w:t>, 223 (3), 818-833.</w:t>
      </w:r>
    </w:p>
    <w:p w14:paraId="6853BA4F"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Bădin, L., Daraio, C., &amp; Simar, L. (2014). Explaining inefficiency in nonparametric production models: the state of the art. </w:t>
      </w:r>
      <w:r w:rsidRPr="002C24A8">
        <w:rPr>
          <w:rFonts w:ascii="Times New Roman" w:hAnsi="Times New Roman" w:cs="Times New Roman"/>
          <w:i/>
          <w:sz w:val="24"/>
          <w:szCs w:val="24"/>
          <w:lang w:val="en-US"/>
        </w:rPr>
        <w:t>Annals of Operations Research</w:t>
      </w:r>
      <w:r w:rsidRPr="002C24A8">
        <w:rPr>
          <w:rFonts w:ascii="Times New Roman" w:hAnsi="Times New Roman" w:cs="Times New Roman"/>
          <w:sz w:val="24"/>
          <w:szCs w:val="24"/>
          <w:lang w:val="en-US"/>
        </w:rPr>
        <w:t>, 214 (1), 5-30.</w:t>
      </w:r>
    </w:p>
    <w:p w14:paraId="6F1F45C2" w14:textId="77777777" w:rsidR="009E0A9B" w:rsidRPr="002C24A8" w:rsidRDefault="009E0A9B" w:rsidP="0096227F">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Battacharya, C.B., &amp; Korschun, D. (2008). Stakeholder marketing: Beyond the four Ps and the customer. </w:t>
      </w:r>
      <w:r w:rsidRPr="002C24A8">
        <w:rPr>
          <w:rFonts w:ascii="Times New Roman" w:hAnsi="Times New Roman" w:cs="Times New Roman"/>
          <w:i/>
          <w:sz w:val="24"/>
          <w:szCs w:val="24"/>
          <w:lang w:val="en-US"/>
        </w:rPr>
        <w:t>Journal of Public Policy and Marketing,</w:t>
      </w:r>
      <w:r w:rsidRPr="002C24A8">
        <w:rPr>
          <w:rFonts w:ascii="Times New Roman" w:hAnsi="Times New Roman" w:cs="Times New Roman"/>
          <w:sz w:val="24"/>
          <w:szCs w:val="24"/>
          <w:lang w:val="en-US"/>
        </w:rPr>
        <w:t xml:space="preserve"> 27(1), 113–116. </w:t>
      </w:r>
    </w:p>
    <w:p w14:paraId="1DC4143F"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Baumann, O., &amp; Stieglitz, N. (2014). Don’t offer employees big rewards for innovation. </w:t>
      </w:r>
      <w:r w:rsidRPr="002C24A8">
        <w:rPr>
          <w:rFonts w:ascii="Times New Roman" w:hAnsi="Times New Roman" w:cs="Times New Roman"/>
          <w:i/>
          <w:sz w:val="24"/>
          <w:szCs w:val="24"/>
          <w:lang w:val="en-US"/>
        </w:rPr>
        <w:t>Harvard Business Review</w:t>
      </w:r>
      <w:r w:rsidRPr="002C24A8">
        <w:rPr>
          <w:rFonts w:ascii="Times New Roman" w:hAnsi="Times New Roman" w:cs="Times New Roman"/>
          <w:sz w:val="24"/>
          <w:szCs w:val="24"/>
          <w:lang w:val="en-US"/>
        </w:rPr>
        <w:t xml:space="preserve">, available at </w:t>
      </w:r>
      <w:hyperlink r:id="rId38" w:history="1">
        <w:r w:rsidRPr="002C24A8">
          <w:rPr>
            <w:rStyle w:val="Hyperlink"/>
            <w:rFonts w:ascii="Segoe UI" w:hAnsi="Segoe UI" w:cs="Segoe UI"/>
            <w:sz w:val="20"/>
            <w:szCs w:val="20"/>
            <w:lang w:val="en-US"/>
          </w:rPr>
          <w:t>https://hbr.org/2014/06/dont-offer-employees-big-rewards-for-innovation</w:t>
        </w:r>
      </w:hyperlink>
      <w:r w:rsidRPr="002C24A8">
        <w:rPr>
          <w:rFonts w:ascii="Segoe UI" w:hAnsi="Segoe UI" w:cs="Segoe UI"/>
          <w:color w:val="000000"/>
          <w:sz w:val="20"/>
          <w:szCs w:val="20"/>
          <w:lang w:val="en-US"/>
        </w:rPr>
        <w:t xml:space="preserve">. </w:t>
      </w:r>
    </w:p>
    <w:p w14:paraId="0649769A"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593E51">
        <w:rPr>
          <w:rFonts w:ascii="Times New Roman" w:hAnsi="Times New Roman" w:cs="Times New Roman"/>
          <w:sz w:val="24"/>
          <w:szCs w:val="24"/>
          <w:lang w:val="fi-FI"/>
        </w:rPr>
        <w:t xml:space="preserve">Becchetti, L., Ciciretti, R., Hasan, I., &amp; Kobeissi, N. (2012). </w:t>
      </w:r>
      <w:r w:rsidRPr="002C24A8">
        <w:rPr>
          <w:rFonts w:ascii="Times New Roman" w:hAnsi="Times New Roman" w:cs="Times New Roman"/>
          <w:sz w:val="24"/>
          <w:szCs w:val="24"/>
          <w:lang w:val="en-US"/>
        </w:rPr>
        <w:t xml:space="preserve">Corporate social responsibility and shareholder's value. </w:t>
      </w:r>
      <w:r w:rsidRPr="002C24A8">
        <w:rPr>
          <w:rFonts w:ascii="Times New Roman" w:hAnsi="Times New Roman" w:cs="Times New Roman"/>
          <w:i/>
          <w:sz w:val="24"/>
          <w:szCs w:val="24"/>
          <w:lang w:val="en-US"/>
        </w:rPr>
        <w:t>Journal of Business Research</w:t>
      </w:r>
      <w:r w:rsidRPr="002C24A8">
        <w:rPr>
          <w:rFonts w:ascii="Times New Roman" w:hAnsi="Times New Roman" w:cs="Times New Roman"/>
          <w:sz w:val="24"/>
          <w:szCs w:val="24"/>
          <w:lang w:val="en-US"/>
        </w:rPr>
        <w:t>, 65 (11), 1628-1635.</w:t>
      </w:r>
    </w:p>
    <w:p w14:paraId="4B57B0E2"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Bénabou, R., &amp; Tirole, J. (2010). Individual and corporate social responsibility. </w:t>
      </w:r>
      <w:r w:rsidRPr="002C24A8">
        <w:rPr>
          <w:rFonts w:ascii="Times New Roman" w:hAnsi="Times New Roman" w:cs="Times New Roman"/>
          <w:i/>
          <w:sz w:val="24"/>
          <w:szCs w:val="24"/>
          <w:lang w:val="en-US"/>
        </w:rPr>
        <w:t>Economica</w:t>
      </w:r>
      <w:r w:rsidRPr="002C24A8">
        <w:rPr>
          <w:rFonts w:ascii="Times New Roman" w:hAnsi="Times New Roman" w:cs="Times New Roman"/>
          <w:sz w:val="24"/>
          <w:szCs w:val="24"/>
          <w:lang w:val="en-US"/>
        </w:rPr>
        <w:t>, 77 (305), 1-19.</w:t>
      </w:r>
    </w:p>
    <w:p w14:paraId="7E29BE1E" w14:textId="77777777" w:rsidR="009E0A9B" w:rsidRPr="002C24A8" w:rsidRDefault="009E0A9B" w:rsidP="00E11D5D">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lastRenderedPageBreak/>
        <w:t>Beschorner, T., &amp; Hajduk, T. (2017). Responsible practices are culturally embedded: Theoretical considerations on industry-specific corporate social responsibility.</w:t>
      </w:r>
      <w:r w:rsidRPr="002C24A8">
        <w:rPr>
          <w:rFonts w:ascii="Times New Roman" w:hAnsi="Times New Roman" w:cs="Times New Roman"/>
          <w:i/>
          <w:iCs/>
          <w:sz w:val="24"/>
          <w:szCs w:val="24"/>
          <w:lang w:val="en-US"/>
        </w:rPr>
        <w:t xml:space="preserve"> Journal of Business Ethics</w:t>
      </w:r>
      <w:r w:rsidRPr="002C24A8">
        <w:rPr>
          <w:rFonts w:ascii="Times New Roman" w:hAnsi="Times New Roman" w:cs="Times New Roman"/>
          <w:sz w:val="24"/>
          <w:szCs w:val="24"/>
          <w:lang w:val="en-US"/>
        </w:rPr>
        <w:t xml:space="preserve">, </w:t>
      </w:r>
      <w:r w:rsidRPr="002C24A8">
        <w:rPr>
          <w:rFonts w:ascii="Times New Roman" w:hAnsi="Times New Roman" w:cs="Times New Roman"/>
          <w:iCs/>
          <w:sz w:val="24"/>
          <w:szCs w:val="24"/>
          <w:lang w:val="en-US"/>
        </w:rPr>
        <w:t>143</w:t>
      </w:r>
      <w:r w:rsidRPr="002C24A8">
        <w:rPr>
          <w:rFonts w:ascii="Times New Roman" w:hAnsi="Times New Roman" w:cs="Times New Roman"/>
          <w:i/>
          <w:iCs/>
          <w:sz w:val="24"/>
          <w:szCs w:val="24"/>
          <w:lang w:val="en-US"/>
        </w:rPr>
        <w:t xml:space="preserve"> </w:t>
      </w:r>
      <w:r w:rsidRPr="002C24A8">
        <w:rPr>
          <w:rFonts w:ascii="Times New Roman" w:hAnsi="Times New Roman" w:cs="Times New Roman"/>
          <w:sz w:val="24"/>
          <w:szCs w:val="24"/>
          <w:lang w:val="en-US"/>
        </w:rPr>
        <w:t>(4), 635–642.</w:t>
      </w:r>
    </w:p>
    <w:p w14:paraId="226F73F2" w14:textId="77777777" w:rsidR="009E0A9B" w:rsidRPr="002C24A8" w:rsidDel="005B5C08" w:rsidRDefault="009E0A9B" w:rsidP="005F6DD6">
      <w:pPr>
        <w:spacing w:line="480" w:lineRule="auto"/>
        <w:ind w:left="360"/>
        <w:jc w:val="both"/>
        <w:rPr>
          <w:rFonts w:ascii="Times New Roman" w:hAnsi="Times New Roman" w:cs="Times New Roman"/>
          <w:sz w:val="24"/>
          <w:szCs w:val="24"/>
          <w:lang w:val="en-US"/>
        </w:rPr>
      </w:pPr>
      <w:r w:rsidRPr="002C24A8" w:rsidDel="005B5C08">
        <w:rPr>
          <w:rFonts w:ascii="Times New Roman" w:hAnsi="Times New Roman" w:cs="Times New Roman"/>
          <w:sz w:val="24"/>
          <w:szCs w:val="24"/>
          <w:lang w:val="en-US"/>
        </w:rPr>
        <w:t xml:space="preserve">Bhandari, A., &amp; Javakhadze, D. (2017). Corporate social responsibility and capital allocation efficiency. </w:t>
      </w:r>
      <w:r w:rsidRPr="002C24A8" w:rsidDel="005B5C08">
        <w:rPr>
          <w:rFonts w:ascii="Times New Roman" w:hAnsi="Times New Roman" w:cs="Times New Roman"/>
          <w:i/>
          <w:sz w:val="24"/>
          <w:szCs w:val="24"/>
          <w:lang w:val="en-US"/>
        </w:rPr>
        <w:t>Journal of Corporate Finance</w:t>
      </w:r>
      <w:r w:rsidRPr="002C24A8" w:rsidDel="005B5C08">
        <w:rPr>
          <w:rFonts w:ascii="Times New Roman" w:hAnsi="Times New Roman" w:cs="Times New Roman"/>
          <w:sz w:val="24"/>
          <w:szCs w:val="24"/>
          <w:lang w:val="en-US"/>
        </w:rPr>
        <w:t>, 43, 354-377.</w:t>
      </w:r>
    </w:p>
    <w:p w14:paraId="28BFC5E2"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Bhardwaj, P., Chatterjee, P., Demir, K. D., &amp; Turut, O. (2018). When and how is corporate social responsibility profitable? </w:t>
      </w:r>
      <w:r w:rsidRPr="002C24A8">
        <w:rPr>
          <w:rFonts w:ascii="Times New Roman" w:hAnsi="Times New Roman" w:cs="Times New Roman"/>
          <w:i/>
          <w:sz w:val="24"/>
          <w:szCs w:val="24"/>
          <w:lang w:val="en-US"/>
        </w:rPr>
        <w:t>Journal of Business Research</w:t>
      </w:r>
      <w:r w:rsidRPr="002C24A8">
        <w:rPr>
          <w:rFonts w:ascii="Times New Roman" w:hAnsi="Times New Roman" w:cs="Times New Roman"/>
          <w:sz w:val="24"/>
          <w:szCs w:val="24"/>
          <w:lang w:val="en-US"/>
        </w:rPr>
        <w:t>, 84, 206-219.</w:t>
      </w:r>
    </w:p>
    <w:p w14:paraId="60174711"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Bocquet, R., Le Bas, C., Mothe, C., &amp; Poussing, N. (2013). Are firms with different CSR profiles equally innovative? Empirical analysis with survey data. </w:t>
      </w:r>
      <w:r w:rsidRPr="002C24A8">
        <w:rPr>
          <w:rFonts w:ascii="Times New Roman" w:hAnsi="Times New Roman" w:cs="Times New Roman"/>
          <w:i/>
          <w:sz w:val="24"/>
          <w:szCs w:val="24"/>
          <w:lang w:val="en-US"/>
        </w:rPr>
        <w:t>European Management Journal</w:t>
      </w:r>
      <w:r w:rsidRPr="002C24A8">
        <w:rPr>
          <w:rFonts w:ascii="Times New Roman" w:hAnsi="Times New Roman" w:cs="Times New Roman"/>
          <w:sz w:val="24"/>
          <w:szCs w:val="24"/>
          <w:lang w:val="en-US"/>
        </w:rPr>
        <w:t>, 31(6), 642-654.</w:t>
      </w:r>
    </w:p>
    <w:p w14:paraId="780E3A74" w14:textId="77777777" w:rsidR="009E0A9B" w:rsidRPr="002C24A8" w:rsidRDefault="009E0A9B" w:rsidP="00E11D5D">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Boly, V., Morel, L., &amp; Camargo, M. (2014). Evaluating innovative processes in French firms: Methodological proposition for firm innovation capacity evaluation. </w:t>
      </w:r>
      <w:r w:rsidRPr="002C24A8">
        <w:rPr>
          <w:rFonts w:ascii="Times New Roman" w:hAnsi="Times New Roman" w:cs="Times New Roman"/>
          <w:i/>
          <w:iCs/>
          <w:sz w:val="24"/>
          <w:szCs w:val="24"/>
          <w:lang w:val="en-US"/>
        </w:rPr>
        <w:t>Research Policy</w:t>
      </w:r>
      <w:r w:rsidRPr="002C24A8">
        <w:rPr>
          <w:rFonts w:ascii="Times New Roman" w:hAnsi="Times New Roman" w:cs="Times New Roman"/>
          <w:sz w:val="24"/>
          <w:szCs w:val="24"/>
          <w:lang w:val="en-US"/>
        </w:rPr>
        <w:t xml:space="preserve">, </w:t>
      </w:r>
      <w:r w:rsidRPr="002C24A8">
        <w:rPr>
          <w:rFonts w:ascii="Times New Roman" w:hAnsi="Times New Roman" w:cs="Times New Roman"/>
          <w:iCs/>
          <w:sz w:val="24"/>
          <w:szCs w:val="24"/>
          <w:lang w:val="en-US"/>
        </w:rPr>
        <w:t>43</w:t>
      </w:r>
      <w:r w:rsidRPr="002C24A8">
        <w:rPr>
          <w:rFonts w:ascii="Times New Roman" w:hAnsi="Times New Roman" w:cs="Times New Roman"/>
          <w:i/>
          <w:iCs/>
          <w:sz w:val="24"/>
          <w:szCs w:val="24"/>
          <w:lang w:val="en-US"/>
        </w:rPr>
        <w:t xml:space="preserve"> </w:t>
      </w:r>
      <w:r w:rsidRPr="002C24A8">
        <w:rPr>
          <w:rFonts w:ascii="Times New Roman" w:hAnsi="Times New Roman" w:cs="Times New Roman"/>
          <w:sz w:val="24"/>
          <w:szCs w:val="24"/>
          <w:lang w:val="en-US"/>
        </w:rPr>
        <w:t>(3), 608-622.</w:t>
      </w:r>
    </w:p>
    <w:p w14:paraId="54E567D4"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Brower, J., Kashmiri, S., &amp; Mahajan, V. (2017). Signaling virtue: Does firm corporate social performance trajectory moderate the social performance–financial performance relationship? </w:t>
      </w:r>
      <w:r w:rsidRPr="002C24A8">
        <w:rPr>
          <w:rFonts w:ascii="Times New Roman" w:hAnsi="Times New Roman" w:cs="Times New Roman"/>
          <w:i/>
          <w:sz w:val="24"/>
          <w:szCs w:val="24"/>
          <w:lang w:val="en-US"/>
        </w:rPr>
        <w:t>Journal of Business Research</w:t>
      </w:r>
      <w:r w:rsidRPr="002C24A8">
        <w:rPr>
          <w:rFonts w:ascii="Times New Roman" w:hAnsi="Times New Roman" w:cs="Times New Roman"/>
          <w:sz w:val="24"/>
          <w:szCs w:val="24"/>
          <w:lang w:val="en-US"/>
        </w:rPr>
        <w:t>, 81, 86-95.</w:t>
      </w:r>
    </w:p>
    <w:p w14:paraId="7FCD1B3C"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Cai, Y., Pan, C. H., &amp; Statman, M. (2016). Why do countries matter so much in corporate social performance? </w:t>
      </w:r>
      <w:r w:rsidRPr="002C24A8">
        <w:rPr>
          <w:rFonts w:ascii="Times New Roman" w:hAnsi="Times New Roman" w:cs="Times New Roman"/>
          <w:i/>
          <w:sz w:val="24"/>
          <w:szCs w:val="24"/>
          <w:lang w:val="en-US"/>
        </w:rPr>
        <w:t>Journal of Corporate Finance</w:t>
      </w:r>
      <w:r w:rsidRPr="002C24A8">
        <w:rPr>
          <w:rFonts w:ascii="Times New Roman" w:hAnsi="Times New Roman" w:cs="Times New Roman"/>
          <w:sz w:val="24"/>
          <w:szCs w:val="24"/>
          <w:lang w:val="en-US"/>
        </w:rPr>
        <w:t>, 41, 591-609.</w:t>
      </w:r>
    </w:p>
    <w:p w14:paraId="7A9ACA39" w14:textId="77777777" w:rsidR="009E0A9B" w:rsidRPr="002C24A8" w:rsidRDefault="009E0A9B" w:rsidP="00E11D5D">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Carrigan, M., McEachern, M., Moraes, C., &amp; Bosangit, C. (2017). The fine jewellery industry: Corporate responsibility challenges and institutional forces facing SMEs. </w:t>
      </w:r>
      <w:r w:rsidRPr="002C24A8">
        <w:rPr>
          <w:rFonts w:ascii="Times New Roman" w:hAnsi="Times New Roman" w:cs="Times New Roman"/>
          <w:i/>
          <w:iCs/>
          <w:sz w:val="24"/>
          <w:szCs w:val="24"/>
          <w:lang w:val="en-US"/>
        </w:rPr>
        <w:t>Journal of Business Ethics</w:t>
      </w:r>
      <w:r w:rsidRPr="002C24A8">
        <w:rPr>
          <w:rFonts w:ascii="Times New Roman" w:hAnsi="Times New Roman" w:cs="Times New Roman"/>
          <w:sz w:val="24"/>
          <w:szCs w:val="24"/>
          <w:lang w:val="en-US"/>
        </w:rPr>
        <w:t xml:space="preserve">, </w:t>
      </w:r>
      <w:r w:rsidRPr="002C24A8">
        <w:rPr>
          <w:rFonts w:ascii="Times New Roman" w:hAnsi="Times New Roman" w:cs="Times New Roman"/>
          <w:i/>
          <w:iCs/>
          <w:sz w:val="24"/>
          <w:szCs w:val="24"/>
          <w:lang w:val="en-US"/>
        </w:rPr>
        <w:t>143</w:t>
      </w:r>
      <w:r w:rsidRPr="002C24A8">
        <w:rPr>
          <w:rFonts w:ascii="Times New Roman" w:hAnsi="Times New Roman" w:cs="Times New Roman"/>
          <w:sz w:val="24"/>
          <w:szCs w:val="24"/>
          <w:lang w:val="en-US"/>
        </w:rPr>
        <w:t>(4), 681-699.</w:t>
      </w:r>
    </w:p>
    <w:p w14:paraId="1F4CEF9C"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lastRenderedPageBreak/>
        <w:t xml:space="preserve">Cazals, C., Florens, J. P., &amp; Simar, L. (2002). Nonparametric frontier estimation: a robust approach. </w:t>
      </w:r>
      <w:r w:rsidRPr="002C24A8">
        <w:rPr>
          <w:rFonts w:ascii="Times New Roman" w:hAnsi="Times New Roman" w:cs="Times New Roman"/>
          <w:i/>
          <w:sz w:val="24"/>
          <w:szCs w:val="24"/>
          <w:lang w:val="en-US"/>
        </w:rPr>
        <w:t>Journal of Econometrics</w:t>
      </w:r>
      <w:r w:rsidRPr="002C24A8">
        <w:rPr>
          <w:rFonts w:ascii="Times New Roman" w:hAnsi="Times New Roman" w:cs="Times New Roman"/>
          <w:sz w:val="24"/>
          <w:szCs w:val="24"/>
          <w:lang w:val="en-US"/>
        </w:rPr>
        <w:t>, 106(1), 1-25.</w:t>
      </w:r>
    </w:p>
    <w:p w14:paraId="6590F3BC"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Charnes, A., Cooper, W. W., &amp; Rhodes, E. (1978). Measuring the efficiency of decision making units. </w:t>
      </w:r>
      <w:r w:rsidRPr="002C24A8">
        <w:rPr>
          <w:rFonts w:ascii="Times New Roman" w:hAnsi="Times New Roman" w:cs="Times New Roman"/>
          <w:i/>
          <w:sz w:val="24"/>
          <w:szCs w:val="24"/>
          <w:lang w:val="en-US"/>
        </w:rPr>
        <w:t>European Journal of Operational Research</w:t>
      </w:r>
      <w:r w:rsidRPr="002C24A8">
        <w:rPr>
          <w:rFonts w:ascii="Times New Roman" w:hAnsi="Times New Roman" w:cs="Times New Roman"/>
          <w:sz w:val="24"/>
          <w:szCs w:val="24"/>
          <w:lang w:val="en-US"/>
        </w:rPr>
        <w:t>, 2(6), 429-444.</w:t>
      </w:r>
    </w:p>
    <w:p w14:paraId="04E358C1"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Cheng, I. H., Hong, H., &amp; Shue, K. (2013). </w:t>
      </w:r>
      <w:r w:rsidRPr="002C24A8">
        <w:rPr>
          <w:rFonts w:ascii="Times New Roman" w:hAnsi="Times New Roman" w:cs="Times New Roman"/>
          <w:i/>
          <w:sz w:val="24"/>
          <w:szCs w:val="24"/>
          <w:lang w:val="en-US"/>
        </w:rPr>
        <w:t>Do managers do good with other people's money?</w:t>
      </w:r>
      <w:r w:rsidRPr="002C24A8">
        <w:rPr>
          <w:rFonts w:ascii="Times New Roman" w:hAnsi="Times New Roman" w:cs="Times New Roman"/>
          <w:sz w:val="24"/>
          <w:szCs w:val="24"/>
          <w:lang w:val="en-US"/>
        </w:rPr>
        <w:t xml:space="preserve"> (No. w19432). National Bureau of Economic Research.</w:t>
      </w:r>
    </w:p>
    <w:p w14:paraId="20D09558" w14:textId="77777777" w:rsidR="009E0A9B" w:rsidRPr="002C24A8" w:rsidRDefault="009E0A9B" w:rsidP="0096227F">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Choi, J., &amp; Wang, H. (2009). Stakeholder relations and the persistence of corporate financial performance. </w:t>
      </w:r>
      <w:r w:rsidRPr="002C24A8">
        <w:rPr>
          <w:rFonts w:ascii="Times New Roman" w:hAnsi="Times New Roman" w:cs="Times New Roman"/>
          <w:i/>
          <w:sz w:val="24"/>
          <w:szCs w:val="24"/>
          <w:lang w:val="en-US"/>
        </w:rPr>
        <w:t>Strategic Management Journal,</w:t>
      </w:r>
      <w:r w:rsidRPr="002C24A8">
        <w:rPr>
          <w:rFonts w:ascii="Times New Roman" w:hAnsi="Times New Roman" w:cs="Times New Roman"/>
          <w:sz w:val="24"/>
          <w:szCs w:val="24"/>
          <w:lang w:val="en-US"/>
        </w:rPr>
        <w:t xml:space="preserve"> 30 (8), 895–907.</w:t>
      </w:r>
    </w:p>
    <w:p w14:paraId="7CFE1167" w14:textId="77777777" w:rsidR="009E0A9B" w:rsidRPr="002C24A8" w:rsidRDefault="009E0A9B" w:rsidP="0096227F">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Christensen, J.F. (1995). Asset profiles for technological innovation. </w:t>
      </w:r>
      <w:r w:rsidRPr="002C24A8">
        <w:rPr>
          <w:rFonts w:ascii="Times New Roman" w:hAnsi="Times New Roman" w:cs="Times New Roman"/>
          <w:i/>
          <w:sz w:val="24"/>
          <w:szCs w:val="24"/>
          <w:lang w:val="en-US"/>
        </w:rPr>
        <w:t>Research Policy,</w:t>
      </w:r>
      <w:r w:rsidRPr="002C24A8">
        <w:rPr>
          <w:rFonts w:ascii="Times New Roman" w:hAnsi="Times New Roman" w:cs="Times New Roman"/>
          <w:sz w:val="24"/>
          <w:szCs w:val="24"/>
          <w:lang w:val="en-US"/>
        </w:rPr>
        <w:t xml:space="preserve"> 24 (5), 727–745.</w:t>
      </w:r>
    </w:p>
    <w:p w14:paraId="39EEA4B7" w14:textId="77777777" w:rsidR="009E0A9B" w:rsidRPr="002C24A8" w:rsidRDefault="009E0A9B" w:rsidP="003F3E3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Cohen, W.M., &amp; Levinthal, D.A. (1990). Absorptive capacity: A new perspective on learning and innovation. </w:t>
      </w:r>
      <w:r w:rsidRPr="002C24A8">
        <w:rPr>
          <w:rFonts w:ascii="Times New Roman" w:hAnsi="Times New Roman" w:cs="Times New Roman"/>
          <w:i/>
          <w:sz w:val="24"/>
          <w:szCs w:val="24"/>
          <w:lang w:val="en-US"/>
        </w:rPr>
        <w:t>Administrative Science Quarterly</w:t>
      </w:r>
      <w:r w:rsidRPr="002C24A8">
        <w:rPr>
          <w:rFonts w:ascii="Times New Roman" w:hAnsi="Times New Roman" w:cs="Times New Roman"/>
          <w:sz w:val="24"/>
          <w:szCs w:val="24"/>
          <w:lang w:val="en-US"/>
        </w:rPr>
        <w:t>, 35 (1), 128-152.</w:t>
      </w:r>
    </w:p>
    <w:p w14:paraId="1331C38B" w14:textId="77777777" w:rsidR="009E0A9B" w:rsidRPr="002C24A8" w:rsidRDefault="009E0A9B" w:rsidP="0096227F">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Costa, C., Lage, L.F., &amp; Hortinha, P. (2015). The bright and dark side of CSR in export markets: Its impact on innovation and performance. </w:t>
      </w:r>
      <w:r w:rsidRPr="002C24A8">
        <w:rPr>
          <w:rFonts w:ascii="Times New Roman" w:hAnsi="Times New Roman" w:cs="Times New Roman"/>
          <w:i/>
          <w:sz w:val="24"/>
          <w:szCs w:val="24"/>
          <w:lang w:val="en-US"/>
        </w:rPr>
        <w:t>International Business Review,</w:t>
      </w:r>
      <w:r w:rsidRPr="002C24A8">
        <w:rPr>
          <w:rFonts w:ascii="Times New Roman" w:hAnsi="Times New Roman" w:cs="Times New Roman"/>
          <w:sz w:val="24"/>
          <w:szCs w:val="24"/>
          <w:lang w:val="en-US"/>
        </w:rPr>
        <w:t xml:space="preserve"> 24, 749–757. </w:t>
      </w:r>
    </w:p>
    <w:p w14:paraId="772774C6" w14:textId="77777777" w:rsidR="009E0A9B" w:rsidRPr="002C24A8" w:rsidRDefault="009E0A9B" w:rsidP="003F3E3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Costa, C.; Lages, L.F.; &amp; Costa, P.H. (2015). The bright and dark side of CSR in export markets: Its impact on innovation and performance. </w:t>
      </w:r>
      <w:r w:rsidRPr="002C24A8">
        <w:rPr>
          <w:rFonts w:ascii="Times New Roman" w:hAnsi="Times New Roman" w:cs="Times New Roman"/>
          <w:i/>
          <w:sz w:val="24"/>
          <w:szCs w:val="24"/>
          <w:lang w:val="en-US"/>
        </w:rPr>
        <w:t>International Business Review</w:t>
      </w:r>
      <w:r w:rsidRPr="002C24A8">
        <w:rPr>
          <w:rFonts w:ascii="Times New Roman" w:hAnsi="Times New Roman" w:cs="Times New Roman"/>
          <w:sz w:val="24"/>
          <w:szCs w:val="24"/>
          <w:lang w:val="en-US"/>
        </w:rPr>
        <w:t>, 24, 749–757.</w:t>
      </w:r>
    </w:p>
    <w:p w14:paraId="3FB7C27F"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Cronqvist, H., Heyman, F., Nilsson, M., Svaleryd, H., &amp; Vlachos, J. (2009). Do entrenched managers pay their workers more? </w:t>
      </w:r>
      <w:r w:rsidRPr="002C24A8">
        <w:rPr>
          <w:rFonts w:ascii="Times New Roman" w:hAnsi="Times New Roman" w:cs="Times New Roman"/>
          <w:i/>
          <w:sz w:val="24"/>
          <w:szCs w:val="24"/>
          <w:lang w:val="en-US"/>
        </w:rPr>
        <w:t>Journal of Finance</w:t>
      </w:r>
      <w:r w:rsidRPr="002C24A8">
        <w:rPr>
          <w:rFonts w:ascii="Times New Roman" w:hAnsi="Times New Roman" w:cs="Times New Roman"/>
          <w:sz w:val="24"/>
          <w:szCs w:val="24"/>
          <w:lang w:val="en-US"/>
        </w:rPr>
        <w:t>, 64(1), 309-339.</w:t>
      </w:r>
    </w:p>
    <w:p w14:paraId="07AD51A4"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lastRenderedPageBreak/>
        <w:t xml:space="preserve">Daraio, C., &amp; Simar, L. (2005). Introducing environmental variables in nonparametric frontier models: a probabilistic approach. </w:t>
      </w:r>
      <w:r w:rsidRPr="002C24A8">
        <w:rPr>
          <w:rFonts w:ascii="Times New Roman" w:hAnsi="Times New Roman" w:cs="Times New Roman"/>
          <w:i/>
          <w:sz w:val="24"/>
          <w:szCs w:val="24"/>
          <w:lang w:val="en-US"/>
        </w:rPr>
        <w:t>Journal of Productivity Analysis</w:t>
      </w:r>
      <w:r w:rsidRPr="002C24A8">
        <w:rPr>
          <w:rFonts w:ascii="Times New Roman" w:hAnsi="Times New Roman" w:cs="Times New Roman"/>
          <w:sz w:val="24"/>
          <w:szCs w:val="24"/>
          <w:lang w:val="en-US"/>
        </w:rPr>
        <w:t>, 24(1), 93-121.</w:t>
      </w:r>
    </w:p>
    <w:p w14:paraId="1F21A957"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Daraio, C., &amp; Simar, L. (2006). A robust nonparametric approach to evaluate and explain the performance of mutual funds. </w:t>
      </w:r>
      <w:r w:rsidRPr="002C24A8">
        <w:rPr>
          <w:rFonts w:ascii="Times New Roman" w:hAnsi="Times New Roman" w:cs="Times New Roman"/>
          <w:i/>
          <w:sz w:val="24"/>
          <w:szCs w:val="24"/>
          <w:lang w:val="en-US"/>
        </w:rPr>
        <w:t>European Journal of Operational Research</w:t>
      </w:r>
      <w:r w:rsidRPr="002C24A8">
        <w:rPr>
          <w:rFonts w:ascii="Times New Roman" w:hAnsi="Times New Roman" w:cs="Times New Roman"/>
          <w:sz w:val="24"/>
          <w:szCs w:val="24"/>
          <w:lang w:val="en-US"/>
        </w:rPr>
        <w:t>, 175(1), 516-542.</w:t>
      </w:r>
    </w:p>
    <w:p w14:paraId="696A4140"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Daraio, C., &amp; Simar, L. (2007a). Conditional nonparametric frontier models for convex and nonconvex technologies: a unifying approach. </w:t>
      </w:r>
      <w:r w:rsidRPr="002C24A8">
        <w:rPr>
          <w:rFonts w:ascii="Times New Roman" w:hAnsi="Times New Roman" w:cs="Times New Roman"/>
          <w:i/>
          <w:sz w:val="24"/>
          <w:szCs w:val="24"/>
          <w:lang w:val="en-US"/>
        </w:rPr>
        <w:t>Journal of Productivity Analysis</w:t>
      </w:r>
      <w:r w:rsidRPr="002C24A8">
        <w:rPr>
          <w:rFonts w:ascii="Times New Roman" w:hAnsi="Times New Roman" w:cs="Times New Roman"/>
          <w:sz w:val="24"/>
          <w:szCs w:val="24"/>
          <w:lang w:val="en-US"/>
        </w:rPr>
        <w:t>, 28(1-2), 13-32.</w:t>
      </w:r>
    </w:p>
    <w:p w14:paraId="2C561B81"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Daraio, C., &amp; Simar, L. (2007b). </w:t>
      </w:r>
      <w:r w:rsidRPr="002C24A8">
        <w:rPr>
          <w:rFonts w:ascii="Times New Roman" w:hAnsi="Times New Roman" w:cs="Times New Roman"/>
          <w:i/>
          <w:sz w:val="24"/>
          <w:szCs w:val="24"/>
          <w:lang w:val="en-US"/>
        </w:rPr>
        <w:t>Advanced robust and nonparametric methods in efficiency analysis: Methodology and applications</w:t>
      </w:r>
      <w:r w:rsidRPr="002C24A8">
        <w:rPr>
          <w:rFonts w:ascii="Times New Roman" w:hAnsi="Times New Roman" w:cs="Times New Roman"/>
          <w:sz w:val="24"/>
          <w:szCs w:val="24"/>
          <w:lang w:val="en-US"/>
        </w:rPr>
        <w:t>. Springer Science &amp; Business Media.</w:t>
      </w:r>
    </w:p>
    <w:p w14:paraId="7E69E2E0"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Daraio, C., Simar, L., &amp; Wilson, P.W. (2018). Central limit theorems for conditional efficiency measures and tests of the “separability” condition in nonparametric, two‐stage models of production. </w:t>
      </w:r>
      <w:r w:rsidRPr="002C24A8">
        <w:rPr>
          <w:rFonts w:ascii="Times New Roman" w:hAnsi="Times New Roman" w:cs="Times New Roman"/>
          <w:i/>
          <w:sz w:val="24"/>
          <w:szCs w:val="24"/>
          <w:lang w:val="en-US"/>
        </w:rPr>
        <w:t>The Econometrics Journal</w:t>
      </w:r>
      <w:r w:rsidRPr="002C24A8">
        <w:rPr>
          <w:rFonts w:ascii="Times New Roman" w:hAnsi="Times New Roman" w:cs="Times New Roman"/>
          <w:sz w:val="24"/>
          <w:szCs w:val="24"/>
          <w:lang w:val="en-US"/>
        </w:rPr>
        <w:t>, doi: 10.1111/ectj.12103.</w:t>
      </w:r>
    </w:p>
    <w:p w14:paraId="3F31A25D" w14:textId="77777777" w:rsidR="009E0A9B" w:rsidRPr="002C24A8" w:rsidRDefault="009E0A9B" w:rsidP="00E11D5D">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De Jong, J. P., &amp; Marsili, O. (2006). The fruit flies of innovations: A taxonomy of innovative small firms. </w:t>
      </w:r>
      <w:r w:rsidRPr="002C24A8">
        <w:rPr>
          <w:rFonts w:ascii="Times New Roman" w:hAnsi="Times New Roman" w:cs="Times New Roman"/>
          <w:i/>
          <w:iCs/>
          <w:sz w:val="24"/>
          <w:szCs w:val="24"/>
          <w:lang w:val="en-US"/>
        </w:rPr>
        <w:t>Research Policy</w:t>
      </w:r>
      <w:r w:rsidRPr="002C24A8">
        <w:rPr>
          <w:rFonts w:ascii="Times New Roman" w:hAnsi="Times New Roman" w:cs="Times New Roman"/>
          <w:sz w:val="24"/>
          <w:szCs w:val="24"/>
          <w:lang w:val="en-US"/>
        </w:rPr>
        <w:t xml:space="preserve">, </w:t>
      </w:r>
      <w:r w:rsidRPr="002C24A8">
        <w:rPr>
          <w:rFonts w:ascii="Times New Roman" w:hAnsi="Times New Roman" w:cs="Times New Roman"/>
          <w:i/>
          <w:iCs/>
          <w:sz w:val="24"/>
          <w:szCs w:val="24"/>
          <w:lang w:val="en-US"/>
        </w:rPr>
        <w:t>35</w:t>
      </w:r>
      <w:r w:rsidRPr="002C24A8">
        <w:rPr>
          <w:rFonts w:ascii="Times New Roman" w:hAnsi="Times New Roman" w:cs="Times New Roman"/>
          <w:sz w:val="24"/>
          <w:szCs w:val="24"/>
          <w:lang w:val="en-US"/>
        </w:rPr>
        <w:t>(2), 213-229.</w:t>
      </w:r>
    </w:p>
    <w:p w14:paraId="6E2E8E58"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Debreu, G. (1951) The coefficient of resource utilization. </w:t>
      </w:r>
      <w:r w:rsidRPr="002C24A8">
        <w:rPr>
          <w:rFonts w:ascii="Times New Roman" w:hAnsi="Times New Roman" w:cs="Times New Roman"/>
          <w:i/>
          <w:sz w:val="24"/>
          <w:szCs w:val="24"/>
          <w:lang w:val="en-US"/>
        </w:rPr>
        <w:t>Econometrica</w:t>
      </w:r>
      <w:r w:rsidRPr="002C24A8">
        <w:rPr>
          <w:rFonts w:ascii="Times New Roman" w:hAnsi="Times New Roman" w:cs="Times New Roman"/>
          <w:sz w:val="24"/>
          <w:szCs w:val="24"/>
          <w:lang w:val="en-US"/>
        </w:rPr>
        <w:t>, 19, 273–292.</w:t>
      </w:r>
    </w:p>
    <w:p w14:paraId="0B17A787" w14:textId="77777777" w:rsidR="009E0A9B" w:rsidRPr="002C24A8" w:rsidRDefault="009E0A9B" w:rsidP="00262C8B">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Deng, X., Kang, J.K., &amp; Low, B.S. (2013). Corporate social responsibility and stakeholder value maximization: Evidence from mergers. </w:t>
      </w:r>
      <w:r w:rsidRPr="002C24A8">
        <w:rPr>
          <w:rFonts w:ascii="Times New Roman" w:hAnsi="Times New Roman" w:cs="Times New Roman"/>
          <w:i/>
          <w:sz w:val="24"/>
          <w:szCs w:val="24"/>
          <w:lang w:val="en-US"/>
        </w:rPr>
        <w:t>Journal of Financial Economics</w:t>
      </w:r>
      <w:r w:rsidRPr="002C24A8">
        <w:rPr>
          <w:rFonts w:ascii="Times New Roman" w:hAnsi="Times New Roman" w:cs="Times New Roman"/>
          <w:sz w:val="24"/>
          <w:szCs w:val="24"/>
          <w:lang w:val="en-US"/>
        </w:rPr>
        <w:t>, 110(1), 87-109.</w:t>
      </w:r>
    </w:p>
    <w:p w14:paraId="2582ACB4"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Di Giuli, A., &amp; Kostovetsky, L. (2014). Are red or blue companies more likely to go green? Politics and corporate social responsibility. </w:t>
      </w:r>
      <w:r w:rsidRPr="002C24A8">
        <w:rPr>
          <w:rFonts w:ascii="Times New Roman" w:hAnsi="Times New Roman" w:cs="Times New Roman"/>
          <w:i/>
          <w:sz w:val="24"/>
          <w:szCs w:val="24"/>
          <w:lang w:val="en-US"/>
        </w:rPr>
        <w:t>Journal of Financial Economics</w:t>
      </w:r>
      <w:r w:rsidRPr="002C24A8">
        <w:rPr>
          <w:rFonts w:ascii="Times New Roman" w:hAnsi="Times New Roman" w:cs="Times New Roman"/>
          <w:sz w:val="24"/>
          <w:szCs w:val="24"/>
          <w:lang w:val="en-US"/>
        </w:rPr>
        <w:t>, 111(1), 158-180.</w:t>
      </w:r>
    </w:p>
    <w:p w14:paraId="212833E2"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lastRenderedPageBreak/>
        <w:t xml:space="preserve">Doh, J.P., Howton, S.D., Howton, S.W., &amp; Siegel, D.S. (2010). Does the market respond to an endorsement of social responsibility? The role of institutions, information, and legitimacy. </w:t>
      </w:r>
      <w:r w:rsidRPr="002C24A8">
        <w:rPr>
          <w:rFonts w:ascii="Times New Roman" w:hAnsi="Times New Roman" w:cs="Times New Roman"/>
          <w:i/>
          <w:sz w:val="24"/>
          <w:szCs w:val="24"/>
          <w:lang w:val="en-US"/>
        </w:rPr>
        <w:t>Journal of Management</w:t>
      </w:r>
      <w:r w:rsidRPr="002C24A8">
        <w:rPr>
          <w:rFonts w:ascii="Times New Roman" w:hAnsi="Times New Roman" w:cs="Times New Roman"/>
          <w:sz w:val="24"/>
          <w:szCs w:val="24"/>
          <w:lang w:val="en-US"/>
        </w:rPr>
        <w:t>, 36(6), 1461-1485.</w:t>
      </w:r>
    </w:p>
    <w:p w14:paraId="1E5B2B50" w14:textId="77777777" w:rsidR="009E0A9B" w:rsidRPr="002C24A8" w:rsidRDefault="009E0A9B" w:rsidP="0096227F">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Donaldson, T., &amp; Preston, L. (1995). The stakeholder theory of the corporation: Concepts, evidence and implication. </w:t>
      </w:r>
      <w:r w:rsidRPr="002C24A8">
        <w:rPr>
          <w:rFonts w:ascii="Times New Roman" w:hAnsi="Times New Roman" w:cs="Times New Roman"/>
          <w:i/>
          <w:sz w:val="24"/>
          <w:szCs w:val="24"/>
          <w:lang w:val="en-US"/>
        </w:rPr>
        <w:t>Academy of Management Review</w:t>
      </w:r>
      <w:r w:rsidRPr="002C24A8">
        <w:rPr>
          <w:rFonts w:ascii="Times New Roman" w:hAnsi="Times New Roman" w:cs="Times New Roman"/>
          <w:sz w:val="24"/>
          <w:szCs w:val="24"/>
          <w:lang w:val="en-US"/>
        </w:rPr>
        <w:t>, 20(1), 65–91.</w:t>
      </w:r>
    </w:p>
    <w:p w14:paraId="2A99571C"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Dyson, R.G., Allen, R., Camanho, A.S., Podinovski, V.V., Sarrico, C.S., &amp; Shale, E.A. (2001). Pitfalls and protocols in DEA. </w:t>
      </w:r>
      <w:r w:rsidRPr="002C24A8">
        <w:rPr>
          <w:rFonts w:ascii="Times New Roman" w:hAnsi="Times New Roman" w:cs="Times New Roman"/>
          <w:i/>
          <w:sz w:val="24"/>
          <w:szCs w:val="24"/>
          <w:lang w:val="en-US"/>
        </w:rPr>
        <w:t>European Journal of Operational Research</w:t>
      </w:r>
      <w:r w:rsidRPr="002C24A8">
        <w:rPr>
          <w:rFonts w:ascii="Times New Roman" w:hAnsi="Times New Roman" w:cs="Times New Roman"/>
          <w:sz w:val="24"/>
          <w:szCs w:val="24"/>
          <w:lang w:val="en-US"/>
        </w:rPr>
        <w:t>, 132(2), 245-259.</w:t>
      </w:r>
    </w:p>
    <w:p w14:paraId="57AF85BE"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European Commission. (2011). </w:t>
      </w:r>
      <w:r w:rsidRPr="002C24A8">
        <w:rPr>
          <w:rFonts w:ascii="Times New Roman" w:hAnsi="Times New Roman" w:cs="Times New Roman"/>
          <w:i/>
          <w:sz w:val="24"/>
          <w:szCs w:val="24"/>
          <w:lang w:val="en-US"/>
        </w:rPr>
        <w:t>Towards a greater understanding of the changing role of business in society</w:t>
      </w:r>
      <w:r w:rsidRPr="002C24A8">
        <w:rPr>
          <w:rFonts w:ascii="Times New Roman" w:hAnsi="Times New Roman" w:cs="Times New Roman"/>
          <w:sz w:val="24"/>
          <w:szCs w:val="24"/>
          <w:lang w:val="en-US"/>
        </w:rPr>
        <w:t>. Luxembourg, Belgium: General Directorate for Research and Innovation, Socio-economic Sciences and Humanities.</w:t>
      </w:r>
    </w:p>
    <w:p w14:paraId="03AAA930"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Farrell, M.J. (1957). The measurement of productive efficiency. </w:t>
      </w:r>
      <w:r w:rsidRPr="002C24A8">
        <w:rPr>
          <w:rFonts w:ascii="Times New Roman" w:hAnsi="Times New Roman" w:cs="Times New Roman"/>
          <w:i/>
          <w:sz w:val="24"/>
          <w:szCs w:val="24"/>
          <w:lang w:val="en-US"/>
        </w:rPr>
        <w:t>Journal of the Royal Statistical Society</w:t>
      </w:r>
      <w:r w:rsidRPr="002C24A8">
        <w:rPr>
          <w:rFonts w:ascii="Times New Roman" w:hAnsi="Times New Roman" w:cs="Times New Roman"/>
          <w:sz w:val="24"/>
          <w:szCs w:val="24"/>
          <w:lang w:val="en-US"/>
        </w:rPr>
        <w:t>, 120 (3), 253-290.</w:t>
      </w:r>
    </w:p>
    <w:p w14:paraId="45293DC6"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Fatemi, A., Fooladi, I., &amp; Tehranian, H. (2015). Valuation effects of corporate social responsibility. </w:t>
      </w:r>
      <w:r w:rsidRPr="002C24A8">
        <w:rPr>
          <w:rFonts w:ascii="Times New Roman" w:hAnsi="Times New Roman" w:cs="Times New Roman"/>
          <w:i/>
          <w:sz w:val="24"/>
          <w:szCs w:val="24"/>
          <w:lang w:val="en-US"/>
        </w:rPr>
        <w:t>Journal of Banking &amp; Finance</w:t>
      </w:r>
      <w:r w:rsidRPr="002C24A8">
        <w:rPr>
          <w:rFonts w:ascii="Times New Roman" w:hAnsi="Times New Roman" w:cs="Times New Roman"/>
          <w:sz w:val="24"/>
          <w:szCs w:val="24"/>
          <w:lang w:val="en-US"/>
        </w:rPr>
        <w:t>, 59, 182-192.</w:t>
      </w:r>
    </w:p>
    <w:p w14:paraId="5A33BCA1" w14:textId="77777777" w:rsidR="009E0A9B" w:rsidRPr="002C24A8" w:rsidRDefault="009E0A9B" w:rsidP="009E0A9B">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Ferauge, P. (2013). The complementarity of corporate social responsibility and innovation: Evidence from Belgian firms. </w:t>
      </w:r>
      <w:r w:rsidRPr="002C24A8">
        <w:rPr>
          <w:rFonts w:ascii="Times New Roman" w:hAnsi="Times New Roman" w:cs="Times New Roman"/>
          <w:i/>
          <w:sz w:val="24"/>
          <w:szCs w:val="24"/>
          <w:lang w:val="en-US"/>
        </w:rPr>
        <w:t>Global Journal of Business Research</w:t>
      </w:r>
      <w:r w:rsidRPr="002C24A8">
        <w:rPr>
          <w:rFonts w:ascii="Times New Roman" w:hAnsi="Times New Roman" w:cs="Times New Roman"/>
          <w:sz w:val="24"/>
          <w:szCs w:val="24"/>
          <w:lang w:val="en-US"/>
        </w:rPr>
        <w:t>, 7(5), 99–113.</w:t>
      </w:r>
    </w:p>
    <w:p w14:paraId="0DD85551"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Ferrell, A., Liang, H., &amp; Renneboog, L. (2016). Socially responsible firms. </w:t>
      </w:r>
      <w:r w:rsidRPr="002C24A8">
        <w:rPr>
          <w:rFonts w:ascii="Times New Roman" w:hAnsi="Times New Roman" w:cs="Times New Roman"/>
          <w:i/>
          <w:sz w:val="24"/>
          <w:szCs w:val="24"/>
          <w:lang w:val="en-US"/>
        </w:rPr>
        <w:t>Journal of Financial Economics</w:t>
      </w:r>
      <w:r w:rsidRPr="002C24A8">
        <w:rPr>
          <w:rFonts w:ascii="Times New Roman" w:hAnsi="Times New Roman" w:cs="Times New Roman"/>
          <w:sz w:val="24"/>
          <w:szCs w:val="24"/>
          <w:lang w:val="en-US"/>
        </w:rPr>
        <w:t>, 122(3), 585-606.</w:t>
      </w:r>
    </w:p>
    <w:p w14:paraId="3F4DBC53" w14:textId="77777777" w:rsidR="009E0A9B" w:rsidRPr="002C24A8" w:rsidRDefault="009E0A9B" w:rsidP="00E11D5D">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Forsman, H. (2011). Innovation capacity and innovation development in small enterprises. A comparison between the manufacturing and service sectors. </w:t>
      </w:r>
      <w:r w:rsidRPr="002C24A8">
        <w:rPr>
          <w:rFonts w:ascii="Times New Roman" w:hAnsi="Times New Roman" w:cs="Times New Roman"/>
          <w:i/>
          <w:iCs/>
          <w:sz w:val="24"/>
          <w:szCs w:val="24"/>
          <w:lang w:val="en-US"/>
        </w:rPr>
        <w:t>Research Policy</w:t>
      </w:r>
      <w:r w:rsidRPr="002C24A8">
        <w:rPr>
          <w:rFonts w:ascii="Times New Roman" w:hAnsi="Times New Roman" w:cs="Times New Roman"/>
          <w:sz w:val="24"/>
          <w:szCs w:val="24"/>
          <w:lang w:val="en-US"/>
        </w:rPr>
        <w:t xml:space="preserve">, </w:t>
      </w:r>
      <w:r w:rsidRPr="002C24A8">
        <w:rPr>
          <w:rFonts w:ascii="Times New Roman" w:hAnsi="Times New Roman" w:cs="Times New Roman"/>
          <w:i/>
          <w:iCs/>
          <w:sz w:val="24"/>
          <w:szCs w:val="24"/>
          <w:lang w:val="en-US"/>
        </w:rPr>
        <w:t>40</w:t>
      </w:r>
      <w:r w:rsidRPr="002C24A8">
        <w:rPr>
          <w:rFonts w:ascii="Times New Roman" w:hAnsi="Times New Roman" w:cs="Times New Roman"/>
          <w:sz w:val="24"/>
          <w:szCs w:val="24"/>
          <w:lang w:val="en-US"/>
        </w:rPr>
        <w:t>(5), 739-750.</w:t>
      </w:r>
    </w:p>
    <w:p w14:paraId="243E82F6" w14:textId="77777777" w:rsidR="009E0A9B" w:rsidRPr="002C24A8" w:rsidRDefault="009E0A9B" w:rsidP="0096227F">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Freeman, R. E. (1984). </w:t>
      </w:r>
      <w:r w:rsidRPr="002C24A8">
        <w:rPr>
          <w:rFonts w:ascii="Times New Roman" w:hAnsi="Times New Roman" w:cs="Times New Roman"/>
          <w:i/>
          <w:sz w:val="24"/>
          <w:szCs w:val="24"/>
          <w:lang w:val="en-US"/>
        </w:rPr>
        <w:t>Strategic management: A stakeholder approach.</w:t>
      </w:r>
      <w:r w:rsidRPr="002C24A8">
        <w:rPr>
          <w:rFonts w:ascii="Times New Roman" w:hAnsi="Times New Roman" w:cs="Times New Roman"/>
          <w:sz w:val="24"/>
          <w:szCs w:val="24"/>
          <w:lang w:val="en-US"/>
        </w:rPr>
        <w:t xml:space="preserve"> Boston: Pitman </w:t>
      </w:r>
    </w:p>
    <w:p w14:paraId="0D32E3CC"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lastRenderedPageBreak/>
        <w:t xml:space="preserve">Freeman, R. E., Wicks, A. C., &amp; Parmar, B. (2004). Stakeholder theory and the corporate objective revisited. </w:t>
      </w:r>
      <w:r w:rsidRPr="002C24A8">
        <w:rPr>
          <w:rFonts w:ascii="Times New Roman" w:hAnsi="Times New Roman" w:cs="Times New Roman"/>
          <w:i/>
          <w:sz w:val="24"/>
          <w:szCs w:val="24"/>
          <w:lang w:val="en-US"/>
        </w:rPr>
        <w:t>Organization Science</w:t>
      </w:r>
      <w:r w:rsidRPr="002C24A8">
        <w:rPr>
          <w:rFonts w:ascii="Times New Roman" w:hAnsi="Times New Roman" w:cs="Times New Roman"/>
          <w:sz w:val="24"/>
          <w:szCs w:val="24"/>
          <w:lang w:val="en-US"/>
        </w:rPr>
        <w:t>, 15(3), 364-369.</w:t>
      </w:r>
    </w:p>
    <w:p w14:paraId="7459C712" w14:textId="77777777" w:rsidR="009E0A9B" w:rsidRPr="002C24A8" w:rsidRDefault="009E0A9B" w:rsidP="00303192">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Freeman, R.E., Harrison, J., Wicks, A., Parmar, B., De Colle, S. (2010). </w:t>
      </w:r>
      <w:r w:rsidRPr="002C24A8">
        <w:rPr>
          <w:rFonts w:ascii="Times New Roman" w:hAnsi="Times New Roman" w:cs="Times New Roman"/>
          <w:i/>
          <w:sz w:val="24"/>
          <w:szCs w:val="24"/>
          <w:lang w:val="en-US"/>
        </w:rPr>
        <w:t>Stakeholder Theory: the State of the Art</w:t>
      </w:r>
      <w:r w:rsidRPr="002C24A8">
        <w:rPr>
          <w:rFonts w:ascii="Times New Roman" w:hAnsi="Times New Roman" w:cs="Times New Roman"/>
          <w:sz w:val="24"/>
          <w:szCs w:val="24"/>
          <w:lang w:val="en-US"/>
        </w:rPr>
        <w:t>. Oxford University Press, Oxford.</w:t>
      </w:r>
    </w:p>
    <w:p w14:paraId="3337060F" w14:textId="77777777" w:rsidR="009E0A9B" w:rsidRPr="002C24A8" w:rsidRDefault="009E0A9B" w:rsidP="00E11D5D">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de-DE"/>
        </w:rPr>
        <w:t xml:space="preserve">Furman, J. L., Porter, M. E., &amp; Stern, S. (2002). </w:t>
      </w:r>
      <w:r w:rsidRPr="002C24A8">
        <w:rPr>
          <w:rFonts w:ascii="Times New Roman" w:hAnsi="Times New Roman" w:cs="Times New Roman"/>
          <w:sz w:val="24"/>
          <w:szCs w:val="24"/>
          <w:lang w:val="en-US"/>
        </w:rPr>
        <w:t xml:space="preserve">The determinants of national innovative capacity. </w:t>
      </w:r>
      <w:r w:rsidRPr="002C24A8">
        <w:rPr>
          <w:rFonts w:ascii="Times New Roman" w:hAnsi="Times New Roman" w:cs="Times New Roman"/>
          <w:i/>
          <w:iCs/>
          <w:sz w:val="24"/>
          <w:szCs w:val="24"/>
          <w:lang w:val="en-US"/>
        </w:rPr>
        <w:t>Research Policy</w:t>
      </w:r>
      <w:r w:rsidRPr="002C24A8">
        <w:rPr>
          <w:rFonts w:ascii="Times New Roman" w:hAnsi="Times New Roman" w:cs="Times New Roman"/>
          <w:sz w:val="24"/>
          <w:szCs w:val="24"/>
          <w:lang w:val="en-US"/>
        </w:rPr>
        <w:t xml:space="preserve">, </w:t>
      </w:r>
      <w:r w:rsidRPr="002C24A8">
        <w:rPr>
          <w:rFonts w:ascii="Times New Roman" w:hAnsi="Times New Roman" w:cs="Times New Roman"/>
          <w:i/>
          <w:iCs/>
          <w:sz w:val="24"/>
          <w:szCs w:val="24"/>
          <w:lang w:val="en-US"/>
        </w:rPr>
        <w:t>31</w:t>
      </w:r>
      <w:r w:rsidRPr="002C24A8">
        <w:rPr>
          <w:rFonts w:ascii="Times New Roman" w:hAnsi="Times New Roman" w:cs="Times New Roman"/>
          <w:sz w:val="24"/>
          <w:szCs w:val="24"/>
          <w:lang w:val="en-US"/>
        </w:rPr>
        <w:t>(6), 899-933.</w:t>
      </w:r>
    </w:p>
    <w:p w14:paraId="60F0457D"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rPr>
        <w:t xml:space="preserve">Gillan, S., Hartzell, J. C., Koch, A., &amp; Starks, L. T. (2010). </w:t>
      </w:r>
      <w:r w:rsidRPr="002C24A8">
        <w:rPr>
          <w:rFonts w:ascii="Times New Roman" w:hAnsi="Times New Roman" w:cs="Times New Roman"/>
          <w:sz w:val="24"/>
          <w:szCs w:val="24"/>
          <w:lang w:val="en-US"/>
        </w:rPr>
        <w:t xml:space="preserve">Firms’ environmental, social and governance (ESG) choices, performance and managerial motivation. Unpublished working paper, available at: </w:t>
      </w:r>
      <w:hyperlink r:id="rId39" w:history="1">
        <w:r w:rsidRPr="002C24A8">
          <w:rPr>
            <w:rStyle w:val="Hyperlink"/>
            <w:rFonts w:ascii="Times New Roman" w:hAnsi="Times New Roman" w:cs="Times New Roman"/>
            <w:sz w:val="24"/>
            <w:szCs w:val="24"/>
            <w:lang w:val="en-US"/>
          </w:rPr>
          <w:t>http://www.business.pitt.edu/faculty/papers/koch3.pdf</w:t>
        </w:r>
      </w:hyperlink>
      <w:r w:rsidRPr="002C24A8">
        <w:rPr>
          <w:rFonts w:ascii="Times New Roman" w:hAnsi="Times New Roman" w:cs="Times New Roman"/>
          <w:sz w:val="24"/>
          <w:szCs w:val="24"/>
          <w:lang w:val="en-US"/>
        </w:rPr>
        <w:t>. Accessed May, 03 2017.</w:t>
      </w:r>
    </w:p>
    <w:p w14:paraId="7CA6B6A8"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Griffin, J.J., &amp; Mahon, J.F. (1997). The corporate social performance and corporate financial performance debate: Twenty-five years of incomparable research. </w:t>
      </w:r>
      <w:r w:rsidRPr="002C24A8">
        <w:rPr>
          <w:rFonts w:ascii="Times New Roman" w:hAnsi="Times New Roman" w:cs="Times New Roman"/>
          <w:i/>
          <w:sz w:val="24"/>
          <w:szCs w:val="24"/>
          <w:lang w:val="en-US"/>
        </w:rPr>
        <w:t>Business &amp; Society,</w:t>
      </w:r>
      <w:r w:rsidRPr="002C24A8">
        <w:rPr>
          <w:rFonts w:ascii="Times New Roman" w:hAnsi="Times New Roman" w:cs="Times New Roman"/>
          <w:sz w:val="24"/>
          <w:szCs w:val="24"/>
          <w:lang w:val="en-US"/>
        </w:rPr>
        <w:t xml:space="preserve"> 36</w:t>
      </w:r>
      <w:r w:rsidRPr="002C24A8" w:rsidDel="003B5822">
        <w:rPr>
          <w:rFonts w:ascii="Times New Roman" w:hAnsi="Times New Roman" w:cs="Times New Roman"/>
          <w:sz w:val="24"/>
          <w:szCs w:val="24"/>
          <w:lang w:val="en-US"/>
        </w:rPr>
        <w:t xml:space="preserve"> </w:t>
      </w:r>
      <w:r w:rsidRPr="002C24A8">
        <w:rPr>
          <w:rFonts w:ascii="Times New Roman" w:hAnsi="Times New Roman" w:cs="Times New Roman"/>
          <w:sz w:val="24"/>
          <w:szCs w:val="24"/>
          <w:lang w:val="en-US"/>
        </w:rPr>
        <w:t>(1), 5-31.</w:t>
      </w:r>
    </w:p>
    <w:p w14:paraId="22BA3A9A" w14:textId="77777777" w:rsidR="009E0A9B" w:rsidRPr="002C24A8" w:rsidRDefault="009E0A9B" w:rsidP="00E11D5D">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Guan, J.C., Yam, R.C., Mok, C.K., &amp; Ma, N. (2006). A study of the relationship between competitiveness and technological innovation capability based on DEA models. </w:t>
      </w:r>
      <w:r w:rsidRPr="002C24A8">
        <w:rPr>
          <w:rFonts w:ascii="Times New Roman" w:hAnsi="Times New Roman" w:cs="Times New Roman"/>
          <w:i/>
          <w:iCs/>
          <w:sz w:val="24"/>
          <w:szCs w:val="24"/>
          <w:lang w:val="en-US"/>
        </w:rPr>
        <w:t>European Journal of Operational Research</w:t>
      </w:r>
      <w:r w:rsidRPr="002C24A8">
        <w:rPr>
          <w:rFonts w:ascii="Times New Roman" w:hAnsi="Times New Roman" w:cs="Times New Roman"/>
          <w:sz w:val="24"/>
          <w:szCs w:val="24"/>
          <w:lang w:val="en-US"/>
        </w:rPr>
        <w:t xml:space="preserve">, </w:t>
      </w:r>
      <w:r w:rsidRPr="002C24A8">
        <w:rPr>
          <w:rFonts w:ascii="Times New Roman" w:hAnsi="Times New Roman" w:cs="Times New Roman"/>
          <w:i/>
          <w:iCs/>
          <w:sz w:val="24"/>
          <w:szCs w:val="24"/>
          <w:lang w:val="en-US"/>
        </w:rPr>
        <w:t xml:space="preserve">170 </w:t>
      </w:r>
      <w:r w:rsidRPr="002C24A8">
        <w:rPr>
          <w:rFonts w:ascii="Times New Roman" w:hAnsi="Times New Roman" w:cs="Times New Roman"/>
          <w:sz w:val="24"/>
          <w:szCs w:val="24"/>
          <w:lang w:val="en-US"/>
        </w:rPr>
        <w:t>(3), 971-986.</w:t>
      </w:r>
    </w:p>
    <w:p w14:paraId="5D66EB41"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Halkos, G., &amp; Skouloudis, A. (2018). Corporate social responsibility and innovative capacity: Intersection in a macro-level perspective. </w:t>
      </w:r>
      <w:r w:rsidRPr="002C24A8">
        <w:rPr>
          <w:rFonts w:ascii="Times New Roman" w:hAnsi="Times New Roman" w:cs="Times New Roman"/>
          <w:i/>
          <w:sz w:val="24"/>
          <w:szCs w:val="24"/>
          <w:lang w:val="en-US"/>
        </w:rPr>
        <w:t>Journal of Cleaner Production,</w:t>
      </w:r>
      <w:r w:rsidRPr="002C24A8">
        <w:rPr>
          <w:rFonts w:ascii="Times New Roman" w:hAnsi="Times New Roman" w:cs="Times New Roman"/>
          <w:sz w:val="24"/>
          <w:szCs w:val="24"/>
          <w:lang w:val="en-US"/>
        </w:rPr>
        <w:t xml:space="preserve"> 182, 291-300.</w:t>
      </w:r>
    </w:p>
    <w:p w14:paraId="505BF720"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Hall, P., Racine, J., &amp; Li, Q. (2004). Cross-validation and the estimation of conditional probability densities. </w:t>
      </w:r>
      <w:r w:rsidRPr="002C24A8">
        <w:rPr>
          <w:rFonts w:ascii="Times New Roman" w:hAnsi="Times New Roman" w:cs="Times New Roman"/>
          <w:i/>
          <w:sz w:val="24"/>
          <w:szCs w:val="24"/>
          <w:lang w:val="en-US"/>
        </w:rPr>
        <w:t>Journal of the American Statistical Association</w:t>
      </w:r>
      <w:r w:rsidRPr="002C24A8">
        <w:rPr>
          <w:rFonts w:ascii="Times New Roman" w:hAnsi="Times New Roman" w:cs="Times New Roman"/>
          <w:sz w:val="24"/>
          <w:szCs w:val="24"/>
          <w:lang w:val="en-US"/>
        </w:rPr>
        <w:t>, 99(468), 1015-1026.</w:t>
      </w:r>
    </w:p>
    <w:p w14:paraId="732470A5" w14:textId="77777777" w:rsidR="009E0A9B" w:rsidRPr="002C24A8" w:rsidRDefault="009E0A9B" w:rsidP="00E11D5D">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lastRenderedPageBreak/>
        <w:t xml:space="preserve">Hamidi, S., Zandiatashbar, A., &amp; Bonakdar, A. (2018). The relationship between regional compactness and regional innovation capacity (RIC): Empirical evidence from a national study. </w:t>
      </w:r>
      <w:r w:rsidRPr="002C24A8">
        <w:rPr>
          <w:rFonts w:ascii="Times New Roman" w:hAnsi="Times New Roman" w:cs="Times New Roman"/>
          <w:i/>
          <w:iCs/>
          <w:sz w:val="24"/>
          <w:szCs w:val="24"/>
          <w:lang w:val="en-US"/>
        </w:rPr>
        <w:t>Technological Forecasting and Social Change</w:t>
      </w:r>
      <w:r w:rsidRPr="002C24A8">
        <w:rPr>
          <w:rFonts w:ascii="Times New Roman" w:hAnsi="Times New Roman" w:cs="Times New Roman"/>
          <w:sz w:val="24"/>
          <w:szCs w:val="24"/>
          <w:lang w:val="en-US"/>
        </w:rPr>
        <w:t xml:space="preserve">. </w:t>
      </w:r>
      <w:hyperlink r:id="rId40" w:history="1">
        <w:r w:rsidRPr="002C24A8">
          <w:rPr>
            <w:rStyle w:val="Hyperlink"/>
            <w:rFonts w:ascii="Times New Roman" w:hAnsi="Times New Roman" w:cs="Times New Roman"/>
            <w:sz w:val="24"/>
            <w:szCs w:val="24"/>
            <w:lang w:val="en-US"/>
          </w:rPr>
          <w:t>https://doi.org/10.1016/j.techfore.2018.07.026</w:t>
        </w:r>
      </w:hyperlink>
      <w:r w:rsidRPr="002C24A8">
        <w:rPr>
          <w:rFonts w:ascii="Times New Roman" w:hAnsi="Times New Roman" w:cs="Times New Roman"/>
          <w:sz w:val="24"/>
          <w:szCs w:val="24"/>
          <w:lang w:val="en-US"/>
        </w:rPr>
        <w:t>.</w:t>
      </w:r>
    </w:p>
    <w:p w14:paraId="58026AF7"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Hart, S.L. (1995). A natural-resource-based view of the firm. </w:t>
      </w:r>
      <w:r w:rsidRPr="002C24A8">
        <w:rPr>
          <w:rFonts w:ascii="Times New Roman" w:hAnsi="Times New Roman" w:cs="Times New Roman"/>
          <w:i/>
          <w:sz w:val="24"/>
          <w:szCs w:val="24"/>
          <w:lang w:val="en-US"/>
        </w:rPr>
        <w:t>Academy of Management Review</w:t>
      </w:r>
      <w:r w:rsidRPr="002C24A8">
        <w:rPr>
          <w:rFonts w:ascii="Times New Roman" w:hAnsi="Times New Roman" w:cs="Times New Roman"/>
          <w:sz w:val="24"/>
          <w:szCs w:val="24"/>
          <w:lang w:val="en-US"/>
        </w:rPr>
        <w:t>, 20(4), 986-1014.</w:t>
      </w:r>
    </w:p>
    <w:p w14:paraId="6FCE7DD7"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Herrera, M.E.B. (2015). Creating competitive advantage by institutionalizing corporate social innovation. </w:t>
      </w:r>
      <w:r w:rsidRPr="002C24A8">
        <w:rPr>
          <w:rFonts w:ascii="Times New Roman" w:hAnsi="Times New Roman" w:cs="Times New Roman"/>
          <w:i/>
          <w:sz w:val="24"/>
          <w:szCs w:val="24"/>
          <w:lang w:val="en-US"/>
        </w:rPr>
        <w:t>Journal of Business Research</w:t>
      </w:r>
      <w:r w:rsidRPr="002C24A8">
        <w:rPr>
          <w:rFonts w:ascii="Times New Roman" w:hAnsi="Times New Roman" w:cs="Times New Roman"/>
          <w:sz w:val="24"/>
          <w:szCs w:val="24"/>
          <w:lang w:val="en-US"/>
        </w:rPr>
        <w:t>, 68, 1468–1474.</w:t>
      </w:r>
    </w:p>
    <w:p w14:paraId="5FBE8176" w14:textId="77777777" w:rsidR="009E0A9B" w:rsidRPr="002C24A8" w:rsidRDefault="009E0A9B" w:rsidP="00E11D5D">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Hess, D. (2001). Regulating corporate social performance: A new look at social accounting, auditing, and reporting. </w:t>
      </w:r>
      <w:r w:rsidRPr="002C24A8">
        <w:rPr>
          <w:rFonts w:ascii="Times New Roman" w:hAnsi="Times New Roman" w:cs="Times New Roman"/>
          <w:i/>
          <w:sz w:val="24"/>
          <w:szCs w:val="24"/>
          <w:lang w:val="en-US"/>
        </w:rPr>
        <w:t>Business Ethics Quarterl</w:t>
      </w:r>
      <w:r w:rsidRPr="002C24A8">
        <w:rPr>
          <w:rFonts w:ascii="Times New Roman" w:hAnsi="Times New Roman" w:cs="Times New Roman"/>
          <w:sz w:val="24"/>
          <w:szCs w:val="24"/>
          <w:lang w:val="en-US"/>
        </w:rPr>
        <w:t>y, 11(2), 307-330.</w:t>
      </w:r>
    </w:p>
    <w:p w14:paraId="2A797C7C" w14:textId="77777777" w:rsidR="009E0A9B" w:rsidRPr="002C24A8" w:rsidRDefault="009E0A9B" w:rsidP="00E11D5D">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Hirsch‐Kreinsen, H. (2008). ‘Low‐Tech’ Innovations. </w:t>
      </w:r>
      <w:r w:rsidRPr="002C24A8">
        <w:rPr>
          <w:rFonts w:ascii="Times New Roman" w:hAnsi="Times New Roman" w:cs="Times New Roman"/>
          <w:i/>
          <w:iCs/>
          <w:sz w:val="24"/>
          <w:szCs w:val="24"/>
          <w:lang w:val="en-US"/>
        </w:rPr>
        <w:t>Industry and Innovation</w:t>
      </w:r>
      <w:r w:rsidRPr="002C24A8">
        <w:rPr>
          <w:rFonts w:ascii="Times New Roman" w:hAnsi="Times New Roman" w:cs="Times New Roman"/>
          <w:sz w:val="24"/>
          <w:szCs w:val="24"/>
          <w:lang w:val="en-US"/>
        </w:rPr>
        <w:t xml:space="preserve">, </w:t>
      </w:r>
      <w:r w:rsidRPr="002C24A8">
        <w:rPr>
          <w:rFonts w:ascii="Times New Roman" w:hAnsi="Times New Roman" w:cs="Times New Roman"/>
          <w:i/>
          <w:iCs/>
          <w:sz w:val="24"/>
          <w:szCs w:val="24"/>
          <w:lang w:val="en-US"/>
        </w:rPr>
        <w:t>15</w:t>
      </w:r>
      <w:r w:rsidRPr="002C24A8">
        <w:rPr>
          <w:rFonts w:ascii="Times New Roman" w:hAnsi="Times New Roman" w:cs="Times New Roman"/>
          <w:sz w:val="24"/>
          <w:szCs w:val="24"/>
          <w:lang w:val="en-US"/>
        </w:rPr>
        <w:t>(1), 19-43.</w:t>
      </w:r>
    </w:p>
    <w:p w14:paraId="11A97B1D"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Hull, C. E., &amp; Rothenberg, S. (2008). Firm performance: The interactions of corporate social performance with innovation and industry differentiation. </w:t>
      </w:r>
      <w:r w:rsidRPr="002C24A8">
        <w:rPr>
          <w:rFonts w:ascii="Times New Roman" w:hAnsi="Times New Roman" w:cs="Times New Roman"/>
          <w:i/>
          <w:sz w:val="24"/>
          <w:szCs w:val="24"/>
          <w:lang w:val="en-US"/>
        </w:rPr>
        <w:t>Strategic Management Journal</w:t>
      </w:r>
      <w:r w:rsidRPr="002C24A8">
        <w:rPr>
          <w:rFonts w:ascii="Times New Roman" w:hAnsi="Times New Roman" w:cs="Times New Roman"/>
          <w:sz w:val="24"/>
          <w:szCs w:val="24"/>
          <w:lang w:val="en-US"/>
        </w:rPr>
        <w:t>, 29(7), 781-789.</w:t>
      </w:r>
    </w:p>
    <w:p w14:paraId="2DE4C7C0" w14:textId="77777777" w:rsidR="009E0A9B" w:rsidRPr="002C24A8" w:rsidDel="00516A15" w:rsidRDefault="009E0A9B" w:rsidP="00E11D5D">
      <w:pPr>
        <w:spacing w:line="480" w:lineRule="auto"/>
        <w:ind w:left="360"/>
        <w:jc w:val="both"/>
        <w:rPr>
          <w:rFonts w:ascii="Times New Roman" w:hAnsi="Times New Roman" w:cs="Times New Roman"/>
          <w:sz w:val="24"/>
          <w:szCs w:val="24"/>
          <w:lang w:val="en-US"/>
        </w:rPr>
      </w:pPr>
      <w:r w:rsidRPr="002C24A8" w:rsidDel="00516A15">
        <w:rPr>
          <w:rFonts w:ascii="Times New Roman" w:hAnsi="Times New Roman" w:cs="Times New Roman"/>
          <w:sz w:val="24"/>
          <w:szCs w:val="24"/>
          <w:lang w:val="en-US"/>
        </w:rPr>
        <w:t xml:space="preserve">Hull, C. E., &amp; Rothenberg, S. (2008). Firm performance: The interactions of corporate social performance with innovation and industry differentiation. </w:t>
      </w:r>
      <w:r w:rsidRPr="002C24A8" w:rsidDel="00516A15">
        <w:rPr>
          <w:rFonts w:ascii="Times New Roman" w:hAnsi="Times New Roman" w:cs="Times New Roman"/>
          <w:i/>
          <w:sz w:val="24"/>
          <w:szCs w:val="24"/>
          <w:lang w:val="en-US"/>
        </w:rPr>
        <w:t>Strategic Management Journal</w:t>
      </w:r>
      <w:r w:rsidRPr="002C24A8" w:rsidDel="00516A15">
        <w:rPr>
          <w:rFonts w:ascii="Times New Roman" w:hAnsi="Times New Roman" w:cs="Times New Roman"/>
          <w:sz w:val="24"/>
          <w:szCs w:val="24"/>
          <w:lang w:val="en-US"/>
        </w:rPr>
        <w:t>, 29 (7), 781-789.</w:t>
      </w:r>
    </w:p>
    <w:p w14:paraId="3CCFDDC7" w14:textId="77777777" w:rsidR="009E0A9B" w:rsidRPr="002C24A8" w:rsidRDefault="009E0A9B" w:rsidP="00E11D5D">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Husted, B. W., &amp; de Sousa-Filho, J. M. (2018). Board structure and environmental, social, and governance disclosure in Latin America. Journal of Business Research. </w:t>
      </w:r>
      <w:hyperlink r:id="rId41" w:history="1">
        <w:r w:rsidRPr="002C24A8">
          <w:rPr>
            <w:rStyle w:val="Hyperlink"/>
            <w:rFonts w:ascii="Times New Roman" w:hAnsi="Times New Roman" w:cs="Times New Roman"/>
            <w:sz w:val="24"/>
            <w:szCs w:val="24"/>
            <w:lang w:val="en-US"/>
          </w:rPr>
          <w:t>https://doi.org/10.1016/j.jbusres.2018.01.017</w:t>
        </w:r>
      </w:hyperlink>
    </w:p>
    <w:p w14:paraId="0D7BEAA5"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lastRenderedPageBreak/>
        <w:t xml:space="preserve">Isaksson, L. E., &amp; Woodside, A. G. (2016). Modeling firm heterogeneity in corporate social performance and financial performance. </w:t>
      </w:r>
      <w:r w:rsidRPr="002C24A8">
        <w:rPr>
          <w:rFonts w:ascii="Times New Roman" w:hAnsi="Times New Roman" w:cs="Times New Roman"/>
          <w:i/>
          <w:sz w:val="24"/>
          <w:szCs w:val="24"/>
          <w:lang w:val="en-US"/>
        </w:rPr>
        <w:t>Journal of Business Research</w:t>
      </w:r>
      <w:r w:rsidRPr="002C24A8">
        <w:rPr>
          <w:rFonts w:ascii="Times New Roman" w:hAnsi="Times New Roman" w:cs="Times New Roman"/>
          <w:sz w:val="24"/>
          <w:szCs w:val="24"/>
          <w:lang w:val="en-US"/>
        </w:rPr>
        <w:t>, 69 (9), 3285-3314.</w:t>
      </w:r>
    </w:p>
    <w:p w14:paraId="65E57D21"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Jaffe, A. B., &amp; Palmer, K. (1997). Environmental regulation and innovation: a panel data study. </w:t>
      </w:r>
      <w:r w:rsidRPr="002C24A8">
        <w:rPr>
          <w:rFonts w:ascii="Times New Roman" w:hAnsi="Times New Roman" w:cs="Times New Roman"/>
          <w:i/>
          <w:sz w:val="24"/>
          <w:szCs w:val="24"/>
          <w:lang w:val="en-US"/>
        </w:rPr>
        <w:t>Review of Economics and Statistics</w:t>
      </w:r>
      <w:r w:rsidRPr="002C24A8">
        <w:rPr>
          <w:rFonts w:ascii="Times New Roman" w:hAnsi="Times New Roman" w:cs="Times New Roman"/>
          <w:sz w:val="24"/>
          <w:szCs w:val="24"/>
          <w:lang w:val="en-US"/>
        </w:rPr>
        <w:t>, 79 (4), 610-619.</w:t>
      </w:r>
    </w:p>
    <w:p w14:paraId="2FFE35E1" w14:textId="77777777" w:rsidR="009E0A9B" w:rsidRPr="002C24A8" w:rsidRDefault="009E0A9B" w:rsidP="00E11D5D">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Jain, T., Aguilera, R. V., &amp; Jamali, D. (2017). Corporate stakeholder orientation in an emerging country context: A longitudinal cross industry analysis. </w:t>
      </w:r>
      <w:r w:rsidRPr="002C24A8">
        <w:rPr>
          <w:rFonts w:ascii="Times New Roman" w:hAnsi="Times New Roman" w:cs="Times New Roman"/>
          <w:i/>
          <w:iCs/>
          <w:sz w:val="24"/>
          <w:szCs w:val="24"/>
          <w:lang w:val="en-US"/>
        </w:rPr>
        <w:t>Journal of Business Ethics</w:t>
      </w:r>
      <w:r w:rsidRPr="002C24A8">
        <w:rPr>
          <w:rFonts w:ascii="Times New Roman" w:hAnsi="Times New Roman" w:cs="Times New Roman"/>
          <w:sz w:val="24"/>
          <w:szCs w:val="24"/>
          <w:lang w:val="en-US"/>
        </w:rPr>
        <w:t xml:space="preserve">, </w:t>
      </w:r>
      <w:r w:rsidRPr="002C24A8">
        <w:rPr>
          <w:rFonts w:ascii="Times New Roman" w:hAnsi="Times New Roman" w:cs="Times New Roman"/>
          <w:iCs/>
          <w:sz w:val="24"/>
          <w:szCs w:val="24"/>
          <w:lang w:val="en-US"/>
        </w:rPr>
        <w:t>143</w:t>
      </w:r>
      <w:r w:rsidRPr="002C24A8">
        <w:rPr>
          <w:rFonts w:ascii="Times New Roman" w:hAnsi="Times New Roman" w:cs="Times New Roman"/>
          <w:i/>
          <w:iCs/>
          <w:sz w:val="24"/>
          <w:szCs w:val="24"/>
          <w:lang w:val="en-US"/>
        </w:rPr>
        <w:t xml:space="preserve"> </w:t>
      </w:r>
      <w:r w:rsidRPr="002C24A8">
        <w:rPr>
          <w:rFonts w:ascii="Times New Roman" w:hAnsi="Times New Roman" w:cs="Times New Roman"/>
          <w:sz w:val="24"/>
          <w:szCs w:val="24"/>
          <w:lang w:val="en-US"/>
        </w:rPr>
        <w:t>(4), 701-719.</w:t>
      </w:r>
    </w:p>
    <w:p w14:paraId="4665B8E0" w14:textId="77777777" w:rsidR="009E0A9B" w:rsidRPr="002C24A8" w:rsidRDefault="009E0A9B" w:rsidP="005F6DD6">
      <w:pPr>
        <w:spacing w:line="480" w:lineRule="auto"/>
        <w:ind w:left="360"/>
        <w:jc w:val="both"/>
        <w:rPr>
          <w:rFonts w:ascii="Times New Roman" w:hAnsi="Times New Roman" w:cs="Times New Roman"/>
          <w:sz w:val="24"/>
          <w:szCs w:val="24"/>
          <w:lang w:val="de-DE"/>
        </w:rPr>
      </w:pPr>
      <w:r w:rsidRPr="002C24A8">
        <w:rPr>
          <w:rFonts w:ascii="Times New Roman" w:hAnsi="Times New Roman" w:cs="Times New Roman"/>
          <w:sz w:val="24"/>
          <w:szCs w:val="24"/>
          <w:lang w:val="en-US"/>
        </w:rPr>
        <w:t>Jansen, J.J.P., Van den Bosch, F.A.J.</w:t>
      </w:r>
      <w:r w:rsidRPr="002C24A8" w:rsidDel="003B5822">
        <w:rPr>
          <w:rFonts w:ascii="Times New Roman" w:hAnsi="Times New Roman" w:cs="Times New Roman"/>
          <w:sz w:val="24"/>
          <w:szCs w:val="24"/>
          <w:lang w:val="en-US"/>
        </w:rPr>
        <w:t xml:space="preserve">, </w:t>
      </w:r>
      <w:r w:rsidRPr="002C24A8">
        <w:rPr>
          <w:rFonts w:ascii="Times New Roman" w:hAnsi="Times New Roman" w:cs="Times New Roman"/>
          <w:sz w:val="24"/>
          <w:szCs w:val="24"/>
          <w:lang w:val="en-US"/>
        </w:rPr>
        <w:t>&amp;</w:t>
      </w:r>
      <w:r w:rsidRPr="002C24A8" w:rsidDel="003B5822">
        <w:rPr>
          <w:rFonts w:ascii="Times New Roman" w:hAnsi="Times New Roman" w:cs="Times New Roman"/>
          <w:sz w:val="24"/>
          <w:szCs w:val="24"/>
          <w:lang w:val="en-US"/>
        </w:rPr>
        <w:t xml:space="preserve"> </w:t>
      </w:r>
      <w:r w:rsidRPr="002C24A8">
        <w:rPr>
          <w:rFonts w:ascii="Times New Roman" w:hAnsi="Times New Roman" w:cs="Times New Roman"/>
          <w:sz w:val="24"/>
          <w:szCs w:val="24"/>
          <w:lang w:val="en-US"/>
        </w:rPr>
        <w:t xml:space="preserve">Volberda, H.W. (2005). Exploratory innovation, exploitative innovation, and ambidexterity: The impact of environmental and organizational antecedents. </w:t>
      </w:r>
      <w:r w:rsidRPr="002C24A8">
        <w:rPr>
          <w:rFonts w:ascii="Times New Roman" w:hAnsi="Times New Roman" w:cs="Times New Roman"/>
          <w:i/>
          <w:sz w:val="24"/>
          <w:szCs w:val="24"/>
          <w:lang w:val="de-DE"/>
        </w:rPr>
        <w:t>Schmalenbach Business Review,</w:t>
      </w:r>
      <w:r w:rsidRPr="002C24A8">
        <w:rPr>
          <w:rFonts w:ascii="Times New Roman" w:hAnsi="Times New Roman" w:cs="Times New Roman"/>
          <w:sz w:val="24"/>
          <w:szCs w:val="24"/>
          <w:lang w:val="de-DE"/>
        </w:rPr>
        <w:t xml:space="preserve"> 57 (4), 351-363.</w:t>
      </w:r>
    </w:p>
    <w:p w14:paraId="477255CC"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de-DE"/>
        </w:rPr>
        <w:t>Jansen, J.J.P.,</w:t>
      </w:r>
      <w:r w:rsidRPr="002C24A8" w:rsidDel="003B5822">
        <w:rPr>
          <w:rFonts w:ascii="Times New Roman" w:hAnsi="Times New Roman" w:cs="Times New Roman"/>
          <w:sz w:val="24"/>
          <w:szCs w:val="24"/>
          <w:lang w:val="de-DE"/>
        </w:rPr>
        <w:t xml:space="preserve"> </w:t>
      </w:r>
      <w:r w:rsidRPr="002C24A8">
        <w:rPr>
          <w:rFonts w:ascii="Times New Roman" w:hAnsi="Times New Roman" w:cs="Times New Roman"/>
          <w:sz w:val="24"/>
          <w:szCs w:val="24"/>
          <w:lang w:val="de-DE"/>
        </w:rPr>
        <w:t xml:space="preserve">Van den Bosch, F.A.J., Volberda, H.W. (2006). </w:t>
      </w:r>
      <w:r w:rsidRPr="002C24A8">
        <w:rPr>
          <w:rFonts w:ascii="Times New Roman" w:hAnsi="Times New Roman" w:cs="Times New Roman"/>
          <w:sz w:val="24"/>
          <w:szCs w:val="24"/>
          <w:lang w:val="en-US"/>
        </w:rPr>
        <w:t>Exploratory innovation, exploitative innovation, and performance: Effects of organizational antecedents and environmental moderators.</w:t>
      </w:r>
      <w:r w:rsidRPr="002C24A8" w:rsidDel="003B5822">
        <w:rPr>
          <w:rFonts w:ascii="Times New Roman" w:hAnsi="Times New Roman" w:cs="Times New Roman"/>
          <w:i/>
          <w:sz w:val="24"/>
          <w:szCs w:val="24"/>
          <w:lang w:val="en-US"/>
        </w:rPr>
        <w:t xml:space="preserve"> </w:t>
      </w:r>
      <w:r w:rsidRPr="002C24A8">
        <w:rPr>
          <w:rFonts w:ascii="Times New Roman" w:hAnsi="Times New Roman" w:cs="Times New Roman"/>
          <w:i/>
          <w:sz w:val="24"/>
          <w:szCs w:val="24"/>
          <w:lang w:val="en-US"/>
        </w:rPr>
        <w:t>Management Science,</w:t>
      </w:r>
      <w:r w:rsidRPr="002C24A8">
        <w:rPr>
          <w:rFonts w:ascii="Times New Roman" w:hAnsi="Times New Roman" w:cs="Times New Roman"/>
          <w:sz w:val="24"/>
          <w:szCs w:val="24"/>
          <w:lang w:val="en-US"/>
        </w:rPr>
        <w:t xml:space="preserve"> 52 (11), 1661-1674.</w:t>
      </w:r>
    </w:p>
    <w:p w14:paraId="08524695"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Jawahar, I. M., &amp; McLaughlin, G. L. (2001). Toward a descriptive stakeholder theory: An organizational life cycle approach. </w:t>
      </w:r>
      <w:r w:rsidRPr="002C24A8">
        <w:rPr>
          <w:rFonts w:ascii="Times New Roman" w:hAnsi="Times New Roman" w:cs="Times New Roman"/>
          <w:i/>
          <w:sz w:val="24"/>
          <w:szCs w:val="24"/>
          <w:lang w:val="en-US"/>
        </w:rPr>
        <w:t>Academy of Management Review</w:t>
      </w:r>
      <w:r w:rsidRPr="002C24A8">
        <w:rPr>
          <w:rFonts w:ascii="Times New Roman" w:hAnsi="Times New Roman" w:cs="Times New Roman"/>
          <w:sz w:val="24"/>
          <w:szCs w:val="24"/>
          <w:lang w:val="en-US"/>
        </w:rPr>
        <w:t>, 26(3), 397-414.</w:t>
      </w:r>
    </w:p>
    <w:p w14:paraId="576A82F1"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Jensen, M. C. (2001). Value maximization, stakeholder theory, and the corporate objective function. </w:t>
      </w:r>
      <w:r w:rsidRPr="002C24A8">
        <w:rPr>
          <w:rFonts w:ascii="Times New Roman" w:hAnsi="Times New Roman" w:cs="Times New Roman"/>
          <w:i/>
          <w:sz w:val="24"/>
          <w:szCs w:val="24"/>
          <w:lang w:val="en-US"/>
        </w:rPr>
        <w:t>Journal of Applied Corporate Finance</w:t>
      </w:r>
      <w:r w:rsidRPr="002C24A8">
        <w:rPr>
          <w:rFonts w:ascii="Times New Roman" w:hAnsi="Times New Roman" w:cs="Times New Roman"/>
          <w:sz w:val="24"/>
          <w:szCs w:val="24"/>
          <w:lang w:val="en-US"/>
        </w:rPr>
        <w:t>, 14(3), 8-21.</w:t>
      </w:r>
    </w:p>
    <w:p w14:paraId="2C2E35F6"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Jeong, S. O., Park, B. U., &amp; Simar, L. (2010). Nonparametric conditional efficiency measures: asymptotic properties. </w:t>
      </w:r>
      <w:r w:rsidRPr="002C24A8">
        <w:rPr>
          <w:rFonts w:ascii="Times New Roman" w:hAnsi="Times New Roman" w:cs="Times New Roman"/>
          <w:i/>
          <w:sz w:val="24"/>
          <w:szCs w:val="24"/>
          <w:lang w:val="en-US"/>
        </w:rPr>
        <w:t>Annals of Operations Research</w:t>
      </w:r>
      <w:r w:rsidRPr="002C24A8">
        <w:rPr>
          <w:rFonts w:ascii="Times New Roman" w:hAnsi="Times New Roman" w:cs="Times New Roman"/>
          <w:sz w:val="24"/>
          <w:szCs w:val="24"/>
          <w:lang w:val="en-US"/>
        </w:rPr>
        <w:t>, 173(1), 105-122.</w:t>
      </w:r>
    </w:p>
    <w:p w14:paraId="03D8F31D"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Jeong, S. O., Park, B. U., &amp; Simar, L. (2010). Nonparametric conditional efficiency measures: asymptotic properties. </w:t>
      </w:r>
      <w:r w:rsidRPr="002C24A8">
        <w:rPr>
          <w:rFonts w:ascii="Times New Roman" w:hAnsi="Times New Roman" w:cs="Times New Roman"/>
          <w:i/>
          <w:sz w:val="24"/>
          <w:szCs w:val="24"/>
          <w:lang w:val="en-US"/>
        </w:rPr>
        <w:t>Annals of Operations Research</w:t>
      </w:r>
      <w:r w:rsidRPr="002C24A8">
        <w:rPr>
          <w:rFonts w:ascii="Times New Roman" w:hAnsi="Times New Roman" w:cs="Times New Roman"/>
          <w:sz w:val="24"/>
          <w:szCs w:val="24"/>
          <w:lang w:val="en-US"/>
        </w:rPr>
        <w:t>, 173(1), 105-122.</w:t>
      </w:r>
    </w:p>
    <w:p w14:paraId="34F363B9"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lastRenderedPageBreak/>
        <w:t xml:space="preserve">Kemper, J., Schilke, O., Reimann, M., Wang, X., &amp; Brettel, M. (2013). Competition-motivated corporate social responsibility. </w:t>
      </w:r>
      <w:r w:rsidRPr="002C24A8">
        <w:rPr>
          <w:rFonts w:ascii="Times New Roman" w:hAnsi="Times New Roman" w:cs="Times New Roman"/>
          <w:i/>
          <w:sz w:val="24"/>
          <w:szCs w:val="24"/>
          <w:lang w:val="en-US"/>
        </w:rPr>
        <w:t>Journal of Business Research</w:t>
      </w:r>
      <w:r w:rsidRPr="002C24A8">
        <w:rPr>
          <w:rFonts w:ascii="Times New Roman" w:hAnsi="Times New Roman" w:cs="Times New Roman"/>
          <w:sz w:val="24"/>
          <w:szCs w:val="24"/>
          <w:lang w:val="en-US"/>
        </w:rPr>
        <w:t>, 66 (10), 1954-1963.</w:t>
      </w:r>
    </w:p>
    <w:p w14:paraId="78456EEB" w14:textId="77777777" w:rsidR="009E0A9B" w:rsidRPr="002C24A8" w:rsidRDefault="009E0A9B" w:rsidP="00E11D5D">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Kinderman, D. (2011). ‘Free us up so we can be responsible!’ The co-evolution of Corporate Social Responsibility and neo-liberalism in the UK, 1977–2010. </w:t>
      </w:r>
      <w:r w:rsidRPr="002C24A8">
        <w:rPr>
          <w:rFonts w:ascii="Times New Roman" w:hAnsi="Times New Roman" w:cs="Times New Roman"/>
          <w:i/>
          <w:iCs/>
          <w:sz w:val="24"/>
          <w:szCs w:val="24"/>
          <w:lang w:val="en-US"/>
        </w:rPr>
        <w:t>Socio-Economic Review</w:t>
      </w:r>
      <w:r w:rsidRPr="002C24A8">
        <w:rPr>
          <w:rFonts w:ascii="Times New Roman" w:hAnsi="Times New Roman" w:cs="Times New Roman"/>
          <w:sz w:val="24"/>
          <w:szCs w:val="24"/>
          <w:lang w:val="en-US"/>
        </w:rPr>
        <w:t xml:space="preserve">, </w:t>
      </w:r>
      <w:r w:rsidRPr="002C24A8">
        <w:rPr>
          <w:rFonts w:ascii="Times New Roman" w:hAnsi="Times New Roman" w:cs="Times New Roman"/>
          <w:iCs/>
          <w:sz w:val="24"/>
          <w:szCs w:val="24"/>
          <w:lang w:val="en-US"/>
        </w:rPr>
        <w:t>10</w:t>
      </w:r>
      <w:r w:rsidRPr="002C24A8">
        <w:rPr>
          <w:rFonts w:ascii="Times New Roman" w:hAnsi="Times New Roman" w:cs="Times New Roman"/>
          <w:i/>
          <w:iCs/>
          <w:sz w:val="24"/>
          <w:szCs w:val="24"/>
          <w:lang w:val="en-US"/>
        </w:rPr>
        <w:t xml:space="preserve"> </w:t>
      </w:r>
      <w:r w:rsidRPr="002C24A8">
        <w:rPr>
          <w:rFonts w:ascii="Times New Roman" w:hAnsi="Times New Roman" w:cs="Times New Roman"/>
          <w:sz w:val="24"/>
          <w:szCs w:val="24"/>
          <w:lang w:val="en-US"/>
        </w:rPr>
        <w:t>(1), 29-57.</w:t>
      </w:r>
    </w:p>
    <w:p w14:paraId="1ABD2EDA" w14:textId="77777777" w:rsidR="009E0A9B" w:rsidRPr="002C24A8" w:rsidRDefault="009E0A9B" w:rsidP="00E11D5D">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Kirner, E., Kinkel, S., &amp; Jaeger, A. (2009). Innovation paths and the innovation performance of low-technology firms—An empirical analysis of German industry. </w:t>
      </w:r>
      <w:r w:rsidRPr="002C24A8">
        <w:rPr>
          <w:rFonts w:ascii="Times New Roman" w:hAnsi="Times New Roman" w:cs="Times New Roman"/>
          <w:i/>
          <w:iCs/>
          <w:sz w:val="24"/>
          <w:szCs w:val="24"/>
          <w:lang w:val="en-US"/>
        </w:rPr>
        <w:t>Research Policy</w:t>
      </w:r>
      <w:r w:rsidRPr="002C24A8">
        <w:rPr>
          <w:rFonts w:ascii="Times New Roman" w:hAnsi="Times New Roman" w:cs="Times New Roman"/>
          <w:sz w:val="24"/>
          <w:szCs w:val="24"/>
          <w:lang w:val="en-US"/>
        </w:rPr>
        <w:t xml:space="preserve">, </w:t>
      </w:r>
      <w:r w:rsidRPr="002C24A8">
        <w:rPr>
          <w:rFonts w:ascii="Times New Roman" w:hAnsi="Times New Roman" w:cs="Times New Roman"/>
          <w:iCs/>
          <w:sz w:val="24"/>
          <w:szCs w:val="24"/>
          <w:lang w:val="en-US"/>
        </w:rPr>
        <w:t>38</w:t>
      </w:r>
      <w:r w:rsidRPr="002C24A8">
        <w:rPr>
          <w:rFonts w:ascii="Times New Roman" w:hAnsi="Times New Roman" w:cs="Times New Roman"/>
          <w:sz w:val="24"/>
          <w:szCs w:val="24"/>
          <w:lang w:val="en-US"/>
        </w:rPr>
        <w:t xml:space="preserve"> (3), 447-458.</w:t>
      </w:r>
    </w:p>
    <w:p w14:paraId="66BB0FE0"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Kneip, A., Simar, L., &amp; Wilson, P. W. (2016). Testing hypotheses in nonparametric models of production. </w:t>
      </w:r>
      <w:r w:rsidRPr="002C24A8">
        <w:rPr>
          <w:rFonts w:ascii="Times New Roman" w:hAnsi="Times New Roman" w:cs="Times New Roman"/>
          <w:i/>
          <w:sz w:val="24"/>
          <w:szCs w:val="24"/>
          <w:lang w:val="en-US"/>
        </w:rPr>
        <w:t>Journal of Business &amp; Economic Statistics</w:t>
      </w:r>
      <w:r w:rsidRPr="002C24A8">
        <w:rPr>
          <w:rFonts w:ascii="Times New Roman" w:hAnsi="Times New Roman" w:cs="Times New Roman"/>
          <w:sz w:val="24"/>
          <w:szCs w:val="24"/>
          <w:lang w:val="en-US"/>
        </w:rPr>
        <w:t>, 34 (3), 435-456.</w:t>
      </w:r>
    </w:p>
    <w:p w14:paraId="315CE46F"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Krüger, P. (2015). Corporate goodness and shareholder wealth. </w:t>
      </w:r>
      <w:r w:rsidRPr="002C24A8">
        <w:rPr>
          <w:rFonts w:ascii="Times New Roman" w:hAnsi="Times New Roman" w:cs="Times New Roman"/>
          <w:i/>
          <w:sz w:val="24"/>
          <w:szCs w:val="24"/>
          <w:lang w:val="en-US"/>
        </w:rPr>
        <w:t>Journal of Financial Economics</w:t>
      </w:r>
      <w:r w:rsidRPr="002C24A8">
        <w:rPr>
          <w:rFonts w:ascii="Times New Roman" w:hAnsi="Times New Roman" w:cs="Times New Roman"/>
          <w:sz w:val="24"/>
          <w:szCs w:val="24"/>
          <w:lang w:val="en-US"/>
        </w:rPr>
        <w:t>, 115 (2), 304-329.</w:t>
      </w:r>
    </w:p>
    <w:p w14:paraId="53B44AEB" w14:textId="77777777" w:rsidR="009E0A9B" w:rsidRPr="002C24A8" w:rsidRDefault="009E0A9B" w:rsidP="009E0A9B">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Li, D., &amp; Liu, J. (2014). Dynamic capabilities, environmental dynamism, and competitive advantage: Evidence from China. </w:t>
      </w:r>
      <w:r w:rsidRPr="002C24A8">
        <w:rPr>
          <w:rFonts w:ascii="Times New Roman" w:hAnsi="Times New Roman" w:cs="Times New Roman"/>
          <w:i/>
          <w:sz w:val="24"/>
          <w:szCs w:val="24"/>
          <w:lang w:val="en-US"/>
        </w:rPr>
        <w:t>Journal of Business Research</w:t>
      </w:r>
      <w:r w:rsidRPr="002C24A8">
        <w:rPr>
          <w:rFonts w:ascii="Times New Roman" w:hAnsi="Times New Roman" w:cs="Times New Roman"/>
          <w:sz w:val="24"/>
          <w:szCs w:val="24"/>
          <w:lang w:val="en-US"/>
        </w:rPr>
        <w:t>, 67(1), 2793–2799.</w:t>
      </w:r>
    </w:p>
    <w:p w14:paraId="46AAF5FB"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Li, Q., &amp; Racine, J. (2004). Cross-validated local linear nonparametric regression. </w:t>
      </w:r>
      <w:r w:rsidRPr="002C24A8">
        <w:rPr>
          <w:rFonts w:ascii="Times New Roman" w:hAnsi="Times New Roman" w:cs="Times New Roman"/>
          <w:i/>
          <w:sz w:val="24"/>
          <w:szCs w:val="24"/>
          <w:lang w:val="en-US"/>
        </w:rPr>
        <w:t>Statistica Sinica</w:t>
      </w:r>
      <w:r w:rsidRPr="002C24A8">
        <w:rPr>
          <w:rFonts w:ascii="Times New Roman" w:hAnsi="Times New Roman" w:cs="Times New Roman"/>
          <w:sz w:val="24"/>
          <w:szCs w:val="24"/>
          <w:lang w:val="en-US"/>
        </w:rPr>
        <w:t>, 14, 485-512.</w:t>
      </w:r>
    </w:p>
    <w:p w14:paraId="27AB8B81"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Li, Q., &amp; Racine, J. S. (2007). </w:t>
      </w:r>
      <w:r w:rsidRPr="002C24A8">
        <w:rPr>
          <w:rFonts w:ascii="Times New Roman" w:hAnsi="Times New Roman" w:cs="Times New Roman"/>
          <w:i/>
          <w:sz w:val="24"/>
          <w:szCs w:val="24"/>
          <w:lang w:val="en-US"/>
        </w:rPr>
        <w:t>Nonparametric econometrics: theory and practice</w:t>
      </w:r>
      <w:r w:rsidRPr="002C24A8">
        <w:rPr>
          <w:rFonts w:ascii="Times New Roman" w:hAnsi="Times New Roman" w:cs="Times New Roman"/>
          <w:sz w:val="24"/>
          <w:szCs w:val="24"/>
          <w:lang w:val="en-US"/>
        </w:rPr>
        <w:t>. Princeton University Press.</w:t>
      </w:r>
    </w:p>
    <w:p w14:paraId="7B13AE39"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Lioui, A., &amp; Sharma, Z. (2012). Environmental corporate social responsibility and financial performance: Disentangling direct and indirect effects. </w:t>
      </w:r>
      <w:r w:rsidRPr="002C24A8">
        <w:rPr>
          <w:rFonts w:ascii="Times New Roman" w:hAnsi="Times New Roman" w:cs="Times New Roman"/>
          <w:i/>
          <w:sz w:val="24"/>
          <w:szCs w:val="24"/>
          <w:lang w:val="en-US"/>
        </w:rPr>
        <w:t>Ecological Economics</w:t>
      </w:r>
      <w:r w:rsidRPr="002C24A8">
        <w:rPr>
          <w:rFonts w:ascii="Times New Roman" w:hAnsi="Times New Roman" w:cs="Times New Roman"/>
          <w:sz w:val="24"/>
          <w:szCs w:val="24"/>
          <w:lang w:val="en-US"/>
        </w:rPr>
        <w:t>, 78, 100-111.</w:t>
      </w:r>
    </w:p>
    <w:p w14:paraId="3D0FC328" w14:textId="77777777" w:rsidR="009E0A9B" w:rsidRPr="002C24A8" w:rsidRDefault="009E0A9B" w:rsidP="0096227F">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lastRenderedPageBreak/>
        <w:t xml:space="preserve">MacGregor, S., Bianchi, M., Hernandez, J. L. &amp; Mendibil, K. (2007a). </w:t>
      </w:r>
      <w:r w:rsidRPr="002C24A8">
        <w:rPr>
          <w:rFonts w:ascii="Times New Roman" w:hAnsi="Times New Roman" w:cs="Times New Roman"/>
          <w:i/>
          <w:sz w:val="24"/>
          <w:szCs w:val="24"/>
          <w:lang w:val="en-US"/>
        </w:rPr>
        <w:t>Towards the tipping point for social innovation.</w:t>
      </w:r>
      <w:r w:rsidRPr="002C24A8">
        <w:rPr>
          <w:rFonts w:ascii="Times New Roman" w:hAnsi="Times New Roman" w:cs="Times New Roman"/>
          <w:sz w:val="24"/>
          <w:szCs w:val="24"/>
          <w:lang w:val="en-US"/>
        </w:rPr>
        <w:t xml:space="preserve"> Response Project, working paper.</w:t>
      </w:r>
    </w:p>
    <w:p w14:paraId="20BEB884" w14:textId="77777777" w:rsidR="009E0A9B" w:rsidRPr="002C24A8" w:rsidRDefault="009E0A9B" w:rsidP="0096227F">
      <w:pPr>
        <w:spacing w:line="480" w:lineRule="auto"/>
        <w:ind w:left="360"/>
        <w:jc w:val="both"/>
        <w:rPr>
          <w:rFonts w:ascii="Times New Roman" w:hAnsi="Times New Roman" w:cs="Times New Roman"/>
          <w:sz w:val="24"/>
          <w:szCs w:val="24"/>
          <w:lang w:val="en-US"/>
        </w:rPr>
      </w:pPr>
      <w:r w:rsidRPr="00593E51">
        <w:rPr>
          <w:rFonts w:ascii="Times New Roman" w:hAnsi="Times New Roman" w:cs="Times New Roman"/>
          <w:sz w:val="24"/>
          <w:szCs w:val="24"/>
          <w:lang w:val="de-DE"/>
        </w:rPr>
        <w:t xml:space="preserve">MacGregor, S., Espinach, X. &amp; Fontrodona, J. (2007b). </w:t>
      </w:r>
      <w:r w:rsidRPr="002C24A8">
        <w:rPr>
          <w:rFonts w:ascii="Times New Roman" w:hAnsi="Times New Roman" w:cs="Times New Roman"/>
          <w:i/>
          <w:sz w:val="24"/>
          <w:szCs w:val="24"/>
          <w:lang w:val="en-US"/>
        </w:rPr>
        <w:t>Social innovation: using design to generate business value through corporate social responsibility</w:t>
      </w:r>
      <w:r w:rsidRPr="002C24A8">
        <w:rPr>
          <w:rFonts w:ascii="Times New Roman" w:hAnsi="Times New Roman" w:cs="Times New Roman"/>
          <w:sz w:val="24"/>
          <w:szCs w:val="24"/>
          <w:lang w:val="en-US"/>
        </w:rPr>
        <w:t>. International Conference on Engineering Design, Cité des Sciences et de l’Industrie, Paris, France.</w:t>
      </w:r>
    </w:p>
    <w:p w14:paraId="4FB95168" w14:textId="77777777" w:rsidR="009E0A9B" w:rsidRPr="002C24A8" w:rsidRDefault="009E0A9B" w:rsidP="0096227F">
      <w:pPr>
        <w:spacing w:line="480" w:lineRule="auto"/>
        <w:ind w:left="360"/>
        <w:jc w:val="both"/>
        <w:rPr>
          <w:rFonts w:ascii="Times New Roman" w:hAnsi="Times New Roman" w:cs="Times New Roman"/>
          <w:sz w:val="24"/>
          <w:szCs w:val="24"/>
          <w:lang w:val="en-US"/>
        </w:rPr>
      </w:pPr>
      <w:r w:rsidRPr="00593E51">
        <w:rPr>
          <w:rFonts w:ascii="Times New Roman" w:hAnsi="Times New Roman" w:cs="Times New Roman"/>
          <w:sz w:val="24"/>
          <w:szCs w:val="24"/>
          <w:lang w:val="de-DE"/>
        </w:rPr>
        <w:t xml:space="preserve">MacGregor, S.P, Spinach. X. &amp; Fontrodona, J. (2007). </w:t>
      </w:r>
      <w:r w:rsidRPr="002C24A8">
        <w:rPr>
          <w:rFonts w:ascii="Times New Roman" w:hAnsi="Times New Roman" w:cs="Times New Roman"/>
          <w:i/>
          <w:sz w:val="24"/>
          <w:szCs w:val="24"/>
          <w:lang w:val="en-US"/>
        </w:rPr>
        <w:t>Social innovation: Using design to generate business value through corporate social responsibility.</w:t>
      </w:r>
      <w:r w:rsidRPr="002C24A8">
        <w:rPr>
          <w:rFonts w:ascii="Times New Roman" w:hAnsi="Times New Roman" w:cs="Times New Roman"/>
          <w:sz w:val="24"/>
          <w:szCs w:val="24"/>
          <w:lang w:val="en-US"/>
        </w:rPr>
        <w:t xml:space="preserve"> IESE Business School, Spain.</w:t>
      </w:r>
    </w:p>
    <w:p w14:paraId="1374D821" w14:textId="77777777" w:rsidR="009E0A9B" w:rsidRPr="002C24A8" w:rsidRDefault="009E0A9B" w:rsidP="0096227F">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MacGregor, S.P., Fontrodona, J. (2008). Exploring the fit between CSR and innovation. IESE, Centre for Business in Society, University of Navarra, Working paper WP-759.</w:t>
      </w:r>
    </w:p>
    <w:p w14:paraId="04941932" w14:textId="77777777" w:rsidR="009E0A9B" w:rsidRPr="002C24A8" w:rsidRDefault="009E0A9B" w:rsidP="0096227F">
      <w:pPr>
        <w:spacing w:line="480" w:lineRule="auto"/>
        <w:ind w:left="360"/>
        <w:jc w:val="both"/>
        <w:rPr>
          <w:rFonts w:ascii="Times New Roman" w:hAnsi="Times New Roman" w:cs="Times New Roman"/>
          <w:sz w:val="24"/>
          <w:szCs w:val="24"/>
          <w:lang w:val="en-US"/>
        </w:rPr>
      </w:pPr>
      <w:r w:rsidRPr="00593E51">
        <w:rPr>
          <w:rFonts w:ascii="Times New Roman" w:hAnsi="Times New Roman" w:cs="Times New Roman"/>
          <w:sz w:val="24"/>
          <w:szCs w:val="24"/>
          <w:lang w:val="fi-FI"/>
        </w:rPr>
        <w:t xml:space="preserve">Mahlouji, H.; Anaraki, N.K. (2009). </w:t>
      </w:r>
      <w:r w:rsidRPr="002C24A8">
        <w:rPr>
          <w:rFonts w:ascii="Times New Roman" w:hAnsi="Times New Roman" w:cs="Times New Roman"/>
          <w:sz w:val="24"/>
          <w:szCs w:val="24"/>
          <w:lang w:val="en-US"/>
        </w:rPr>
        <w:t xml:space="preserve">Corporate Social Responsibility: Towards Social Responsible Innovation: A Dynamic Capability Approach. </w:t>
      </w:r>
      <w:r w:rsidRPr="002C24A8">
        <w:rPr>
          <w:rFonts w:ascii="Times New Roman" w:hAnsi="Times New Roman" w:cs="Times New Roman"/>
          <w:i/>
          <w:sz w:val="24"/>
          <w:szCs w:val="24"/>
          <w:lang w:val="en-US"/>
        </w:rPr>
        <w:t>International Review of Business Research Papers</w:t>
      </w:r>
      <w:r w:rsidRPr="002C24A8">
        <w:rPr>
          <w:rFonts w:ascii="Times New Roman" w:hAnsi="Times New Roman" w:cs="Times New Roman"/>
          <w:sz w:val="24"/>
          <w:szCs w:val="24"/>
          <w:lang w:val="en-US"/>
        </w:rPr>
        <w:t>, 5 (6), 185-194.</w:t>
      </w:r>
    </w:p>
    <w:p w14:paraId="40975746" w14:textId="77777777" w:rsidR="009E0A9B" w:rsidRPr="002C24A8" w:rsidRDefault="009E0A9B" w:rsidP="00E11D5D">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Mahoney, L., &amp; Roberts, R. W. (2007). Corporate social performance, financial performance and institutional ownership in Canadian firms. </w:t>
      </w:r>
      <w:r w:rsidRPr="002C24A8">
        <w:rPr>
          <w:rFonts w:ascii="Times New Roman" w:hAnsi="Times New Roman" w:cs="Times New Roman"/>
          <w:i/>
          <w:sz w:val="24"/>
          <w:szCs w:val="24"/>
          <w:lang w:val="en-US"/>
        </w:rPr>
        <w:t>Accounting Forum</w:t>
      </w:r>
      <w:r w:rsidRPr="002C24A8">
        <w:rPr>
          <w:rFonts w:ascii="Times New Roman" w:hAnsi="Times New Roman" w:cs="Times New Roman"/>
          <w:sz w:val="24"/>
          <w:szCs w:val="24"/>
          <w:lang w:val="en-US"/>
        </w:rPr>
        <w:t>, 31(3), 233-253.</w:t>
      </w:r>
    </w:p>
    <w:p w14:paraId="08FBF68B" w14:textId="77777777" w:rsidR="009E0A9B" w:rsidRPr="002C24A8" w:rsidRDefault="009E0A9B" w:rsidP="00E11D5D">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Makni, R., Francoeur, C., &amp; Bellavance, F. (2009). Causality between corporate social performance and financial performance: Evidence from Canadian firms</w:t>
      </w:r>
      <w:r w:rsidRPr="002C24A8">
        <w:rPr>
          <w:rFonts w:ascii="Times New Roman" w:hAnsi="Times New Roman" w:cs="Times New Roman"/>
          <w:i/>
          <w:sz w:val="24"/>
          <w:szCs w:val="24"/>
          <w:lang w:val="en-US"/>
        </w:rPr>
        <w:t>. Journal of Business Ethics,</w:t>
      </w:r>
      <w:r w:rsidRPr="002C24A8">
        <w:rPr>
          <w:rFonts w:ascii="Times New Roman" w:hAnsi="Times New Roman" w:cs="Times New Roman"/>
          <w:sz w:val="24"/>
          <w:szCs w:val="24"/>
          <w:lang w:val="en-US"/>
        </w:rPr>
        <w:t xml:space="preserve"> 89 (3), 409.</w:t>
      </w:r>
    </w:p>
    <w:p w14:paraId="452DEB5E" w14:textId="77777777" w:rsidR="009E0A9B" w:rsidRPr="002C24A8" w:rsidRDefault="009E0A9B" w:rsidP="00A467EF">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Margolis, J. D., &amp; Walsh, J. P. (2003). Misery loves companies: Rethinking social initiatives by business. </w:t>
      </w:r>
      <w:r w:rsidRPr="002C24A8">
        <w:rPr>
          <w:rFonts w:ascii="Times New Roman" w:hAnsi="Times New Roman" w:cs="Times New Roman"/>
          <w:i/>
          <w:sz w:val="24"/>
          <w:szCs w:val="24"/>
          <w:lang w:val="en-US"/>
        </w:rPr>
        <w:t>Administrative Science Quarterly</w:t>
      </w:r>
      <w:r w:rsidRPr="002C24A8">
        <w:rPr>
          <w:rFonts w:ascii="Times New Roman" w:hAnsi="Times New Roman" w:cs="Times New Roman"/>
          <w:sz w:val="24"/>
          <w:szCs w:val="24"/>
          <w:lang w:val="en-US"/>
        </w:rPr>
        <w:t>, 48 (2), 268-305.</w:t>
      </w:r>
    </w:p>
    <w:p w14:paraId="0DAB49D2" w14:textId="77777777" w:rsidR="009E0A9B" w:rsidRPr="002C24A8" w:rsidRDefault="009E0A9B" w:rsidP="00A467EF">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lastRenderedPageBreak/>
        <w:t>Martinez-Conesa, I., Soto-Acosta, P., &amp; Palacios-Manzano, M. (2017). Corporate social responsibility and its effect on innovation and firm performance: An empirical research in SMEs. Journal of Cleaner Production, 142 (P4), 2374-2383.</w:t>
      </w:r>
    </w:p>
    <w:p w14:paraId="7F3BBA80"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Mastromarco, C., &amp; Simar, L. (2015). Effect of FDI and time on catching up: New insights from a conditional nonparametric frontier analysis. </w:t>
      </w:r>
      <w:r w:rsidRPr="002C24A8">
        <w:rPr>
          <w:rFonts w:ascii="Times New Roman" w:hAnsi="Times New Roman" w:cs="Times New Roman"/>
          <w:i/>
          <w:sz w:val="24"/>
          <w:szCs w:val="24"/>
          <w:lang w:val="en-US"/>
        </w:rPr>
        <w:t>Journal of Applied Econometrics</w:t>
      </w:r>
      <w:r w:rsidRPr="002C24A8">
        <w:rPr>
          <w:rFonts w:ascii="Times New Roman" w:hAnsi="Times New Roman" w:cs="Times New Roman"/>
          <w:sz w:val="24"/>
          <w:szCs w:val="24"/>
          <w:lang w:val="en-US"/>
        </w:rPr>
        <w:t>, 30 (5), 826-847.</w:t>
      </w:r>
    </w:p>
    <w:p w14:paraId="316ED010" w14:textId="77777777" w:rsidR="009E0A9B" w:rsidRPr="002C24A8" w:rsidRDefault="009E0A9B" w:rsidP="00E11D5D">
      <w:pPr>
        <w:spacing w:line="480" w:lineRule="auto"/>
        <w:ind w:left="360"/>
        <w:jc w:val="both"/>
        <w:rPr>
          <w:rFonts w:ascii="Times New Roman" w:hAnsi="Times New Roman" w:cs="Times New Roman"/>
          <w:sz w:val="24"/>
          <w:szCs w:val="24"/>
          <w:lang w:val="en-US"/>
        </w:rPr>
      </w:pPr>
      <w:r w:rsidRPr="002C24A8">
        <w:rPr>
          <w:rFonts w:ascii="Times New Roman" w:eastAsia="Times New Roman" w:hAnsi="Times New Roman" w:cs="Times New Roman"/>
          <w:sz w:val="24"/>
          <w:szCs w:val="24"/>
          <w:lang w:val="en-US"/>
        </w:rPr>
        <w:t xml:space="preserve">Matten, D., &amp; Crane, A. (2005). Can corporations be citizens? Corporate citizenship as a metaphor for business participation in society. </w:t>
      </w:r>
      <w:r w:rsidRPr="002C24A8">
        <w:rPr>
          <w:rFonts w:ascii="Times New Roman" w:eastAsia="Times New Roman" w:hAnsi="Times New Roman" w:cs="Times New Roman"/>
          <w:i/>
          <w:sz w:val="24"/>
          <w:szCs w:val="24"/>
          <w:lang w:val="en-US"/>
        </w:rPr>
        <w:t>Business Ethics Quarterly</w:t>
      </w:r>
      <w:r w:rsidRPr="002C24A8">
        <w:rPr>
          <w:rFonts w:ascii="Times New Roman" w:eastAsia="Times New Roman" w:hAnsi="Times New Roman" w:cs="Times New Roman"/>
          <w:sz w:val="24"/>
          <w:szCs w:val="24"/>
          <w:lang w:val="en-US"/>
        </w:rPr>
        <w:t>, 15 (3), 427–451.</w:t>
      </w:r>
    </w:p>
    <w:p w14:paraId="0330D08E"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McGahan, A. M., &amp; Porter, M. E. (1997). How much does industry matter, really? </w:t>
      </w:r>
      <w:r w:rsidRPr="002C24A8">
        <w:rPr>
          <w:rFonts w:ascii="Times New Roman" w:hAnsi="Times New Roman" w:cs="Times New Roman"/>
          <w:i/>
          <w:sz w:val="24"/>
          <w:szCs w:val="24"/>
          <w:lang w:val="en-US"/>
        </w:rPr>
        <w:t>Strategic Management Journal</w:t>
      </w:r>
      <w:r w:rsidRPr="002C24A8">
        <w:rPr>
          <w:rFonts w:ascii="Times New Roman" w:hAnsi="Times New Roman" w:cs="Times New Roman"/>
          <w:sz w:val="24"/>
          <w:szCs w:val="24"/>
          <w:lang w:val="en-US"/>
        </w:rPr>
        <w:t>, 18 (S1), 15-30.</w:t>
      </w:r>
    </w:p>
    <w:p w14:paraId="02BD89CB"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McWilliams, A., &amp; Siegel, D. (2000). Corporate social responsibility and financial performance: correlation or misspecification?</w:t>
      </w:r>
      <w:r w:rsidRPr="002C24A8" w:rsidDel="003B5822">
        <w:rPr>
          <w:rFonts w:ascii="Times New Roman" w:hAnsi="Times New Roman" w:cs="Times New Roman"/>
          <w:sz w:val="24"/>
          <w:szCs w:val="24"/>
          <w:lang w:val="en-US"/>
        </w:rPr>
        <w:t>.</w:t>
      </w:r>
      <w:r w:rsidRPr="002C24A8">
        <w:rPr>
          <w:rFonts w:ascii="Times New Roman" w:hAnsi="Times New Roman" w:cs="Times New Roman"/>
          <w:sz w:val="24"/>
          <w:szCs w:val="24"/>
          <w:lang w:val="en-US"/>
        </w:rPr>
        <w:t xml:space="preserve"> </w:t>
      </w:r>
      <w:r w:rsidRPr="002C24A8">
        <w:rPr>
          <w:rFonts w:ascii="Times New Roman" w:hAnsi="Times New Roman" w:cs="Times New Roman"/>
          <w:i/>
          <w:sz w:val="24"/>
          <w:szCs w:val="24"/>
          <w:lang w:val="en-US"/>
        </w:rPr>
        <w:t>Strategic Management Journal</w:t>
      </w:r>
      <w:r w:rsidRPr="002C24A8">
        <w:rPr>
          <w:rFonts w:ascii="Times New Roman" w:hAnsi="Times New Roman" w:cs="Times New Roman"/>
          <w:sz w:val="24"/>
          <w:szCs w:val="24"/>
          <w:lang w:val="en-US"/>
        </w:rPr>
        <w:t>, 21(5), 603-609.</w:t>
      </w:r>
    </w:p>
    <w:p w14:paraId="3C5BD8B0" w14:textId="77777777" w:rsidR="009E0A9B" w:rsidRPr="002C24A8" w:rsidRDefault="009E0A9B" w:rsidP="0096227F">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McWilliams, A., &amp; Siegel, D. (2000). Corporate social responsibility and financial performance: Correlation or misspecification? </w:t>
      </w:r>
      <w:r w:rsidRPr="002C24A8">
        <w:rPr>
          <w:rFonts w:ascii="Times New Roman" w:hAnsi="Times New Roman" w:cs="Times New Roman"/>
          <w:i/>
          <w:sz w:val="24"/>
          <w:szCs w:val="24"/>
          <w:lang w:val="en-US"/>
        </w:rPr>
        <w:t>Strategic Management Journal,</w:t>
      </w:r>
      <w:r w:rsidRPr="002C24A8">
        <w:rPr>
          <w:rFonts w:ascii="Times New Roman" w:hAnsi="Times New Roman" w:cs="Times New Roman"/>
          <w:sz w:val="24"/>
          <w:szCs w:val="24"/>
          <w:lang w:val="en-US"/>
        </w:rPr>
        <w:t xml:space="preserve"> 21(5), 603–609.</w:t>
      </w:r>
    </w:p>
    <w:p w14:paraId="2A949B4C" w14:textId="77777777" w:rsidR="009E0A9B" w:rsidRPr="002C24A8" w:rsidRDefault="009E0A9B" w:rsidP="0096227F">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McWilliams, A., &amp; Siegel, D. (2001). Corporate social responsibility: A theory of the firm perspective. </w:t>
      </w:r>
      <w:r w:rsidRPr="002C24A8">
        <w:rPr>
          <w:rFonts w:ascii="Times New Roman" w:hAnsi="Times New Roman" w:cs="Times New Roman"/>
          <w:i/>
          <w:sz w:val="24"/>
          <w:szCs w:val="24"/>
          <w:lang w:val="en-US"/>
        </w:rPr>
        <w:t>Academy of Management Review,</w:t>
      </w:r>
      <w:r w:rsidRPr="002C24A8">
        <w:rPr>
          <w:rFonts w:ascii="Times New Roman" w:hAnsi="Times New Roman" w:cs="Times New Roman"/>
          <w:sz w:val="24"/>
          <w:szCs w:val="24"/>
          <w:lang w:val="en-US"/>
        </w:rPr>
        <w:t xml:space="preserve"> 26 (1), 117–127.</w:t>
      </w:r>
    </w:p>
    <w:p w14:paraId="221669C2"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Mirvis, P.; Googins, B.; Kiser, C. (n.d.). </w:t>
      </w:r>
      <w:r w:rsidRPr="002C24A8">
        <w:rPr>
          <w:rFonts w:ascii="Times New Roman" w:hAnsi="Times New Roman" w:cs="Times New Roman"/>
          <w:i/>
          <w:sz w:val="24"/>
          <w:szCs w:val="24"/>
          <w:lang w:val="en-US"/>
        </w:rPr>
        <w:t>Corporate Social Innovation.</w:t>
      </w:r>
      <w:r w:rsidRPr="002C24A8">
        <w:rPr>
          <w:rFonts w:ascii="Times New Roman" w:hAnsi="Times New Roman" w:cs="Times New Roman"/>
          <w:sz w:val="24"/>
          <w:szCs w:val="24"/>
          <w:lang w:val="en-US"/>
        </w:rPr>
        <w:t xml:space="preserve"> Babson College, mimeo.</w:t>
      </w:r>
    </w:p>
    <w:p w14:paraId="50E40554"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de-DE"/>
        </w:rPr>
        <w:t xml:space="preserve">Orlitzky, M., </w:t>
      </w:r>
      <w:r w:rsidRPr="002C24A8" w:rsidDel="003B5822">
        <w:rPr>
          <w:rFonts w:ascii="Times New Roman" w:hAnsi="Times New Roman" w:cs="Times New Roman"/>
          <w:sz w:val="24"/>
          <w:szCs w:val="24"/>
          <w:lang w:val="de-DE"/>
        </w:rPr>
        <w:t xml:space="preserve">Frank L. </w:t>
      </w:r>
      <w:r w:rsidRPr="002C24A8">
        <w:rPr>
          <w:rFonts w:ascii="Times New Roman" w:hAnsi="Times New Roman" w:cs="Times New Roman"/>
          <w:sz w:val="24"/>
          <w:szCs w:val="24"/>
          <w:lang w:val="de-DE"/>
        </w:rPr>
        <w:t xml:space="preserve">Schmidt, F.L., &amp; </w:t>
      </w:r>
      <w:r w:rsidRPr="002C24A8" w:rsidDel="003B5822">
        <w:rPr>
          <w:rFonts w:ascii="Times New Roman" w:hAnsi="Times New Roman" w:cs="Times New Roman"/>
          <w:sz w:val="24"/>
          <w:szCs w:val="24"/>
          <w:lang w:val="de-DE"/>
        </w:rPr>
        <w:t xml:space="preserve">Sara L. </w:t>
      </w:r>
      <w:r w:rsidRPr="002C24A8">
        <w:rPr>
          <w:rFonts w:ascii="Times New Roman" w:hAnsi="Times New Roman" w:cs="Times New Roman"/>
          <w:sz w:val="24"/>
          <w:szCs w:val="24"/>
          <w:lang w:val="de-DE"/>
        </w:rPr>
        <w:t xml:space="preserve">Rynes, S.L. (2003). </w:t>
      </w:r>
      <w:r w:rsidRPr="002C24A8">
        <w:rPr>
          <w:rFonts w:ascii="Times New Roman" w:hAnsi="Times New Roman" w:cs="Times New Roman"/>
          <w:sz w:val="24"/>
          <w:szCs w:val="24"/>
          <w:lang w:val="en-US"/>
        </w:rPr>
        <w:t>Corporate social and financial performance: A meta-analysis.</w:t>
      </w:r>
      <w:r w:rsidRPr="002C24A8">
        <w:rPr>
          <w:rFonts w:ascii="Times New Roman" w:hAnsi="Times New Roman" w:cs="Times New Roman"/>
          <w:i/>
          <w:sz w:val="24"/>
          <w:szCs w:val="24"/>
          <w:lang w:val="en-US"/>
        </w:rPr>
        <w:t xml:space="preserve"> Organization Studies,</w:t>
      </w:r>
      <w:r w:rsidRPr="002C24A8">
        <w:rPr>
          <w:rFonts w:ascii="Times New Roman" w:hAnsi="Times New Roman" w:cs="Times New Roman"/>
          <w:sz w:val="24"/>
          <w:szCs w:val="24"/>
          <w:lang w:val="en-US"/>
        </w:rPr>
        <w:t xml:space="preserve"> 24 (3), 403-441.</w:t>
      </w:r>
    </w:p>
    <w:p w14:paraId="56AD36CA"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lastRenderedPageBreak/>
        <w:t xml:space="preserve">Padgett, R. C., &amp; Galan, J. I. (2010). The effect of R&amp;D intensity on corporate social responsibility. </w:t>
      </w:r>
      <w:r w:rsidRPr="002C24A8">
        <w:rPr>
          <w:rFonts w:ascii="Times New Roman" w:hAnsi="Times New Roman" w:cs="Times New Roman"/>
          <w:i/>
          <w:sz w:val="24"/>
          <w:szCs w:val="24"/>
          <w:lang w:val="en-US"/>
        </w:rPr>
        <w:t>Journal of Business Ethics</w:t>
      </w:r>
      <w:r w:rsidRPr="002C24A8">
        <w:rPr>
          <w:rFonts w:ascii="Times New Roman" w:hAnsi="Times New Roman" w:cs="Times New Roman"/>
          <w:sz w:val="24"/>
          <w:szCs w:val="24"/>
          <w:lang w:val="en-US"/>
        </w:rPr>
        <w:t>, 93 (3), 407-418.</w:t>
      </w:r>
    </w:p>
    <w:p w14:paraId="4E1BC3F7"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Porter, M. E. (1991) America’s green strategy. </w:t>
      </w:r>
      <w:r w:rsidRPr="002C24A8">
        <w:rPr>
          <w:rFonts w:ascii="Times New Roman" w:hAnsi="Times New Roman" w:cs="Times New Roman"/>
          <w:i/>
          <w:sz w:val="24"/>
          <w:szCs w:val="24"/>
          <w:lang w:val="en-US"/>
        </w:rPr>
        <w:t>Scientific American</w:t>
      </w:r>
      <w:r w:rsidRPr="002C24A8">
        <w:rPr>
          <w:rFonts w:ascii="Times New Roman" w:hAnsi="Times New Roman" w:cs="Times New Roman"/>
          <w:sz w:val="24"/>
          <w:szCs w:val="24"/>
          <w:lang w:val="en-US"/>
        </w:rPr>
        <w:t>, 264 (4), 168.</w:t>
      </w:r>
    </w:p>
    <w:p w14:paraId="1A39B9BE"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Porter, M.E., &amp; Kramer, M.R. (2011). Creating shared value. </w:t>
      </w:r>
      <w:r w:rsidRPr="002C24A8">
        <w:rPr>
          <w:rFonts w:ascii="Times New Roman" w:hAnsi="Times New Roman" w:cs="Times New Roman"/>
          <w:i/>
          <w:sz w:val="24"/>
          <w:szCs w:val="24"/>
          <w:lang w:val="en-US"/>
        </w:rPr>
        <w:t>Harvard Business Review,</w:t>
      </w:r>
      <w:r w:rsidRPr="002C24A8">
        <w:rPr>
          <w:rFonts w:ascii="Times New Roman" w:hAnsi="Times New Roman" w:cs="Times New Roman"/>
          <w:sz w:val="24"/>
          <w:szCs w:val="24"/>
          <w:lang w:val="en-US"/>
        </w:rPr>
        <w:t xml:space="preserve"> 89 (1/2), 62-77.</w:t>
      </w:r>
    </w:p>
    <w:p w14:paraId="33976DCA"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de-DE"/>
        </w:rPr>
        <w:t xml:space="preserve">Porter, M.E., &amp; van der Linde, C. (1995). </w:t>
      </w:r>
      <w:r w:rsidRPr="002C24A8">
        <w:rPr>
          <w:rFonts w:ascii="Times New Roman" w:hAnsi="Times New Roman" w:cs="Times New Roman"/>
          <w:sz w:val="24"/>
          <w:szCs w:val="24"/>
          <w:lang w:val="en-US"/>
        </w:rPr>
        <w:t>Toward a new conception of the environment competitiveness relationships.</w:t>
      </w:r>
      <w:r w:rsidRPr="002C24A8">
        <w:rPr>
          <w:rFonts w:ascii="Times New Roman" w:hAnsi="Times New Roman" w:cs="Times New Roman"/>
          <w:i/>
          <w:sz w:val="24"/>
          <w:szCs w:val="24"/>
          <w:lang w:val="en-US"/>
        </w:rPr>
        <w:t xml:space="preserve"> Journal of Economic Perspectives</w:t>
      </w:r>
      <w:r w:rsidRPr="002C24A8">
        <w:rPr>
          <w:rFonts w:ascii="Times New Roman" w:hAnsi="Times New Roman" w:cs="Times New Roman"/>
          <w:sz w:val="24"/>
          <w:szCs w:val="24"/>
          <w:lang w:val="en-US"/>
        </w:rPr>
        <w:t>, 9 (4), 97-118.</w:t>
      </w:r>
    </w:p>
    <w:p w14:paraId="535BA7F6"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Porter, M.E.; &amp; Kramer, M.R. (2007). Strategy and Society: The Link Between Competitive Advantage and Corporate Social Responsibility. </w:t>
      </w:r>
      <w:r w:rsidRPr="002C24A8">
        <w:rPr>
          <w:rFonts w:ascii="Times New Roman" w:hAnsi="Times New Roman" w:cs="Times New Roman"/>
          <w:i/>
          <w:sz w:val="24"/>
          <w:szCs w:val="24"/>
          <w:lang w:val="en-US"/>
        </w:rPr>
        <w:t>Harvard Business Review,</w:t>
      </w:r>
      <w:r w:rsidRPr="002C24A8">
        <w:rPr>
          <w:rFonts w:ascii="Times New Roman" w:hAnsi="Times New Roman" w:cs="Times New Roman"/>
          <w:sz w:val="24"/>
          <w:szCs w:val="24"/>
          <w:lang w:val="en-US"/>
        </w:rPr>
        <w:t xml:space="preserve"> 84 (12), 78-92.</w:t>
      </w:r>
    </w:p>
    <w:p w14:paraId="7E477070"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Price, J. M., &amp; Sun, W. (2017). Doing good and doing bad: The impact of corporate social responsibility and irresponsibility on firm performance. </w:t>
      </w:r>
      <w:r w:rsidRPr="002C24A8">
        <w:rPr>
          <w:rFonts w:ascii="Times New Roman" w:hAnsi="Times New Roman" w:cs="Times New Roman"/>
          <w:i/>
          <w:sz w:val="24"/>
          <w:szCs w:val="24"/>
          <w:lang w:val="en-US"/>
        </w:rPr>
        <w:t>Journal of Business Research</w:t>
      </w:r>
      <w:r w:rsidRPr="002C24A8">
        <w:rPr>
          <w:rFonts w:ascii="Times New Roman" w:hAnsi="Times New Roman" w:cs="Times New Roman"/>
          <w:sz w:val="24"/>
          <w:szCs w:val="24"/>
          <w:lang w:val="en-US"/>
        </w:rPr>
        <w:t>, 80, 82-97.</w:t>
      </w:r>
    </w:p>
    <w:p w14:paraId="15B1845B"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Rennings, K., &amp; Rammer, C. (2011). The impact of regulation-driven environmental innovation on innovation success and firm performance. </w:t>
      </w:r>
      <w:r w:rsidRPr="002C24A8">
        <w:rPr>
          <w:rFonts w:ascii="Times New Roman" w:hAnsi="Times New Roman" w:cs="Times New Roman"/>
          <w:i/>
          <w:sz w:val="24"/>
          <w:szCs w:val="24"/>
          <w:lang w:val="en-US"/>
        </w:rPr>
        <w:t>Industry and Innovation</w:t>
      </w:r>
      <w:r w:rsidRPr="002C24A8">
        <w:rPr>
          <w:rFonts w:ascii="Times New Roman" w:hAnsi="Times New Roman" w:cs="Times New Roman"/>
          <w:sz w:val="24"/>
          <w:szCs w:val="24"/>
          <w:lang w:val="en-US"/>
        </w:rPr>
        <w:t>, 18 (3), 255-283.</w:t>
      </w:r>
    </w:p>
    <w:p w14:paraId="562F60B6"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Reverte, C., Gómez-Melero, E., &amp; Cegarra-Navarro, J. G. (2016). The influence of corporate social responsibility practices on organizational performance: evidence from Eco-Responsible Spanish firms. </w:t>
      </w:r>
      <w:r w:rsidRPr="002C24A8">
        <w:rPr>
          <w:rFonts w:ascii="Times New Roman" w:hAnsi="Times New Roman" w:cs="Times New Roman"/>
          <w:i/>
          <w:sz w:val="24"/>
          <w:szCs w:val="24"/>
          <w:lang w:val="en-US"/>
        </w:rPr>
        <w:t>Journal of Cleaner Production,</w:t>
      </w:r>
      <w:r w:rsidRPr="002C24A8">
        <w:rPr>
          <w:rFonts w:ascii="Times New Roman" w:hAnsi="Times New Roman" w:cs="Times New Roman"/>
          <w:sz w:val="24"/>
          <w:szCs w:val="24"/>
          <w:lang w:val="en-US"/>
        </w:rPr>
        <w:t xml:space="preserve"> 112, 2870-2884.</w:t>
      </w:r>
    </w:p>
    <w:p w14:paraId="729E1528"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Russo, M. V., &amp; Fouts, P. A. (1997). A resource-based perspective on corporate environmental performance and profitability. </w:t>
      </w:r>
      <w:r w:rsidRPr="002C24A8">
        <w:rPr>
          <w:rFonts w:ascii="Times New Roman" w:hAnsi="Times New Roman" w:cs="Times New Roman"/>
          <w:i/>
          <w:sz w:val="24"/>
          <w:szCs w:val="24"/>
          <w:lang w:val="en-US"/>
        </w:rPr>
        <w:t>Academy of Management Journal</w:t>
      </w:r>
      <w:r w:rsidRPr="002C24A8">
        <w:rPr>
          <w:rFonts w:ascii="Times New Roman" w:hAnsi="Times New Roman" w:cs="Times New Roman"/>
          <w:sz w:val="24"/>
          <w:szCs w:val="24"/>
          <w:lang w:val="en-US"/>
        </w:rPr>
        <w:t>, 40(3), 534-559.</w:t>
      </w:r>
    </w:p>
    <w:p w14:paraId="359EA714"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lastRenderedPageBreak/>
        <w:t xml:space="preserve">Saeidi, S. P., Sofian, S., Saeidi, P., Saeidi, S. P., &amp; Saaeidi, S. A. (2015). How does corporate social responsibility contribute to firm financial performance? The mediating role of competitive advantage, reputation, and customer satisfaction. </w:t>
      </w:r>
      <w:r w:rsidRPr="002C24A8">
        <w:rPr>
          <w:rFonts w:ascii="Times New Roman" w:hAnsi="Times New Roman" w:cs="Times New Roman"/>
          <w:i/>
          <w:sz w:val="24"/>
          <w:szCs w:val="24"/>
          <w:lang w:val="en-US"/>
        </w:rPr>
        <w:t>Journal of Business Research</w:t>
      </w:r>
      <w:r w:rsidRPr="002C24A8">
        <w:rPr>
          <w:rFonts w:ascii="Times New Roman" w:hAnsi="Times New Roman" w:cs="Times New Roman"/>
          <w:sz w:val="24"/>
          <w:szCs w:val="24"/>
          <w:lang w:val="en-US"/>
        </w:rPr>
        <w:t>, 68 (2), 341-350.</w:t>
      </w:r>
    </w:p>
    <w:p w14:paraId="227C745F" w14:textId="77777777" w:rsidR="009E0A9B" w:rsidRPr="002C24A8" w:rsidRDefault="009E0A9B" w:rsidP="00E11D5D">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Santamaría, L., Nieto, M. J., &amp; Barge-Gil, A. (2009). Beyond formal R&amp;D: Taking advantage of other sources of innovation in low-and medium-technology industries. </w:t>
      </w:r>
      <w:r w:rsidRPr="002C24A8">
        <w:rPr>
          <w:rFonts w:ascii="Times New Roman" w:hAnsi="Times New Roman" w:cs="Times New Roman"/>
          <w:i/>
          <w:iCs/>
          <w:sz w:val="24"/>
          <w:szCs w:val="24"/>
          <w:lang w:val="en-US"/>
        </w:rPr>
        <w:t>Research Policy</w:t>
      </w:r>
      <w:r w:rsidRPr="002C24A8">
        <w:rPr>
          <w:rFonts w:ascii="Times New Roman" w:hAnsi="Times New Roman" w:cs="Times New Roman"/>
          <w:sz w:val="24"/>
          <w:szCs w:val="24"/>
          <w:lang w:val="en-US"/>
        </w:rPr>
        <w:t xml:space="preserve">, </w:t>
      </w:r>
      <w:r w:rsidRPr="002C24A8">
        <w:rPr>
          <w:rFonts w:ascii="Times New Roman" w:hAnsi="Times New Roman" w:cs="Times New Roman"/>
          <w:iCs/>
          <w:sz w:val="24"/>
          <w:szCs w:val="24"/>
          <w:lang w:val="en-US"/>
        </w:rPr>
        <w:t>38</w:t>
      </w:r>
      <w:r w:rsidRPr="002C24A8">
        <w:rPr>
          <w:rFonts w:ascii="Times New Roman" w:hAnsi="Times New Roman" w:cs="Times New Roman"/>
          <w:i/>
          <w:iCs/>
          <w:sz w:val="24"/>
          <w:szCs w:val="24"/>
          <w:lang w:val="en-US"/>
        </w:rPr>
        <w:t xml:space="preserve"> </w:t>
      </w:r>
      <w:r w:rsidRPr="002C24A8">
        <w:rPr>
          <w:rFonts w:ascii="Times New Roman" w:hAnsi="Times New Roman" w:cs="Times New Roman"/>
          <w:sz w:val="24"/>
          <w:szCs w:val="24"/>
          <w:lang w:val="en-US"/>
        </w:rPr>
        <w:t>(3), 507-517.</w:t>
      </w:r>
    </w:p>
    <w:p w14:paraId="1B892CA4"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Shao, B.B., &amp; Lin, W.T. (2016). Assessing output performance of information technology service industries: Productivity, innovation and catch-up. </w:t>
      </w:r>
      <w:r w:rsidRPr="002C24A8">
        <w:rPr>
          <w:rFonts w:ascii="Times New Roman" w:hAnsi="Times New Roman" w:cs="Times New Roman"/>
          <w:i/>
          <w:sz w:val="24"/>
          <w:szCs w:val="24"/>
          <w:lang w:val="en-US"/>
        </w:rPr>
        <w:t>International Journal of Production Economics</w:t>
      </w:r>
      <w:r w:rsidRPr="002C24A8">
        <w:rPr>
          <w:rFonts w:ascii="Times New Roman" w:hAnsi="Times New Roman" w:cs="Times New Roman"/>
          <w:sz w:val="24"/>
          <w:szCs w:val="24"/>
          <w:lang w:val="en-US"/>
        </w:rPr>
        <w:t>, 172, 43-53.</w:t>
      </w:r>
    </w:p>
    <w:p w14:paraId="78825808" w14:textId="77777777" w:rsidR="009E0A9B" w:rsidRPr="002C24A8" w:rsidRDefault="009E0A9B" w:rsidP="00E11D5D">
      <w:pPr>
        <w:spacing w:line="480" w:lineRule="auto"/>
        <w:ind w:left="360"/>
        <w:jc w:val="both"/>
        <w:rPr>
          <w:rFonts w:ascii="Times New Roman" w:hAnsi="Times New Roman" w:cs="Times New Roman"/>
          <w:sz w:val="24"/>
          <w:szCs w:val="24"/>
          <w:lang w:val="en-US"/>
        </w:rPr>
      </w:pPr>
      <w:r w:rsidRPr="002C24A8">
        <w:rPr>
          <w:rFonts w:ascii="Times New Roman" w:eastAsia="Times New Roman" w:hAnsi="Times New Roman" w:cs="Times New Roman"/>
          <w:sz w:val="24"/>
          <w:szCs w:val="24"/>
          <w:lang w:val="en-US"/>
        </w:rPr>
        <w:t>Shao, B.B., &amp; Lin, W.T. (2016). Assessing output performance of information technology service industries: Productivity, innovation and catch-up. International Journal of Production Economics, 172, 43-53.</w:t>
      </w:r>
    </w:p>
    <w:p w14:paraId="3B781D8C"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Sharfman, M. (1996). The construct validity of the Kinder, Lydenberg &amp; Domini social performance ratings data. </w:t>
      </w:r>
      <w:r w:rsidRPr="002C24A8">
        <w:rPr>
          <w:rFonts w:ascii="Times New Roman" w:hAnsi="Times New Roman" w:cs="Times New Roman"/>
          <w:i/>
          <w:sz w:val="24"/>
          <w:szCs w:val="24"/>
          <w:lang w:val="en-US"/>
        </w:rPr>
        <w:t>Journal of Business Ethics,</w:t>
      </w:r>
      <w:r w:rsidRPr="002C24A8">
        <w:rPr>
          <w:rFonts w:ascii="Times New Roman" w:hAnsi="Times New Roman" w:cs="Times New Roman"/>
          <w:sz w:val="24"/>
          <w:szCs w:val="24"/>
          <w:lang w:val="en-US"/>
        </w:rPr>
        <w:t xml:space="preserve"> 15 (3)</w:t>
      </w:r>
      <w:r w:rsidRPr="002C24A8" w:rsidDel="00802AC0">
        <w:rPr>
          <w:rFonts w:ascii="Times New Roman" w:hAnsi="Times New Roman" w:cs="Times New Roman"/>
          <w:sz w:val="24"/>
          <w:szCs w:val="24"/>
          <w:lang w:val="en-US"/>
        </w:rPr>
        <w:t xml:space="preserve">, </w:t>
      </w:r>
      <w:r w:rsidRPr="002C24A8">
        <w:rPr>
          <w:rFonts w:ascii="Times New Roman" w:hAnsi="Times New Roman" w:cs="Times New Roman"/>
          <w:sz w:val="24"/>
          <w:szCs w:val="24"/>
          <w:lang w:val="en-US"/>
        </w:rPr>
        <w:t>287-296.</w:t>
      </w:r>
    </w:p>
    <w:p w14:paraId="0A125A68"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Shen, C. H., &amp; Chang, Y. (2009). Ambition versus conscience, does corporate social responsibility pay off? The application of matching methods. </w:t>
      </w:r>
      <w:r w:rsidRPr="002C24A8">
        <w:rPr>
          <w:rFonts w:ascii="Times New Roman" w:hAnsi="Times New Roman" w:cs="Times New Roman"/>
          <w:i/>
          <w:sz w:val="24"/>
          <w:szCs w:val="24"/>
          <w:lang w:val="en-US"/>
        </w:rPr>
        <w:t>Journal of Business Ethics</w:t>
      </w:r>
      <w:r w:rsidRPr="002C24A8">
        <w:rPr>
          <w:rFonts w:ascii="Times New Roman" w:hAnsi="Times New Roman" w:cs="Times New Roman"/>
          <w:sz w:val="24"/>
          <w:szCs w:val="24"/>
          <w:lang w:val="en-US"/>
        </w:rPr>
        <w:t>, 88, 133-153.</w:t>
      </w:r>
    </w:p>
    <w:p w14:paraId="7D22F363"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Shephard, R. W. (1970). </w:t>
      </w:r>
      <w:r w:rsidRPr="002C24A8">
        <w:rPr>
          <w:rFonts w:ascii="Times New Roman" w:hAnsi="Times New Roman" w:cs="Times New Roman"/>
          <w:i/>
          <w:sz w:val="24"/>
          <w:szCs w:val="24"/>
          <w:lang w:val="en-US"/>
        </w:rPr>
        <w:t>Theory of cost and production function</w:t>
      </w:r>
      <w:r w:rsidRPr="002C24A8">
        <w:rPr>
          <w:rFonts w:ascii="Times New Roman" w:hAnsi="Times New Roman" w:cs="Times New Roman"/>
          <w:sz w:val="24"/>
          <w:szCs w:val="24"/>
          <w:lang w:val="en-US"/>
        </w:rPr>
        <w:t>. Princeton University Press, Princeton.</w:t>
      </w:r>
    </w:p>
    <w:p w14:paraId="40E0123A"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lastRenderedPageBreak/>
        <w:t xml:space="preserve">Sidhu, J.S., Commandeur, H.R., &amp; Volberda, H.W. (2007). The multifaceted nature of exploration and exploitation: Value of supply, demand, and spatial search for innovation. </w:t>
      </w:r>
      <w:r w:rsidRPr="002C24A8">
        <w:rPr>
          <w:rFonts w:ascii="Times New Roman" w:hAnsi="Times New Roman" w:cs="Times New Roman"/>
          <w:i/>
          <w:sz w:val="24"/>
          <w:szCs w:val="24"/>
          <w:lang w:val="en-US"/>
        </w:rPr>
        <w:t>Organization Science</w:t>
      </w:r>
      <w:r w:rsidRPr="002C24A8">
        <w:rPr>
          <w:rFonts w:ascii="Times New Roman" w:hAnsi="Times New Roman" w:cs="Times New Roman"/>
          <w:sz w:val="24"/>
          <w:szCs w:val="24"/>
          <w:lang w:val="en-US"/>
        </w:rPr>
        <w:t>, 18, (1), 20-38.</w:t>
      </w:r>
    </w:p>
    <w:p w14:paraId="6F281F3F"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Simar, L., &amp; Wilson, P. W. (2011). Two-stage DEA: caveat emptor. </w:t>
      </w:r>
      <w:r w:rsidRPr="002C24A8">
        <w:rPr>
          <w:rFonts w:ascii="Times New Roman" w:hAnsi="Times New Roman" w:cs="Times New Roman"/>
          <w:i/>
          <w:sz w:val="24"/>
          <w:szCs w:val="24"/>
          <w:lang w:val="en-US"/>
        </w:rPr>
        <w:t>Journal of Productivity Analysis</w:t>
      </w:r>
      <w:r w:rsidRPr="002C24A8">
        <w:rPr>
          <w:rFonts w:ascii="Times New Roman" w:hAnsi="Times New Roman" w:cs="Times New Roman"/>
          <w:sz w:val="24"/>
          <w:szCs w:val="24"/>
          <w:lang w:val="en-US"/>
        </w:rPr>
        <w:t>, 36 (2), 205.</w:t>
      </w:r>
    </w:p>
    <w:p w14:paraId="7143AE77"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Simar, L., &amp; Wilson, P.W. (2007). Estimation and inference in two-stage, semi-parametric models of production processes. </w:t>
      </w:r>
      <w:r w:rsidRPr="002C24A8">
        <w:rPr>
          <w:rFonts w:ascii="Times New Roman" w:hAnsi="Times New Roman" w:cs="Times New Roman"/>
          <w:i/>
          <w:sz w:val="24"/>
          <w:szCs w:val="24"/>
          <w:lang w:val="en-US"/>
        </w:rPr>
        <w:t>Journal of Econometrics,</w:t>
      </w:r>
      <w:r w:rsidRPr="002C24A8">
        <w:rPr>
          <w:rFonts w:ascii="Times New Roman" w:hAnsi="Times New Roman" w:cs="Times New Roman"/>
          <w:sz w:val="24"/>
          <w:szCs w:val="24"/>
          <w:lang w:val="en-US"/>
        </w:rPr>
        <w:t xml:space="preserve"> 136 (1), 31-64.</w:t>
      </w:r>
    </w:p>
    <w:p w14:paraId="4C8911BA"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Surroca, J., &amp; Tribó, J. A. (2008). Managerial entrenchment and corporate social performance. </w:t>
      </w:r>
      <w:r w:rsidRPr="002C24A8">
        <w:rPr>
          <w:rFonts w:ascii="Times New Roman" w:hAnsi="Times New Roman" w:cs="Times New Roman"/>
          <w:i/>
          <w:sz w:val="24"/>
          <w:szCs w:val="24"/>
          <w:lang w:val="en-US"/>
        </w:rPr>
        <w:t>Journal of Business Finance &amp; Accounting</w:t>
      </w:r>
      <w:r w:rsidRPr="002C24A8">
        <w:rPr>
          <w:rFonts w:ascii="Times New Roman" w:hAnsi="Times New Roman" w:cs="Times New Roman"/>
          <w:sz w:val="24"/>
          <w:szCs w:val="24"/>
          <w:lang w:val="en-US"/>
        </w:rPr>
        <w:t>, 35(5‐6), 748-789.</w:t>
      </w:r>
    </w:p>
    <w:p w14:paraId="4179E835" w14:textId="77777777" w:rsidR="009E0A9B" w:rsidRPr="002C24A8" w:rsidRDefault="009E0A9B" w:rsidP="00E11D5D">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Szeto, E. (2000). Innovation capacity: working towards a mechanism for improving innovation within an inter-organizational network. </w:t>
      </w:r>
      <w:r w:rsidRPr="002C24A8">
        <w:rPr>
          <w:rFonts w:ascii="Times New Roman" w:hAnsi="Times New Roman" w:cs="Times New Roman"/>
          <w:i/>
          <w:iCs/>
          <w:sz w:val="24"/>
          <w:szCs w:val="24"/>
          <w:lang w:val="en-US"/>
        </w:rPr>
        <w:t>The TQM Magazine</w:t>
      </w:r>
      <w:r w:rsidRPr="002C24A8">
        <w:rPr>
          <w:rFonts w:ascii="Times New Roman" w:hAnsi="Times New Roman" w:cs="Times New Roman"/>
          <w:sz w:val="24"/>
          <w:szCs w:val="24"/>
          <w:lang w:val="en-US"/>
        </w:rPr>
        <w:t xml:space="preserve">, </w:t>
      </w:r>
      <w:r w:rsidRPr="002C24A8">
        <w:rPr>
          <w:rFonts w:ascii="Times New Roman" w:hAnsi="Times New Roman" w:cs="Times New Roman"/>
          <w:iCs/>
          <w:sz w:val="24"/>
          <w:szCs w:val="24"/>
          <w:lang w:val="en-US"/>
        </w:rPr>
        <w:t xml:space="preserve">12 </w:t>
      </w:r>
      <w:r w:rsidRPr="002C24A8">
        <w:rPr>
          <w:rFonts w:ascii="Times New Roman" w:hAnsi="Times New Roman" w:cs="Times New Roman"/>
          <w:sz w:val="24"/>
          <w:szCs w:val="24"/>
          <w:lang w:val="en-US"/>
        </w:rPr>
        <w:t>(2), 149-158.</w:t>
      </w:r>
    </w:p>
    <w:p w14:paraId="7CCE18B6" w14:textId="77777777" w:rsidR="009E0A9B" w:rsidRPr="002C24A8" w:rsidRDefault="009E0A9B" w:rsidP="003F3E3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Todorova, G., &amp; Durisin, B. (2007). Absorptive Capacity: Valuing a Reconceptualization. </w:t>
      </w:r>
      <w:r w:rsidRPr="002C24A8">
        <w:rPr>
          <w:rFonts w:ascii="Times New Roman" w:hAnsi="Times New Roman" w:cs="Times New Roman"/>
          <w:i/>
          <w:sz w:val="24"/>
          <w:szCs w:val="24"/>
          <w:lang w:val="en-US"/>
        </w:rPr>
        <w:t>Academy of Management Review</w:t>
      </w:r>
      <w:r w:rsidRPr="002C24A8">
        <w:rPr>
          <w:rFonts w:ascii="Times New Roman" w:hAnsi="Times New Roman" w:cs="Times New Roman"/>
          <w:sz w:val="24"/>
          <w:szCs w:val="24"/>
          <w:lang w:val="en-US"/>
        </w:rPr>
        <w:t>, 32 (3), 774-786.</w:t>
      </w:r>
    </w:p>
    <w:p w14:paraId="0996E7B2"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Tsekouras, K., Chatzistamoulou, N., Kounetas, K., &amp; Broadstock, D.C. (2016). Spillovers, path dependence and the productive performance of European transportation sectors in the presence of technology heterogeneity. </w:t>
      </w:r>
      <w:r w:rsidRPr="002C24A8">
        <w:rPr>
          <w:rFonts w:ascii="Times New Roman" w:hAnsi="Times New Roman" w:cs="Times New Roman"/>
          <w:i/>
          <w:sz w:val="24"/>
          <w:szCs w:val="24"/>
          <w:lang w:val="en-US"/>
        </w:rPr>
        <w:t>Technological Forecasting and Social Change</w:t>
      </w:r>
      <w:r w:rsidRPr="002C24A8">
        <w:rPr>
          <w:rFonts w:ascii="Times New Roman" w:hAnsi="Times New Roman" w:cs="Times New Roman"/>
          <w:sz w:val="24"/>
          <w:szCs w:val="24"/>
          <w:lang w:val="en-US"/>
        </w:rPr>
        <w:t xml:space="preserve">, 102, </w:t>
      </w:r>
      <w:r w:rsidRPr="002C24A8" w:rsidDel="00747281">
        <w:rPr>
          <w:rFonts w:ascii="Times New Roman" w:hAnsi="Times New Roman" w:cs="Times New Roman"/>
          <w:sz w:val="24"/>
          <w:szCs w:val="24"/>
          <w:lang w:val="en-US"/>
        </w:rPr>
        <w:t xml:space="preserve"> </w:t>
      </w:r>
      <w:r w:rsidRPr="002C24A8">
        <w:rPr>
          <w:rFonts w:ascii="Times New Roman" w:hAnsi="Times New Roman" w:cs="Times New Roman"/>
          <w:sz w:val="24"/>
          <w:szCs w:val="24"/>
          <w:lang w:val="en-US"/>
        </w:rPr>
        <w:t>261-274.</w:t>
      </w:r>
    </w:p>
    <w:p w14:paraId="7D434897"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Ueki, Y., Jeenanunta, C., Machikita, T., &amp; Tsuji, M. (2016). Does safety-oriented corporate social responsibility promote innovation in the Thai trucking industry? </w:t>
      </w:r>
      <w:r w:rsidRPr="002C24A8">
        <w:rPr>
          <w:rFonts w:ascii="Times New Roman" w:hAnsi="Times New Roman" w:cs="Times New Roman"/>
          <w:i/>
          <w:sz w:val="24"/>
          <w:szCs w:val="24"/>
          <w:lang w:val="en-US"/>
        </w:rPr>
        <w:t>Journal of Business Research</w:t>
      </w:r>
      <w:r w:rsidRPr="002C24A8">
        <w:rPr>
          <w:rFonts w:ascii="Times New Roman" w:hAnsi="Times New Roman" w:cs="Times New Roman"/>
          <w:sz w:val="24"/>
          <w:szCs w:val="24"/>
          <w:lang w:val="en-US"/>
        </w:rPr>
        <w:t>, 69 (11), 5371-5376.</w:t>
      </w:r>
    </w:p>
    <w:p w14:paraId="1944BA26"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lastRenderedPageBreak/>
        <w:t xml:space="preserve">Volberda, H.W., Van Den Bosch, F.A.J. &amp; Heij, C.V. (2013). Management innovation: management as fertile ground for innovation. </w:t>
      </w:r>
      <w:r w:rsidRPr="002C24A8">
        <w:rPr>
          <w:rFonts w:ascii="Times New Roman" w:hAnsi="Times New Roman" w:cs="Times New Roman"/>
          <w:i/>
          <w:sz w:val="24"/>
          <w:szCs w:val="24"/>
          <w:lang w:val="en-US"/>
        </w:rPr>
        <w:t>European Management Review</w:t>
      </w:r>
      <w:r w:rsidRPr="002C24A8">
        <w:rPr>
          <w:rFonts w:ascii="Times New Roman" w:hAnsi="Times New Roman" w:cs="Times New Roman"/>
          <w:sz w:val="24"/>
          <w:szCs w:val="24"/>
          <w:lang w:val="en-US"/>
        </w:rPr>
        <w:t>, 10 (1), 1-15.</w:t>
      </w:r>
    </w:p>
    <w:p w14:paraId="7CA60FDB" w14:textId="77777777" w:rsidR="009E0A9B" w:rsidRPr="002C24A8" w:rsidRDefault="009E0A9B" w:rsidP="003F3E3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Waddock, S. A., &amp; Graves, S. B. (1997). The corporate social performance–financial performance link. </w:t>
      </w:r>
      <w:r w:rsidRPr="002C24A8">
        <w:rPr>
          <w:rFonts w:ascii="Times New Roman" w:hAnsi="Times New Roman" w:cs="Times New Roman"/>
          <w:i/>
          <w:sz w:val="24"/>
          <w:szCs w:val="24"/>
          <w:lang w:val="en-US"/>
        </w:rPr>
        <w:t>Strategic Management Journal</w:t>
      </w:r>
      <w:r w:rsidRPr="002C24A8">
        <w:rPr>
          <w:rFonts w:ascii="Times New Roman" w:hAnsi="Times New Roman" w:cs="Times New Roman"/>
          <w:sz w:val="24"/>
          <w:szCs w:val="24"/>
          <w:lang w:val="en-US"/>
        </w:rPr>
        <w:t>, 18 (4), 303-319.</w:t>
      </w:r>
    </w:p>
    <w:p w14:paraId="09BB2C6A"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Walker, R.M., Chen, J. and Aravind, D. (2015). Management innovation and firm performance: an integration of research findings. </w:t>
      </w:r>
      <w:r w:rsidRPr="002C24A8">
        <w:rPr>
          <w:rFonts w:ascii="Times New Roman" w:hAnsi="Times New Roman" w:cs="Times New Roman"/>
          <w:i/>
          <w:sz w:val="24"/>
          <w:szCs w:val="24"/>
          <w:lang w:val="en-US"/>
        </w:rPr>
        <w:t>European Management Journal</w:t>
      </w:r>
      <w:r w:rsidRPr="002C24A8">
        <w:rPr>
          <w:rFonts w:ascii="Times New Roman" w:hAnsi="Times New Roman" w:cs="Times New Roman"/>
          <w:sz w:val="24"/>
          <w:szCs w:val="24"/>
          <w:lang w:val="en-US"/>
        </w:rPr>
        <w:t>, 33 (5), 407-422.</w:t>
      </w:r>
    </w:p>
    <w:p w14:paraId="6CA388B1" w14:textId="77777777" w:rsidR="009E0A9B" w:rsidRPr="002C24A8" w:rsidRDefault="009E0A9B" w:rsidP="00262C8B">
      <w:pPr>
        <w:spacing w:line="480" w:lineRule="auto"/>
        <w:ind w:left="360"/>
        <w:jc w:val="both"/>
        <w:rPr>
          <w:rFonts w:ascii="Times New Roman" w:hAnsi="Times New Roman" w:cs="Times New Roman"/>
          <w:sz w:val="24"/>
          <w:szCs w:val="24"/>
          <w:lang w:val="de-DE"/>
        </w:rPr>
      </w:pPr>
      <w:r w:rsidRPr="002C24A8">
        <w:rPr>
          <w:rFonts w:ascii="Times New Roman" w:hAnsi="Times New Roman" w:cs="Times New Roman"/>
          <w:sz w:val="24"/>
          <w:szCs w:val="24"/>
          <w:lang w:val="en-US"/>
        </w:rPr>
        <w:t xml:space="preserve">Wang, C.H., Lu, I.Y., &amp; Chen, C.B. (2008). Evaluating firm technological innovation capability under uncertainty. </w:t>
      </w:r>
      <w:r w:rsidRPr="002C24A8">
        <w:rPr>
          <w:rFonts w:ascii="Times New Roman" w:hAnsi="Times New Roman" w:cs="Times New Roman"/>
          <w:i/>
          <w:sz w:val="24"/>
          <w:szCs w:val="24"/>
          <w:lang w:val="de-DE"/>
        </w:rPr>
        <w:t>Technovation</w:t>
      </w:r>
      <w:r w:rsidRPr="002C24A8">
        <w:rPr>
          <w:rFonts w:ascii="Times New Roman" w:hAnsi="Times New Roman" w:cs="Times New Roman"/>
          <w:sz w:val="24"/>
          <w:szCs w:val="24"/>
          <w:lang w:val="de-DE"/>
        </w:rPr>
        <w:t>, 28 (6), 349-363.</w:t>
      </w:r>
    </w:p>
    <w:p w14:paraId="58BFD241" w14:textId="77777777" w:rsidR="009E0A9B" w:rsidRPr="00593E51" w:rsidRDefault="009E0A9B" w:rsidP="0096227F">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de-DE"/>
        </w:rPr>
        <w:t xml:space="preserve">Wang, C.H., Lu, I.Y., &amp; Chen, C.B. (2008). </w:t>
      </w:r>
      <w:r w:rsidRPr="002C24A8">
        <w:rPr>
          <w:rFonts w:ascii="Times New Roman" w:hAnsi="Times New Roman" w:cs="Times New Roman"/>
          <w:sz w:val="24"/>
          <w:szCs w:val="24"/>
          <w:lang w:val="en-US"/>
        </w:rPr>
        <w:t xml:space="preserve">Evaluating firm technological innovation capability under uncertainty. </w:t>
      </w:r>
      <w:r w:rsidRPr="00593E51">
        <w:rPr>
          <w:rFonts w:ascii="Times New Roman" w:hAnsi="Times New Roman" w:cs="Times New Roman"/>
          <w:i/>
          <w:sz w:val="24"/>
          <w:szCs w:val="24"/>
          <w:lang w:val="en-US"/>
        </w:rPr>
        <w:t>Technovation</w:t>
      </w:r>
      <w:r w:rsidRPr="00593E51">
        <w:rPr>
          <w:rFonts w:ascii="Times New Roman" w:hAnsi="Times New Roman" w:cs="Times New Roman"/>
          <w:sz w:val="24"/>
          <w:szCs w:val="24"/>
          <w:lang w:val="en-US"/>
        </w:rPr>
        <w:t>, 28 (6), 349-363.</w:t>
      </w:r>
    </w:p>
    <w:p w14:paraId="51F1ED71"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593E51">
        <w:rPr>
          <w:rFonts w:ascii="Times New Roman" w:hAnsi="Times New Roman" w:cs="Times New Roman"/>
          <w:sz w:val="24"/>
          <w:szCs w:val="24"/>
          <w:lang w:val="en-US"/>
        </w:rPr>
        <w:t xml:space="preserve">Wang, D.H.M., Chen, P.H., Yu, T.H.K., &amp; Hsiao, C.Y. (2015). </w:t>
      </w:r>
      <w:r w:rsidRPr="002C24A8">
        <w:rPr>
          <w:rFonts w:ascii="Times New Roman" w:hAnsi="Times New Roman" w:cs="Times New Roman"/>
          <w:sz w:val="24"/>
          <w:szCs w:val="24"/>
          <w:lang w:val="en-US"/>
        </w:rPr>
        <w:t xml:space="preserve">The effects of corporate social responsibility on brand equity and firm performance. </w:t>
      </w:r>
      <w:r w:rsidRPr="002C24A8">
        <w:rPr>
          <w:rFonts w:ascii="Times New Roman" w:hAnsi="Times New Roman" w:cs="Times New Roman"/>
          <w:i/>
          <w:sz w:val="24"/>
          <w:szCs w:val="24"/>
          <w:lang w:val="en-US"/>
        </w:rPr>
        <w:t>Journal of Business Research</w:t>
      </w:r>
      <w:r w:rsidRPr="002C24A8">
        <w:rPr>
          <w:rFonts w:ascii="Times New Roman" w:hAnsi="Times New Roman" w:cs="Times New Roman"/>
          <w:sz w:val="24"/>
          <w:szCs w:val="24"/>
          <w:lang w:val="en-US"/>
        </w:rPr>
        <w:t>, 68 (11), 2232-2236.</w:t>
      </w:r>
    </w:p>
    <w:p w14:paraId="492EDC1F"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Wang, Q., Dou, J., &amp; Jia, S. (2016). A meta-analytic review of corporate social responsibility and corporate financial performance: The moderating effect of contextual factors. </w:t>
      </w:r>
      <w:r w:rsidRPr="002C24A8">
        <w:rPr>
          <w:rFonts w:ascii="Times New Roman" w:hAnsi="Times New Roman" w:cs="Times New Roman"/>
          <w:i/>
          <w:sz w:val="24"/>
          <w:szCs w:val="24"/>
          <w:lang w:val="en-US"/>
        </w:rPr>
        <w:t>Business &amp; Society</w:t>
      </w:r>
      <w:r w:rsidRPr="002C24A8">
        <w:rPr>
          <w:rFonts w:ascii="Times New Roman" w:hAnsi="Times New Roman" w:cs="Times New Roman"/>
          <w:sz w:val="24"/>
          <w:szCs w:val="24"/>
          <w:lang w:val="en-US"/>
        </w:rPr>
        <w:t>, 55 (8), 1083-1121.</w:t>
      </w:r>
    </w:p>
    <w:p w14:paraId="25BF6376"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Westley, F., Olsson, P., Folke, C., Homer-Dixon, T., Vredenburg, H., Loorbach, D., Thompson, J., et al. (2011). Tipping toward sustainability: emerging pathways of transformation. </w:t>
      </w:r>
      <w:r w:rsidRPr="002C24A8">
        <w:rPr>
          <w:rFonts w:ascii="Times New Roman" w:hAnsi="Times New Roman" w:cs="Times New Roman"/>
          <w:i/>
          <w:sz w:val="24"/>
          <w:szCs w:val="24"/>
          <w:lang w:val="en-US"/>
        </w:rPr>
        <w:t>Ambio,</w:t>
      </w:r>
      <w:r w:rsidRPr="002C24A8">
        <w:rPr>
          <w:rFonts w:ascii="Times New Roman" w:hAnsi="Times New Roman" w:cs="Times New Roman"/>
          <w:sz w:val="24"/>
          <w:szCs w:val="24"/>
          <w:lang w:val="en-US"/>
        </w:rPr>
        <w:t xml:space="preserve"> 40 (7), 762.</w:t>
      </w:r>
    </w:p>
    <w:p w14:paraId="3A57634F"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lastRenderedPageBreak/>
        <w:t xml:space="preserve">Wilson, P. W. (2008). FEAR: A software package for frontier efficiency analysis with R. </w:t>
      </w:r>
      <w:r w:rsidRPr="002C24A8">
        <w:rPr>
          <w:rFonts w:ascii="Times New Roman" w:hAnsi="Times New Roman" w:cs="Times New Roman"/>
          <w:i/>
          <w:sz w:val="24"/>
          <w:szCs w:val="24"/>
          <w:lang w:val="en-US"/>
        </w:rPr>
        <w:t>Socio-Economic Planning Sciences</w:t>
      </w:r>
      <w:r w:rsidRPr="002C24A8">
        <w:rPr>
          <w:rFonts w:ascii="Times New Roman" w:hAnsi="Times New Roman" w:cs="Times New Roman"/>
          <w:sz w:val="24"/>
          <w:szCs w:val="24"/>
          <w:lang w:val="en-US"/>
        </w:rPr>
        <w:t>, 42 (4), 247-254.</w:t>
      </w:r>
    </w:p>
    <w:p w14:paraId="4589A571"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Wilson, P. W. (2018). Dimension reduction in nonparametric models of production. </w:t>
      </w:r>
      <w:r w:rsidRPr="002C24A8">
        <w:rPr>
          <w:rFonts w:ascii="Times New Roman" w:hAnsi="Times New Roman" w:cs="Times New Roman"/>
          <w:i/>
          <w:sz w:val="24"/>
          <w:szCs w:val="24"/>
          <w:lang w:val="en-US"/>
        </w:rPr>
        <w:t>European Journal of Operational Research</w:t>
      </w:r>
      <w:r w:rsidRPr="002C24A8">
        <w:rPr>
          <w:rFonts w:ascii="Times New Roman" w:hAnsi="Times New Roman" w:cs="Times New Roman"/>
          <w:sz w:val="24"/>
          <w:szCs w:val="24"/>
          <w:lang w:val="en-US"/>
        </w:rPr>
        <w:t>, 267 (1), 349-367.</w:t>
      </w:r>
    </w:p>
    <w:p w14:paraId="4C9CAE6D"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Wood, D.J. (2010). Measuring corporate social performance: A review. </w:t>
      </w:r>
      <w:r w:rsidRPr="002C24A8">
        <w:rPr>
          <w:rFonts w:ascii="Times New Roman" w:hAnsi="Times New Roman" w:cs="Times New Roman"/>
          <w:i/>
          <w:sz w:val="24"/>
          <w:szCs w:val="24"/>
          <w:lang w:val="en-US"/>
        </w:rPr>
        <w:t>International Journal of Management Reviews</w:t>
      </w:r>
      <w:r w:rsidRPr="002C24A8">
        <w:rPr>
          <w:rFonts w:ascii="Times New Roman" w:hAnsi="Times New Roman" w:cs="Times New Roman"/>
          <w:sz w:val="24"/>
          <w:szCs w:val="24"/>
          <w:lang w:val="en-US"/>
        </w:rPr>
        <w:t>, 12</w:t>
      </w:r>
      <w:r w:rsidRPr="002C24A8" w:rsidDel="00211080">
        <w:rPr>
          <w:rFonts w:ascii="Times New Roman" w:hAnsi="Times New Roman" w:cs="Times New Roman"/>
          <w:sz w:val="24"/>
          <w:szCs w:val="24"/>
          <w:lang w:val="en-US"/>
        </w:rPr>
        <w:t xml:space="preserve">, </w:t>
      </w:r>
      <w:r w:rsidRPr="002C24A8">
        <w:rPr>
          <w:rFonts w:ascii="Times New Roman" w:hAnsi="Times New Roman" w:cs="Times New Roman"/>
          <w:sz w:val="24"/>
          <w:szCs w:val="24"/>
          <w:lang w:val="en-US"/>
        </w:rPr>
        <w:t>(</w:t>
      </w:r>
      <w:r w:rsidRPr="002C24A8" w:rsidDel="00211080">
        <w:rPr>
          <w:rFonts w:ascii="Times New Roman" w:hAnsi="Times New Roman" w:cs="Times New Roman"/>
          <w:sz w:val="24"/>
          <w:szCs w:val="24"/>
          <w:lang w:val="en-US"/>
        </w:rPr>
        <w:t>1</w:t>
      </w:r>
      <w:r w:rsidRPr="002C24A8">
        <w:rPr>
          <w:rFonts w:ascii="Times New Roman" w:hAnsi="Times New Roman" w:cs="Times New Roman"/>
          <w:sz w:val="24"/>
          <w:szCs w:val="24"/>
          <w:lang w:val="en-US"/>
        </w:rPr>
        <w:t>), 50-84.</w:t>
      </w:r>
    </w:p>
    <w:p w14:paraId="31DC654A" w14:textId="77777777" w:rsidR="009E0A9B" w:rsidRPr="002C24A8" w:rsidRDefault="009E0A9B" w:rsidP="005F6DD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Wu, M.W., &amp; Shen, C.H. (2013). Corporate social responsibility in the banking industry: Motives and financial performance. </w:t>
      </w:r>
      <w:r w:rsidRPr="002C24A8">
        <w:rPr>
          <w:rFonts w:ascii="Times New Roman" w:hAnsi="Times New Roman" w:cs="Times New Roman"/>
          <w:i/>
          <w:sz w:val="24"/>
          <w:szCs w:val="24"/>
          <w:lang w:val="en-US"/>
        </w:rPr>
        <w:t>Journal of Banking &amp; Finance</w:t>
      </w:r>
      <w:r w:rsidRPr="002C24A8">
        <w:rPr>
          <w:rFonts w:ascii="Times New Roman" w:hAnsi="Times New Roman" w:cs="Times New Roman"/>
          <w:sz w:val="24"/>
          <w:szCs w:val="24"/>
          <w:lang w:val="en-US"/>
        </w:rPr>
        <w:t>, 37 (9), 3529-3547.</w:t>
      </w:r>
    </w:p>
    <w:p w14:paraId="6F268B9E" w14:textId="77777777" w:rsidR="009E0A9B" w:rsidRPr="002C24A8" w:rsidRDefault="009E0A9B" w:rsidP="00E11D5D">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Yam, R. C., Guan, J. C., Pun, K. F., &amp; Tang, E. P. (2004). An audit of technological innovation capabilities in Chinese firms: some empirical findings in Beijing, China. </w:t>
      </w:r>
      <w:r w:rsidRPr="002C24A8">
        <w:rPr>
          <w:rFonts w:ascii="Times New Roman" w:hAnsi="Times New Roman" w:cs="Times New Roman"/>
          <w:i/>
          <w:iCs/>
          <w:sz w:val="24"/>
          <w:szCs w:val="24"/>
          <w:lang w:val="en-US"/>
        </w:rPr>
        <w:t>Research Policy</w:t>
      </w:r>
      <w:r w:rsidRPr="002C24A8">
        <w:rPr>
          <w:rFonts w:ascii="Times New Roman" w:hAnsi="Times New Roman" w:cs="Times New Roman"/>
          <w:sz w:val="24"/>
          <w:szCs w:val="24"/>
          <w:lang w:val="en-US"/>
        </w:rPr>
        <w:t xml:space="preserve">, </w:t>
      </w:r>
      <w:r w:rsidRPr="002C24A8">
        <w:rPr>
          <w:rFonts w:ascii="Times New Roman" w:hAnsi="Times New Roman" w:cs="Times New Roman"/>
          <w:iCs/>
          <w:sz w:val="24"/>
          <w:szCs w:val="24"/>
          <w:lang w:val="en-US"/>
        </w:rPr>
        <w:t>33</w:t>
      </w:r>
      <w:r w:rsidRPr="002C24A8">
        <w:rPr>
          <w:rFonts w:ascii="Times New Roman" w:hAnsi="Times New Roman" w:cs="Times New Roman"/>
          <w:i/>
          <w:iCs/>
          <w:sz w:val="24"/>
          <w:szCs w:val="24"/>
          <w:lang w:val="en-US"/>
        </w:rPr>
        <w:t xml:space="preserve"> </w:t>
      </w:r>
      <w:r w:rsidRPr="002C24A8">
        <w:rPr>
          <w:rFonts w:ascii="Times New Roman" w:hAnsi="Times New Roman" w:cs="Times New Roman"/>
          <w:sz w:val="24"/>
          <w:szCs w:val="24"/>
          <w:lang w:val="en-US"/>
        </w:rPr>
        <w:t>(8), 1123-1140.</w:t>
      </w:r>
    </w:p>
    <w:p w14:paraId="34C70E08" w14:textId="77777777" w:rsidR="009E0A9B" w:rsidRPr="002C24A8" w:rsidRDefault="009E0A9B" w:rsidP="003F3E36">
      <w:pPr>
        <w:spacing w:line="480" w:lineRule="auto"/>
        <w:ind w:left="360"/>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 xml:space="preserve">Zahra, S.A., &amp; George, G. (2002). Absorptive Capacity: A Review, Reconceptualization, and Extension. </w:t>
      </w:r>
      <w:r w:rsidRPr="002C24A8">
        <w:rPr>
          <w:rFonts w:ascii="Times New Roman" w:hAnsi="Times New Roman" w:cs="Times New Roman"/>
          <w:i/>
          <w:sz w:val="24"/>
          <w:szCs w:val="24"/>
          <w:lang w:val="en-US"/>
        </w:rPr>
        <w:t>Academy of Management Review</w:t>
      </w:r>
      <w:r w:rsidRPr="002C24A8">
        <w:rPr>
          <w:rFonts w:ascii="Times New Roman" w:hAnsi="Times New Roman" w:cs="Times New Roman"/>
          <w:sz w:val="24"/>
          <w:szCs w:val="24"/>
          <w:lang w:val="en-US"/>
        </w:rPr>
        <w:t>, 27 (2), 185-203.</w:t>
      </w:r>
    </w:p>
    <w:p w14:paraId="06AA0933" w14:textId="77777777" w:rsidR="00EC4E07" w:rsidRPr="002C24A8" w:rsidRDefault="00EC4E07">
      <w:pPr>
        <w:rPr>
          <w:rFonts w:ascii="Times New Roman" w:hAnsi="Times New Roman" w:cs="Times New Roman"/>
          <w:b/>
          <w:sz w:val="24"/>
          <w:szCs w:val="24"/>
          <w:lang w:val="en-US"/>
        </w:rPr>
      </w:pPr>
      <w:r w:rsidRPr="002C24A8">
        <w:rPr>
          <w:rFonts w:ascii="Times New Roman" w:hAnsi="Times New Roman" w:cs="Times New Roman"/>
          <w:b/>
          <w:sz w:val="24"/>
          <w:szCs w:val="24"/>
          <w:lang w:val="en-US"/>
        </w:rPr>
        <w:br w:type="page"/>
      </w:r>
    </w:p>
    <w:p w14:paraId="1BD0AE4D" w14:textId="2A973A73" w:rsidR="00B01D81" w:rsidRPr="002C24A8" w:rsidRDefault="00B01D81" w:rsidP="00F1437D">
      <w:pPr>
        <w:jc w:val="both"/>
        <w:rPr>
          <w:rFonts w:ascii="Times New Roman" w:hAnsi="Times New Roman" w:cs="Times New Roman"/>
          <w:sz w:val="24"/>
          <w:szCs w:val="24"/>
          <w:lang w:val="en-US"/>
        </w:rPr>
      </w:pPr>
      <w:r w:rsidRPr="002C24A8">
        <w:rPr>
          <w:rFonts w:ascii="Times New Roman" w:hAnsi="Times New Roman" w:cs="Times New Roman"/>
          <w:b/>
          <w:sz w:val="24"/>
          <w:szCs w:val="24"/>
          <w:lang w:val="en-US"/>
        </w:rPr>
        <w:lastRenderedPageBreak/>
        <w:t>Table 1</w:t>
      </w:r>
      <w:r w:rsidRPr="002C24A8">
        <w:rPr>
          <w:rFonts w:ascii="Times New Roman" w:hAnsi="Times New Roman" w:cs="Times New Roman"/>
          <w:sz w:val="24"/>
          <w:szCs w:val="24"/>
          <w:lang w:val="en-US"/>
        </w:rPr>
        <w:t>: Descriptive statistics of the variables used</w:t>
      </w:r>
    </w:p>
    <w:tbl>
      <w:tblPr>
        <w:tblW w:w="5000" w:type="pct"/>
        <w:tblLook w:val="04A0" w:firstRow="1" w:lastRow="0" w:firstColumn="1" w:lastColumn="0" w:noHBand="0" w:noVBand="1"/>
      </w:tblPr>
      <w:tblGrid>
        <w:gridCol w:w="990"/>
        <w:gridCol w:w="990"/>
        <w:gridCol w:w="1319"/>
        <w:gridCol w:w="2282"/>
        <w:gridCol w:w="1595"/>
        <w:gridCol w:w="2184"/>
      </w:tblGrid>
      <w:tr w:rsidR="00B01D81" w:rsidRPr="00907DAC" w14:paraId="2AB23B7D" w14:textId="77777777" w:rsidTr="00B01D81">
        <w:trPr>
          <w:trHeight w:val="315"/>
        </w:trPr>
        <w:tc>
          <w:tcPr>
            <w:tcW w:w="535" w:type="pct"/>
            <w:tcBorders>
              <w:top w:val="single" w:sz="4" w:space="0" w:color="auto"/>
              <w:left w:val="nil"/>
              <w:bottom w:val="double" w:sz="6" w:space="0" w:color="auto"/>
              <w:right w:val="nil"/>
            </w:tcBorders>
            <w:shd w:val="clear" w:color="auto" w:fill="auto"/>
            <w:noWrap/>
            <w:vAlign w:val="bottom"/>
            <w:hideMark/>
          </w:tcPr>
          <w:p w14:paraId="2FBB910C"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 </w:t>
            </w:r>
          </w:p>
        </w:tc>
        <w:tc>
          <w:tcPr>
            <w:tcW w:w="535" w:type="pct"/>
            <w:tcBorders>
              <w:top w:val="single" w:sz="4" w:space="0" w:color="auto"/>
              <w:left w:val="nil"/>
              <w:bottom w:val="double" w:sz="6" w:space="0" w:color="auto"/>
              <w:right w:val="nil"/>
            </w:tcBorders>
            <w:shd w:val="clear" w:color="auto" w:fill="auto"/>
            <w:noWrap/>
            <w:vAlign w:val="bottom"/>
            <w:hideMark/>
          </w:tcPr>
          <w:p w14:paraId="49B8415D"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 </w:t>
            </w:r>
          </w:p>
        </w:tc>
        <w:tc>
          <w:tcPr>
            <w:tcW w:w="711" w:type="pct"/>
            <w:tcBorders>
              <w:top w:val="single" w:sz="4" w:space="0" w:color="auto"/>
              <w:left w:val="nil"/>
              <w:bottom w:val="double" w:sz="6" w:space="0" w:color="auto"/>
              <w:right w:val="nil"/>
            </w:tcBorders>
            <w:shd w:val="clear" w:color="auto" w:fill="auto"/>
            <w:noWrap/>
            <w:vAlign w:val="bottom"/>
            <w:hideMark/>
          </w:tcPr>
          <w:p w14:paraId="3CB07BFB"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Total Assets</w:t>
            </w:r>
          </w:p>
        </w:tc>
        <w:tc>
          <w:tcPr>
            <w:tcW w:w="1225" w:type="pct"/>
            <w:tcBorders>
              <w:top w:val="single" w:sz="4" w:space="0" w:color="auto"/>
              <w:left w:val="nil"/>
              <w:bottom w:val="double" w:sz="6" w:space="0" w:color="auto"/>
              <w:right w:val="nil"/>
            </w:tcBorders>
            <w:shd w:val="clear" w:color="auto" w:fill="auto"/>
            <w:noWrap/>
            <w:vAlign w:val="bottom"/>
            <w:hideMark/>
          </w:tcPr>
          <w:p w14:paraId="599114F0"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Number of Employees</w:t>
            </w:r>
          </w:p>
        </w:tc>
        <w:tc>
          <w:tcPr>
            <w:tcW w:w="858" w:type="pct"/>
            <w:tcBorders>
              <w:top w:val="single" w:sz="4" w:space="0" w:color="auto"/>
              <w:left w:val="nil"/>
              <w:bottom w:val="double" w:sz="6" w:space="0" w:color="auto"/>
              <w:right w:val="nil"/>
            </w:tcBorders>
            <w:shd w:val="clear" w:color="auto" w:fill="auto"/>
            <w:noWrap/>
            <w:vAlign w:val="bottom"/>
            <w:hideMark/>
          </w:tcPr>
          <w:p w14:paraId="2DDD2357"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Total Revenues</w:t>
            </w:r>
          </w:p>
        </w:tc>
        <w:tc>
          <w:tcPr>
            <w:tcW w:w="1136" w:type="pct"/>
            <w:tcBorders>
              <w:top w:val="single" w:sz="4" w:space="0" w:color="auto"/>
              <w:left w:val="nil"/>
              <w:bottom w:val="double" w:sz="6" w:space="0" w:color="auto"/>
              <w:right w:val="nil"/>
            </w:tcBorders>
            <w:shd w:val="clear" w:color="auto" w:fill="auto"/>
            <w:noWrap/>
            <w:vAlign w:val="bottom"/>
            <w:hideMark/>
          </w:tcPr>
          <w:p w14:paraId="17A18684"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ESG Disclosure Score</w:t>
            </w:r>
          </w:p>
        </w:tc>
      </w:tr>
      <w:tr w:rsidR="00B01D81" w:rsidRPr="00907DAC" w14:paraId="5418500C" w14:textId="77777777" w:rsidTr="00B01D81">
        <w:trPr>
          <w:trHeight w:val="315"/>
        </w:trPr>
        <w:tc>
          <w:tcPr>
            <w:tcW w:w="535" w:type="pct"/>
            <w:tcBorders>
              <w:top w:val="nil"/>
              <w:left w:val="nil"/>
              <w:bottom w:val="nil"/>
              <w:right w:val="nil"/>
            </w:tcBorders>
            <w:shd w:val="clear" w:color="auto" w:fill="auto"/>
            <w:noWrap/>
            <w:vAlign w:val="bottom"/>
            <w:hideMark/>
          </w:tcPr>
          <w:p w14:paraId="12A0F378"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2008</w:t>
            </w:r>
          </w:p>
        </w:tc>
        <w:tc>
          <w:tcPr>
            <w:tcW w:w="535" w:type="pct"/>
            <w:tcBorders>
              <w:top w:val="nil"/>
              <w:left w:val="nil"/>
              <w:bottom w:val="nil"/>
              <w:right w:val="nil"/>
            </w:tcBorders>
            <w:shd w:val="clear" w:color="auto" w:fill="auto"/>
            <w:noWrap/>
            <w:vAlign w:val="bottom"/>
            <w:hideMark/>
          </w:tcPr>
          <w:p w14:paraId="43A8F9E4"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Mean</w:t>
            </w:r>
          </w:p>
        </w:tc>
        <w:tc>
          <w:tcPr>
            <w:tcW w:w="711" w:type="pct"/>
            <w:tcBorders>
              <w:top w:val="nil"/>
              <w:left w:val="nil"/>
              <w:bottom w:val="nil"/>
              <w:right w:val="nil"/>
            </w:tcBorders>
            <w:shd w:val="clear" w:color="auto" w:fill="auto"/>
            <w:noWrap/>
            <w:vAlign w:val="bottom"/>
            <w:hideMark/>
          </w:tcPr>
          <w:p w14:paraId="44877B9E"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25503.170</w:t>
            </w:r>
          </w:p>
        </w:tc>
        <w:tc>
          <w:tcPr>
            <w:tcW w:w="1225" w:type="pct"/>
            <w:tcBorders>
              <w:top w:val="nil"/>
              <w:left w:val="nil"/>
              <w:bottom w:val="nil"/>
              <w:right w:val="nil"/>
            </w:tcBorders>
            <w:shd w:val="clear" w:color="auto" w:fill="auto"/>
            <w:noWrap/>
            <w:vAlign w:val="bottom"/>
            <w:hideMark/>
          </w:tcPr>
          <w:p w14:paraId="1C9E236F"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18640</w:t>
            </w:r>
          </w:p>
        </w:tc>
        <w:tc>
          <w:tcPr>
            <w:tcW w:w="858" w:type="pct"/>
            <w:tcBorders>
              <w:top w:val="nil"/>
              <w:left w:val="nil"/>
              <w:bottom w:val="nil"/>
              <w:right w:val="nil"/>
            </w:tcBorders>
            <w:shd w:val="clear" w:color="auto" w:fill="auto"/>
            <w:noWrap/>
            <w:vAlign w:val="bottom"/>
            <w:hideMark/>
          </w:tcPr>
          <w:p w14:paraId="79C2144A"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7964.965</w:t>
            </w:r>
          </w:p>
        </w:tc>
        <w:tc>
          <w:tcPr>
            <w:tcW w:w="1136" w:type="pct"/>
            <w:tcBorders>
              <w:top w:val="nil"/>
              <w:left w:val="nil"/>
              <w:bottom w:val="nil"/>
              <w:right w:val="nil"/>
            </w:tcBorders>
            <w:shd w:val="clear" w:color="auto" w:fill="auto"/>
            <w:noWrap/>
            <w:vAlign w:val="bottom"/>
            <w:hideMark/>
          </w:tcPr>
          <w:p w14:paraId="25915937"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35.084</w:t>
            </w:r>
          </w:p>
        </w:tc>
      </w:tr>
      <w:tr w:rsidR="00B01D81" w:rsidRPr="00907DAC" w14:paraId="3D028629" w14:textId="77777777" w:rsidTr="00B01D81">
        <w:trPr>
          <w:trHeight w:val="300"/>
        </w:trPr>
        <w:tc>
          <w:tcPr>
            <w:tcW w:w="535" w:type="pct"/>
            <w:tcBorders>
              <w:top w:val="nil"/>
              <w:left w:val="nil"/>
              <w:bottom w:val="nil"/>
              <w:right w:val="nil"/>
            </w:tcBorders>
            <w:shd w:val="clear" w:color="auto" w:fill="auto"/>
            <w:noWrap/>
            <w:vAlign w:val="bottom"/>
            <w:hideMark/>
          </w:tcPr>
          <w:p w14:paraId="43C3B79F"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p>
        </w:tc>
        <w:tc>
          <w:tcPr>
            <w:tcW w:w="535" w:type="pct"/>
            <w:tcBorders>
              <w:top w:val="nil"/>
              <w:left w:val="nil"/>
              <w:bottom w:val="nil"/>
              <w:right w:val="nil"/>
            </w:tcBorders>
            <w:shd w:val="clear" w:color="auto" w:fill="auto"/>
            <w:noWrap/>
            <w:vAlign w:val="bottom"/>
            <w:hideMark/>
          </w:tcPr>
          <w:p w14:paraId="466831BE"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Std</w:t>
            </w:r>
          </w:p>
        </w:tc>
        <w:tc>
          <w:tcPr>
            <w:tcW w:w="711" w:type="pct"/>
            <w:tcBorders>
              <w:top w:val="nil"/>
              <w:left w:val="nil"/>
              <w:bottom w:val="nil"/>
              <w:right w:val="nil"/>
            </w:tcBorders>
            <w:shd w:val="clear" w:color="auto" w:fill="auto"/>
            <w:noWrap/>
            <w:vAlign w:val="bottom"/>
            <w:hideMark/>
          </w:tcPr>
          <w:p w14:paraId="26491DD7"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153239.444</w:t>
            </w:r>
          </w:p>
        </w:tc>
        <w:tc>
          <w:tcPr>
            <w:tcW w:w="1225" w:type="pct"/>
            <w:tcBorders>
              <w:top w:val="nil"/>
              <w:left w:val="nil"/>
              <w:bottom w:val="nil"/>
              <w:right w:val="nil"/>
            </w:tcBorders>
            <w:shd w:val="clear" w:color="auto" w:fill="auto"/>
            <w:noWrap/>
            <w:vAlign w:val="bottom"/>
            <w:hideMark/>
          </w:tcPr>
          <w:p w14:paraId="5E0A9673"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41797</w:t>
            </w:r>
          </w:p>
        </w:tc>
        <w:tc>
          <w:tcPr>
            <w:tcW w:w="858" w:type="pct"/>
            <w:tcBorders>
              <w:top w:val="nil"/>
              <w:left w:val="nil"/>
              <w:bottom w:val="nil"/>
              <w:right w:val="nil"/>
            </w:tcBorders>
            <w:shd w:val="clear" w:color="auto" w:fill="auto"/>
            <w:noWrap/>
            <w:vAlign w:val="bottom"/>
            <w:hideMark/>
          </w:tcPr>
          <w:p w14:paraId="573A8F58"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18559.305</w:t>
            </w:r>
          </w:p>
        </w:tc>
        <w:tc>
          <w:tcPr>
            <w:tcW w:w="1136" w:type="pct"/>
            <w:tcBorders>
              <w:top w:val="nil"/>
              <w:left w:val="nil"/>
              <w:bottom w:val="nil"/>
              <w:right w:val="nil"/>
            </w:tcBorders>
            <w:shd w:val="clear" w:color="auto" w:fill="auto"/>
            <w:noWrap/>
            <w:vAlign w:val="bottom"/>
            <w:hideMark/>
          </w:tcPr>
          <w:p w14:paraId="7C9A0D70"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7.067</w:t>
            </w:r>
          </w:p>
        </w:tc>
      </w:tr>
      <w:tr w:rsidR="00B01D81" w:rsidRPr="00907DAC" w14:paraId="241644D6" w14:textId="77777777" w:rsidTr="00B01D81">
        <w:trPr>
          <w:trHeight w:val="300"/>
        </w:trPr>
        <w:tc>
          <w:tcPr>
            <w:tcW w:w="535" w:type="pct"/>
            <w:tcBorders>
              <w:top w:val="nil"/>
              <w:left w:val="nil"/>
              <w:bottom w:val="nil"/>
              <w:right w:val="nil"/>
            </w:tcBorders>
            <w:shd w:val="clear" w:color="auto" w:fill="auto"/>
            <w:noWrap/>
            <w:vAlign w:val="bottom"/>
            <w:hideMark/>
          </w:tcPr>
          <w:p w14:paraId="24E1B221"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2009</w:t>
            </w:r>
          </w:p>
        </w:tc>
        <w:tc>
          <w:tcPr>
            <w:tcW w:w="535" w:type="pct"/>
            <w:tcBorders>
              <w:top w:val="nil"/>
              <w:left w:val="nil"/>
              <w:bottom w:val="nil"/>
              <w:right w:val="nil"/>
            </w:tcBorders>
            <w:shd w:val="clear" w:color="auto" w:fill="auto"/>
            <w:noWrap/>
            <w:vAlign w:val="bottom"/>
            <w:hideMark/>
          </w:tcPr>
          <w:p w14:paraId="017B70A9"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Mean</w:t>
            </w:r>
          </w:p>
        </w:tc>
        <w:tc>
          <w:tcPr>
            <w:tcW w:w="711" w:type="pct"/>
            <w:tcBorders>
              <w:top w:val="nil"/>
              <w:left w:val="nil"/>
              <w:bottom w:val="nil"/>
              <w:right w:val="nil"/>
            </w:tcBorders>
            <w:shd w:val="clear" w:color="auto" w:fill="auto"/>
            <w:noWrap/>
            <w:vAlign w:val="bottom"/>
            <w:hideMark/>
          </w:tcPr>
          <w:p w14:paraId="779DC09C"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25355.665</w:t>
            </w:r>
          </w:p>
        </w:tc>
        <w:tc>
          <w:tcPr>
            <w:tcW w:w="1225" w:type="pct"/>
            <w:tcBorders>
              <w:top w:val="nil"/>
              <w:left w:val="nil"/>
              <w:bottom w:val="nil"/>
              <w:right w:val="nil"/>
            </w:tcBorders>
            <w:shd w:val="clear" w:color="auto" w:fill="auto"/>
            <w:noWrap/>
            <w:vAlign w:val="bottom"/>
            <w:hideMark/>
          </w:tcPr>
          <w:p w14:paraId="79F309DF"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18749</w:t>
            </w:r>
          </w:p>
        </w:tc>
        <w:tc>
          <w:tcPr>
            <w:tcW w:w="858" w:type="pct"/>
            <w:tcBorders>
              <w:top w:val="nil"/>
              <w:left w:val="nil"/>
              <w:bottom w:val="nil"/>
              <w:right w:val="nil"/>
            </w:tcBorders>
            <w:shd w:val="clear" w:color="auto" w:fill="auto"/>
            <w:noWrap/>
            <w:vAlign w:val="bottom"/>
            <w:hideMark/>
          </w:tcPr>
          <w:p w14:paraId="7BCE9649"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8172.855</w:t>
            </w:r>
          </w:p>
        </w:tc>
        <w:tc>
          <w:tcPr>
            <w:tcW w:w="1136" w:type="pct"/>
            <w:tcBorders>
              <w:top w:val="nil"/>
              <w:left w:val="nil"/>
              <w:bottom w:val="nil"/>
              <w:right w:val="nil"/>
            </w:tcBorders>
            <w:shd w:val="clear" w:color="auto" w:fill="auto"/>
            <w:noWrap/>
            <w:vAlign w:val="bottom"/>
            <w:hideMark/>
          </w:tcPr>
          <w:p w14:paraId="3F686C79"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35.849</w:t>
            </w:r>
          </w:p>
        </w:tc>
      </w:tr>
      <w:tr w:rsidR="00B01D81" w:rsidRPr="00907DAC" w14:paraId="41A23DC3" w14:textId="77777777" w:rsidTr="00B01D81">
        <w:trPr>
          <w:trHeight w:val="300"/>
        </w:trPr>
        <w:tc>
          <w:tcPr>
            <w:tcW w:w="535" w:type="pct"/>
            <w:tcBorders>
              <w:top w:val="nil"/>
              <w:left w:val="nil"/>
              <w:bottom w:val="nil"/>
              <w:right w:val="nil"/>
            </w:tcBorders>
            <w:shd w:val="clear" w:color="auto" w:fill="auto"/>
            <w:noWrap/>
            <w:vAlign w:val="bottom"/>
            <w:hideMark/>
          </w:tcPr>
          <w:p w14:paraId="055B8848"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p>
        </w:tc>
        <w:tc>
          <w:tcPr>
            <w:tcW w:w="535" w:type="pct"/>
            <w:tcBorders>
              <w:top w:val="nil"/>
              <w:left w:val="nil"/>
              <w:bottom w:val="nil"/>
              <w:right w:val="nil"/>
            </w:tcBorders>
            <w:shd w:val="clear" w:color="auto" w:fill="auto"/>
            <w:noWrap/>
            <w:vAlign w:val="bottom"/>
            <w:hideMark/>
          </w:tcPr>
          <w:p w14:paraId="2387F106"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Std</w:t>
            </w:r>
          </w:p>
        </w:tc>
        <w:tc>
          <w:tcPr>
            <w:tcW w:w="711" w:type="pct"/>
            <w:tcBorders>
              <w:top w:val="nil"/>
              <w:left w:val="nil"/>
              <w:bottom w:val="nil"/>
              <w:right w:val="nil"/>
            </w:tcBorders>
            <w:shd w:val="clear" w:color="auto" w:fill="auto"/>
            <w:noWrap/>
            <w:vAlign w:val="bottom"/>
            <w:hideMark/>
          </w:tcPr>
          <w:p w14:paraId="313635DE"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157169.533</w:t>
            </w:r>
          </w:p>
        </w:tc>
        <w:tc>
          <w:tcPr>
            <w:tcW w:w="1225" w:type="pct"/>
            <w:tcBorders>
              <w:top w:val="nil"/>
              <w:left w:val="nil"/>
              <w:bottom w:val="nil"/>
              <w:right w:val="nil"/>
            </w:tcBorders>
            <w:shd w:val="clear" w:color="auto" w:fill="auto"/>
            <w:noWrap/>
            <w:vAlign w:val="bottom"/>
            <w:hideMark/>
          </w:tcPr>
          <w:p w14:paraId="07BD5274"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41855</w:t>
            </w:r>
          </w:p>
        </w:tc>
        <w:tc>
          <w:tcPr>
            <w:tcW w:w="858" w:type="pct"/>
            <w:tcBorders>
              <w:top w:val="nil"/>
              <w:left w:val="nil"/>
              <w:bottom w:val="nil"/>
              <w:right w:val="nil"/>
            </w:tcBorders>
            <w:shd w:val="clear" w:color="auto" w:fill="auto"/>
            <w:noWrap/>
            <w:vAlign w:val="bottom"/>
            <w:hideMark/>
          </w:tcPr>
          <w:p w14:paraId="0510E697"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17815.059</w:t>
            </w:r>
          </w:p>
        </w:tc>
        <w:tc>
          <w:tcPr>
            <w:tcW w:w="1136" w:type="pct"/>
            <w:tcBorders>
              <w:top w:val="nil"/>
              <w:left w:val="nil"/>
              <w:bottom w:val="nil"/>
              <w:right w:val="nil"/>
            </w:tcBorders>
            <w:shd w:val="clear" w:color="auto" w:fill="auto"/>
            <w:noWrap/>
            <w:vAlign w:val="bottom"/>
            <w:hideMark/>
          </w:tcPr>
          <w:p w14:paraId="746AD60A"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6.634</w:t>
            </w:r>
          </w:p>
        </w:tc>
      </w:tr>
      <w:tr w:rsidR="00B01D81" w:rsidRPr="00907DAC" w14:paraId="296E1D59" w14:textId="77777777" w:rsidTr="00B01D81">
        <w:trPr>
          <w:trHeight w:val="300"/>
        </w:trPr>
        <w:tc>
          <w:tcPr>
            <w:tcW w:w="535" w:type="pct"/>
            <w:tcBorders>
              <w:top w:val="nil"/>
              <w:left w:val="nil"/>
              <w:bottom w:val="nil"/>
              <w:right w:val="nil"/>
            </w:tcBorders>
            <w:shd w:val="clear" w:color="auto" w:fill="auto"/>
            <w:noWrap/>
            <w:vAlign w:val="bottom"/>
            <w:hideMark/>
          </w:tcPr>
          <w:p w14:paraId="08282CB2"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2010</w:t>
            </w:r>
          </w:p>
        </w:tc>
        <w:tc>
          <w:tcPr>
            <w:tcW w:w="535" w:type="pct"/>
            <w:tcBorders>
              <w:top w:val="nil"/>
              <w:left w:val="nil"/>
              <w:bottom w:val="nil"/>
              <w:right w:val="nil"/>
            </w:tcBorders>
            <w:shd w:val="clear" w:color="auto" w:fill="auto"/>
            <w:noWrap/>
            <w:vAlign w:val="bottom"/>
            <w:hideMark/>
          </w:tcPr>
          <w:p w14:paraId="08476DC0"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Mean</w:t>
            </w:r>
          </w:p>
        </w:tc>
        <w:tc>
          <w:tcPr>
            <w:tcW w:w="711" w:type="pct"/>
            <w:tcBorders>
              <w:top w:val="nil"/>
              <w:left w:val="nil"/>
              <w:bottom w:val="nil"/>
              <w:right w:val="nil"/>
            </w:tcBorders>
            <w:shd w:val="clear" w:color="auto" w:fill="auto"/>
            <w:noWrap/>
            <w:vAlign w:val="bottom"/>
            <w:hideMark/>
          </w:tcPr>
          <w:p w14:paraId="374A245C"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27727.665</w:t>
            </w:r>
          </w:p>
        </w:tc>
        <w:tc>
          <w:tcPr>
            <w:tcW w:w="1225" w:type="pct"/>
            <w:tcBorders>
              <w:top w:val="nil"/>
              <w:left w:val="nil"/>
              <w:bottom w:val="nil"/>
              <w:right w:val="nil"/>
            </w:tcBorders>
            <w:shd w:val="clear" w:color="auto" w:fill="auto"/>
            <w:noWrap/>
            <w:vAlign w:val="bottom"/>
            <w:hideMark/>
          </w:tcPr>
          <w:p w14:paraId="3261AD72"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19197</w:t>
            </w:r>
          </w:p>
        </w:tc>
        <w:tc>
          <w:tcPr>
            <w:tcW w:w="858" w:type="pct"/>
            <w:tcBorders>
              <w:top w:val="nil"/>
              <w:left w:val="nil"/>
              <w:bottom w:val="nil"/>
              <w:right w:val="nil"/>
            </w:tcBorders>
            <w:shd w:val="clear" w:color="auto" w:fill="auto"/>
            <w:noWrap/>
            <w:vAlign w:val="bottom"/>
            <w:hideMark/>
          </w:tcPr>
          <w:p w14:paraId="6847C7F4"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8050.451</w:t>
            </w:r>
          </w:p>
        </w:tc>
        <w:tc>
          <w:tcPr>
            <w:tcW w:w="1136" w:type="pct"/>
            <w:tcBorders>
              <w:top w:val="nil"/>
              <w:left w:val="nil"/>
              <w:bottom w:val="nil"/>
              <w:right w:val="nil"/>
            </w:tcBorders>
            <w:shd w:val="clear" w:color="auto" w:fill="auto"/>
            <w:noWrap/>
            <w:vAlign w:val="bottom"/>
            <w:hideMark/>
          </w:tcPr>
          <w:p w14:paraId="24CEB7CE"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37.844</w:t>
            </w:r>
          </w:p>
        </w:tc>
      </w:tr>
      <w:tr w:rsidR="00B01D81" w:rsidRPr="00907DAC" w14:paraId="6669A984" w14:textId="77777777" w:rsidTr="00B01D81">
        <w:trPr>
          <w:trHeight w:val="300"/>
        </w:trPr>
        <w:tc>
          <w:tcPr>
            <w:tcW w:w="535" w:type="pct"/>
            <w:tcBorders>
              <w:top w:val="nil"/>
              <w:left w:val="nil"/>
              <w:bottom w:val="nil"/>
              <w:right w:val="nil"/>
            </w:tcBorders>
            <w:shd w:val="clear" w:color="auto" w:fill="auto"/>
            <w:noWrap/>
            <w:vAlign w:val="bottom"/>
            <w:hideMark/>
          </w:tcPr>
          <w:p w14:paraId="0068AC10"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p>
        </w:tc>
        <w:tc>
          <w:tcPr>
            <w:tcW w:w="535" w:type="pct"/>
            <w:tcBorders>
              <w:top w:val="nil"/>
              <w:left w:val="nil"/>
              <w:bottom w:val="nil"/>
              <w:right w:val="nil"/>
            </w:tcBorders>
            <w:shd w:val="clear" w:color="auto" w:fill="auto"/>
            <w:noWrap/>
            <w:vAlign w:val="bottom"/>
            <w:hideMark/>
          </w:tcPr>
          <w:p w14:paraId="4A9D954A"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Std</w:t>
            </w:r>
          </w:p>
        </w:tc>
        <w:tc>
          <w:tcPr>
            <w:tcW w:w="711" w:type="pct"/>
            <w:tcBorders>
              <w:top w:val="nil"/>
              <w:left w:val="nil"/>
              <w:bottom w:val="nil"/>
              <w:right w:val="nil"/>
            </w:tcBorders>
            <w:shd w:val="clear" w:color="auto" w:fill="auto"/>
            <w:noWrap/>
            <w:vAlign w:val="bottom"/>
            <w:hideMark/>
          </w:tcPr>
          <w:p w14:paraId="1A75098F"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171639.686</w:t>
            </w:r>
          </w:p>
        </w:tc>
        <w:tc>
          <w:tcPr>
            <w:tcW w:w="1225" w:type="pct"/>
            <w:tcBorders>
              <w:top w:val="nil"/>
              <w:left w:val="nil"/>
              <w:bottom w:val="nil"/>
              <w:right w:val="nil"/>
            </w:tcBorders>
            <w:shd w:val="clear" w:color="auto" w:fill="auto"/>
            <w:noWrap/>
            <w:vAlign w:val="bottom"/>
            <w:hideMark/>
          </w:tcPr>
          <w:p w14:paraId="16FC745D"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44026</w:t>
            </w:r>
          </w:p>
        </w:tc>
        <w:tc>
          <w:tcPr>
            <w:tcW w:w="858" w:type="pct"/>
            <w:tcBorders>
              <w:top w:val="nil"/>
              <w:left w:val="nil"/>
              <w:bottom w:val="nil"/>
              <w:right w:val="nil"/>
            </w:tcBorders>
            <w:shd w:val="clear" w:color="auto" w:fill="auto"/>
            <w:noWrap/>
            <w:vAlign w:val="bottom"/>
            <w:hideMark/>
          </w:tcPr>
          <w:p w14:paraId="6E08DD36"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17720.812</w:t>
            </w:r>
          </w:p>
        </w:tc>
        <w:tc>
          <w:tcPr>
            <w:tcW w:w="1136" w:type="pct"/>
            <w:tcBorders>
              <w:top w:val="nil"/>
              <w:left w:val="nil"/>
              <w:bottom w:val="nil"/>
              <w:right w:val="nil"/>
            </w:tcBorders>
            <w:shd w:val="clear" w:color="auto" w:fill="auto"/>
            <w:noWrap/>
            <w:vAlign w:val="bottom"/>
            <w:hideMark/>
          </w:tcPr>
          <w:p w14:paraId="651B611E"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6.762</w:t>
            </w:r>
          </w:p>
        </w:tc>
      </w:tr>
      <w:tr w:rsidR="00B01D81" w:rsidRPr="00907DAC" w14:paraId="69D1C030" w14:textId="77777777" w:rsidTr="00B01D81">
        <w:trPr>
          <w:trHeight w:val="300"/>
        </w:trPr>
        <w:tc>
          <w:tcPr>
            <w:tcW w:w="535" w:type="pct"/>
            <w:tcBorders>
              <w:top w:val="nil"/>
              <w:left w:val="nil"/>
              <w:bottom w:val="nil"/>
              <w:right w:val="nil"/>
            </w:tcBorders>
            <w:shd w:val="clear" w:color="auto" w:fill="auto"/>
            <w:noWrap/>
            <w:vAlign w:val="bottom"/>
            <w:hideMark/>
          </w:tcPr>
          <w:p w14:paraId="7E992330"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2011</w:t>
            </w:r>
          </w:p>
        </w:tc>
        <w:tc>
          <w:tcPr>
            <w:tcW w:w="535" w:type="pct"/>
            <w:tcBorders>
              <w:top w:val="nil"/>
              <w:left w:val="nil"/>
              <w:bottom w:val="nil"/>
              <w:right w:val="nil"/>
            </w:tcBorders>
            <w:shd w:val="clear" w:color="auto" w:fill="auto"/>
            <w:noWrap/>
            <w:vAlign w:val="bottom"/>
            <w:hideMark/>
          </w:tcPr>
          <w:p w14:paraId="53E7DA67"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Mean</w:t>
            </w:r>
          </w:p>
        </w:tc>
        <w:tc>
          <w:tcPr>
            <w:tcW w:w="711" w:type="pct"/>
            <w:tcBorders>
              <w:top w:val="nil"/>
              <w:left w:val="nil"/>
              <w:bottom w:val="nil"/>
              <w:right w:val="nil"/>
            </w:tcBorders>
            <w:shd w:val="clear" w:color="auto" w:fill="auto"/>
            <w:noWrap/>
            <w:vAlign w:val="bottom"/>
            <w:hideMark/>
          </w:tcPr>
          <w:p w14:paraId="00B285E7"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32088.886</w:t>
            </w:r>
          </w:p>
        </w:tc>
        <w:tc>
          <w:tcPr>
            <w:tcW w:w="1225" w:type="pct"/>
            <w:tcBorders>
              <w:top w:val="nil"/>
              <w:left w:val="nil"/>
              <w:bottom w:val="nil"/>
              <w:right w:val="nil"/>
            </w:tcBorders>
            <w:shd w:val="clear" w:color="auto" w:fill="auto"/>
            <w:noWrap/>
            <w:vAlign w:val="bottom"/>
            <w:hideMark/>
          </w:tcPr>
          <w:p w14:paraId="5BC79248"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19498</w:t>
            </w:r>
          </w:p>
        </w:tc>
        <w:tc>
          <w:tcPr>
            <w:tcW w:w="858" w:type="pct"/>
            <w:tcBorders>
              <w:top w:val="nil"/>
              <w:left w:val="nil"/>
              <w:bottom w:val="nil"/>
              <w:right w:val="nil"/>
            </w:tcBorders>
            <w:shd w:val="clear" w:color="auto" w:fill="auto"/>
            <w:noWrap/>
            <w:vAlign w:val="bottom"/>
            <w:hideMark/>
          </w:tcPr>
          <w:p w14:paraId="1243CA2C"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9074.516</w:t>
            </w:r>
          </w:p>
        </w:tc>
        <w:tc>
          <w:tcPr>
            <w:tcW w:w="1136" w:type="pct"/>
            <w:tcBorders>
              <w:top w:val="nil"/>
              <w:left w:val="nil"/>
              <w:bottom w:val="nil"/>
              <w:right w:val="nil"/>
            </w:tcBorders>
            <w:shd w:val="clear" w:color="auto" w:fill="auto"/>
            <w:noWrap/>
            <w:vAlign w:val="bottom"/>
            <w:hideMark/>
          </w:tcPr>
          <w:p w14:paraId="4DAFBC25"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38.622</w:t>
            </w:r>
          </w:p>
        </w:tc>
      </w:tr>
      <w:tr w:rsidR="00B01D81" w:rsidRPr="00907DAC" w14:paraId="43085C03" w14:textId="77777777" w:rsidTr="00B01D81">
        <w:trPr>
          <w:trHeight w:val="300"/>
        </w:trPr>
        <w:tc>
          <w:tcPr>
            <w:tcW w:w="535" w:type="pct"/>
            <w:tcBorders>
              <w:top w:val="nil"/>
              <w:left w:val="nil"/>
              <w:bottom w:val="nil"/>
              <w:right w:val="nil"/>
            </w:tcBorders>
            <w:shd w:val="clear" w:color="auto" w:fill="auto"/>
            <w:noWrap/>
            <w:vAlign w:val="bottom"/>
            <w:hideMark/>
          </w:tcPr>
          <w:p w14:paraId="2EC6EF18"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p>
        </w:tc>
        <w:tc>
          <w:tcPr>
            <w:tcW w:w="535" w:type="pct"/>
            <w:tcBorders>
              <w:top w:val="nil"/>
              <w:left w:val="nil"/>
              <w:bottom w:val="nil"/>
              <w:right w:val="nil"/>
            </w:tcBorders>
            <w:shd w:val="clear" w:color="auto" w:fill="auto"/>
            <w:noWrap/>
            <w:vAlign w:val="bottom"/>
            <w:hideMark/>
          </w:tcPr>
          <w:p w14:paraId="20CF36A6"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Std</w:t>
            </w:r>
          </w:p>
        </w:tc>
        <w:tc>
          <w:tcPr>
            <w:tcW w:w="711" w:type="pct"/>
            <w:tcBorders>
              <w:top w:val="nil"/>
              <w:left w:val="nil"/>
              <w:bottom w:val="nil"/>
              <w:right w:val="nil"/>
            </w:tcBorders>
            <w:shd w:val="clear" w:color="auto" w:fill="auto"/>
            <w:noWrap/>
            <w:vAlign w:val="bottom"/>
            <w:hideMark/>
          </w:tcPr>
          <w:p w14:paraId="48704A5B"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200624.985</w:t>
            </w:r>
          </w:p>
        </w:tc>
        <w:tc>
          <w:tcPr>
            <w:tcW w:w="1225" w:type="pct"/>
            <w:tcBorders>
              <w:top w:val="nil"/>
              <w:left w:val="nil"/>
              <w:bottom w:val="nil"/>
              <w:right w:val="nil"/>
            </w:tcBorders>
            <w:shd w:val="clear" w:color="auto" w:fill="auto"/>
            <w:noWrap/>
            <w:vAlign w:val="bottom"/>
            <w:hideMark/>
          </w:tcPr>
          <w:p w14:paraId="16E16CE9"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44197</w:t>
            </w:r>
          </w:p>
        </w:tc>
        <w:tc>
          <w:tcPr>
            <w:tcW w:w="858" w:type="pct"/>
            <w:tcBorders>
              <w:top w:val="nil"/>
              <w:left w:val="nil"/>
              <w:bottom w:val="nil"/>
              <w:right w:val="nil"/>
            </w:tcBorders>
            <w:shd w:val="clear" w:color="auto" w:fill="auto"/>
            <w:noWrap/>
            <w:vAlign w:val="bottom"/>
            <w:hideMark/>
          </w:tcPr>
          <w:p w14:paraId="611BF70A"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19844.122</w:t>
            </w:r>
          </w:p>
        </w:tc>
        <w:tc>
          <w:tcPr>
            <w:tcW w:w="1136" w:type="pct"/>
            <w:tcBorders>
              <w:top w:val="nil"/>
              <w:left w:val="nil"/>
              <w:bottom w:val="nil"/>
              <w:right w:val="nil"/>
            </w:tcBorders>
            <w:shd w:val="clear" w:color="auto" w:fill="auto"/>
            <w:noWrap/>
            <w:vAlign w:val="bottom"/>
            <w:hideMark/>
          </w:tcPr>
          <w:p w14:paraId="08E13704"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6.861</w:t>
            </w:r>
          </w:p>
        </w:tc>
      </w:tr>
      <w:tr w:rsidR="00B01D81" w:rsidRPr="00907DAC" w14:paraId="14AC059F" w14:textId="77777777" w:rsidTr="00B01D81">
        <w:trPr>
          <w:trHeight w:val="300"/>
        </w:trPr>
        <w:tc>
          <w:tcPr>
            <w:tcW w:w="535" w:type="pct"/>
            <w:tcBorders>
              <w:top w:val="nil"/>
              <w:left w:val="nil"/>
              <w:bottom w:val="nil"/>
              <w:right w:val="nil"/>
            </w:tcBorders>
            <w:shd w:val="clear" w:color="auto" w:fill="auto"/>
            <w:noWrap/>
            <w:vAlign w:val="bottom"/>
            <w:hideMark/>
          </w:tcPr>
          <w:p w14:paraId="32BEA479"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2012</w:t>
            </w:r>
          </w:p>
        </w:tc>
        <w:tc>
          <w:tcPr>
            <w:tcW w:w="535" w:type="pct"/>
            <w:tcBorders>
              <w:top w:val="nil"/>
              <w:left w:val="nil"/>
              <w:bottom w:val="nil"/>
              <w:right w:val="nil"/>
            </w:tcBorders>
            <w:shd w:val="clear" w:color="auto" w:fill="auto"/>
            <w:noWrap/>
            <w:vAlign w:val="bottom"/>
            <w:hideMark/>
          </w:tcPr>
          <w:p w14:paraId="56B89770"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Mean</w:t>
            </w:r>
          </w:p>
        </w:tc>
        <w:tc>
          <w:tcPr>
            <w:tcW w:w="711" w:type="pct"/>
            <w:tcBorders>
              <w:top w:val="nil"/>
              <w:left w:val="nil"/>
              <w:bottom w:val="nil"/>
              <w:right w:val="nil"/>
            </w:tcBorders>
            <w:shd w:val="clear" w:color="auto" w:fill="auto"/>
            <w:noWrap/>
            <w:vAlign w:val="bottom"/>
            <w:hideMark/>
          </w:tcPr>
          <w:p w14:paraId="02968998"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33268.132</w:t>
            </w:r>
          </w:p>
        </w:tc>
        <w:tc>
          <w:tcPr>
            <w:tcW w:w="1225" w:type="pct"/>
            <w:tcBorders>
              <w:top w:val="nil"/>
              <w:left w:val="nil"/>
              <w:bottom w:val="nil"/>
              <w:right w:val="nil"/>
            </w:tcBorders>
            <w:shd w:val="clear" w:color="auto" w:fill="auto"/>
            <w:noWrap/>
            <w:vAlign w:val="bottom"/>
            <w:hideMark/>
          </w:tcPr>
          <w:p w14:paraId="642940E4"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19473</w:t>
            </w:r>
          </w:p>
        </w:tc>
        <w:tc>
          <w:tcPr>
            <w:tcW w:w="858" w:type="pct"/>
            <w:tcBorders>
              <w:top w:val="nil"/>
              <w:left w:val="nil"/>
              <w:bottom w:val="nil"/>
              <w:right w:val="nil"/>
            </w:tcBorders>
            <w:shd w:val="clear" w:color="auto" w:fill="auto"/>
            <w:noWrap/>
            <w:vAlign w:val="bottom"/>
            <w:hideMark/>
          </w:tcPr>
          <w:p w14:paraId="1DAB5F45"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9815.627</w:t>
            </w:r>
          </w:p>
        </w:tc>
        <w:tc>
          <w:tcPr>
            <w:tcW w:w="1136" w:type="pct"/>
            <w:tcBorders>
              <w:top w:val="nil"/>
              <w:left w:val="nil"/>
              <w:bottom w:val="nil"/>
              <w:right w:val="nil"/>
            </w:tcBorders>
            <w:shd w:val="clear" w:color="auto" w:fill="auto"/>
            <w:noWrap/>
            <w:vAlign w:val="bottom"/>
            <w:hideMark/>
          </w:tcPr>
          <w:p w14:paraId="5272AEE2"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38.700</w:t>
            </w:r>
          </w:p>
        </w:tc>
      </w:tr>
      <w:tr w:rsidR="00B01D81" w:rsidRPr="00907DAC" w14:paraId="535184E0" w14:textId="77777777" w:rsidTr="00B01D81">
        <w:trPr>
          <w:trHeight w:val="300"/>
        </w:trPr>
        <w:tc>
          <w:tcPr>
            <w:tcW w:w="535" w:type="pct"/>
            <w:tcBorders>
              <w:top w:val="nil"/>
              <w:left w:val="nil"/>
              <w:bottom w:val="nil"/>
              <w:right w:val="nil"/>
            </w:tcBorders>
            <w:shd w:val="clear" w:color="auto" w:fill="auto"/>
            <w:noWrap/>
            <w:vAlign w:val="bottom"/>
            <w:hideMark/>
          </w:tcPr>
          <w:p w14:paraId="26605F5C"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p>
        </w:tc>
        <w:tc>
          <w:tcPr>
            <w:tcW w:w="535" w:type="pct"/>
            <w:tcBorders>
              <w:top w:val="nil"/>
              <w:left w:val="nil"/>
              <w:bottom w:val="nil"/>
              <w:right w:val="nil"/>
            </w:tcBorders>
            <w:shd w:val="clear" w:color="auto" w:fill="auto"/>
            <w:noWrap/>
            <w:vAlign w:val="bottom"/>
            <w:hideMark/>
          </w:tcPr>
          <w:p w14:paraId="5A37018B"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Std</w:t>
            </w:r>
          </w:p>
        </w:tc>
        <w:tc>
          <w:tcPr>
            <w:tcW w:w="711" w:type="pct"/>
            <w:tcBorders>
              <w:top w:val="nil"/>
              <w:left w:val="nil"/>
              <w:bottom w:val="nil"/>
              <w:right w:val="nil"/>
            </w:tcBorders>
            <w:shd w:val="clear" w:color="auto" w:fill="auto"/>
            <w:noWrap/>
            <w:vAlign w:val="bottom"/>
            <w:hideMark/>
          </w:tcPr>
          <w:p w14:paraId="0B432963"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210397.155</w:t>
            </w:r>
          </w:p>
        </w:tc>
        <w:tc>
          <w:tcPr>
            <w:tcW w:w="1225" w:type="pct"/>
            <w:tcBorders>
              <w:top w:val="nil"/>
              <w:left w:val="nil"/>
              <w:bottom w:val="nil"/>
              <w:right w:val="nil"/>
            </w:tcBorders>
            <w:shd w:val="clear" w:color="auto" w:fill="auto"/>
            <w:noWrap/>
            <w:vAlign w:val="bottom"/>
            <w:hideMark/>
          </w:tcPr>
          <w:p w14:paraId="2A97600E"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42877</w:t>
            </w:r>
          </w:p>
        </w:tc>
        <w:tc>
          <w:tcPr>
            <w:tcW w:w="858" w:type="pct"/>
            <w:tcBorders>
              <w:top w:val="nil"/>
              <w:left w:val="nil"/>
              <w:bottom w:val="nil"/>
              <w:right w:val="nil"/>
            </w:tcBorders>
            <w:shd w:val="clear" w:color="auto" w:fill="auto"/>
            <w:noWrap/>
            <w:vAlign w:val="bottom"/>
            <w:hideMark/>
          </w:tcPr>
          <w:p w14:paraId="0C4CCF8F"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21306.216</w:t>
            </w:r>
          </w:p>
        </w:tc>
        <w:tc>
          <w:tcPr>
            <w:tcW w:w="1136" w:type="pct"/>
            <w:tcBorders>
              <w:top w:val="nil"/>
              <w:left w:val="nil"/>
              <w:bottom w:val="nil"/>
              <w:right w:val="nil"/>
            </w:tcBorders>
            <w:shd w:val="clear" w:color="auto" w:fill="auto"/>
            <w:noWrap/>
            <w:vAlign w:val="bottom"/>
            <w:hideMark/>
          </w:tcPr>
          <w:p w14:paraId="79C34596"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6.685</w:t>
            </w:r>
          </w:p>
        </w:tc>
      </w:tr>
      <w:tr w:rsidR="00B01D81" w:rsidRPr="00907DAC" w14:paraId="04FE81D7" w14:textId="77777777" w:rsidTr="00B01D81">
        <w:trPr>
          <w:trHeight w:val="300"/>
        </w:trPr>
        <w:tc>
          <w:tcPr>
            <w:tcW w:w="535" w:type="pct"/>
            <w:tcBorders>
              <w:top w:val="nil"/>
              <w:left w:val="nil"/>
              <w:bottom w:val="nil"/>
              <w:right w:val="nil"/>
            </w:tcBorders>
            <w:shd w:val="clear" w:color="auto" w:fill="auto"/>
            <w:noWrap/>
            <w:vAlign w:val="bottom"/>
            <w:hideMark/>
          </w:tcPr>
          <w:p w14:paraId="7963691A"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2013</w:t>
            </w:r>
          </w:p>
        </w:tc>
        <w:tc>
          <w:tcPr>
            <w:tcW w:w="535" w:type="pct"/>
            <w:tcBorders>
              <w:top w:val="nil"/>
              <w:left w:val="nil"/>
              <w:bottom w:val="nil"/>
              <w:right w:val="nil"/>
            </w:tcBorders>
            <w:shd w:val="clear" w:color="auto" w:fill="auto"/>
            <w:noWrap/>
            <w:vAlign w:val="bottom"/>
            <w:hideMark/>
          </w:tcPr>
          <w:p w14:paraId="75C40194"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Mean</w:t>
            </w:r>
          </w:p>
        </w:tc>
        <w:tc>
          <w:tcPr>
            <w:tcW w:w="711" w:type="pct"/>
            <w:tcBorders>
              <w:top w:val="nil"/>
              <w:left w:val="nil"/>
              <w:bottom w:val="nil"/>
              <w:right w:val="nil"/>
            </w:tcBorders>
            <w:shd w:val="clear" w:color="auto" w:fill="auto"/>
            <w:noWrap/>
            <w:vAlign w:val="bottom"/>
            <w:hideMark/>
          </w:tcPr>
          <w:p w14:paraId="7B7D83C6"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30933.789</w:t>
            </w:r>
          </w:p>
        </w:tc>
        <w:tc>
          <w:tcPr>
            <w:tcW w:w="1225" w:type="pct"/>
            <w:tcBorders>
              <w:top w:val="nil"/>
              <w:left w:val="nil"/>
              <w:bottom w:val="nil"/>
              <w:right w:val="nil"/>
            </w:tcBorders>
            <w:shd w:val="clear" w:color="auto" w:fill="auto"/>
            <w:noWrap/>
            <w:vAlign w:val="bottom"/>
            <w:hideMark/>
          </w:tcPr>
          <w:p w14:paraId="19352A42"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19654</w:t>
            </w:r>
          </w:p>
        </w:tc>
        <w:tc>
          <w:tcPr>
            <w:tcW w:w="858" w:type="pct"/>
            <w:tcBorders>
              <w:top w:val="nil"/>
              <w:left w:val="nil"/>
              <w:bottom w:val="nil"/>
              <w:right w:val="nil"/>
            </w:tcBorders>
            <w:shd w:val="clear" w:color="auto" w:fill="auto"/>
            <w:noWrap/>
            <w:vAlign w:val="bottom"/>
            <w:hideMark/>
          </w:tcPr>
          <w:p w14:paraId="27A2EC09"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9624.169</w:t>
            </w:r>
          </w:p>
        </w:tc>
        <w:tc>
          <w:tcPr>
            <w:tcW w:w="1136" w:type="pct"/>
            <w:tcBorders>
              <w:top w:val="nil"/>
              <w:left w:val="nil"/>
              <w:bottom w:val="nil"/>
              <w:right w:val="nil"/>
            </w:tcBorders>
            <w:shd w:val="clear" w:color="auto" w:fill="auto"/>
            <w:noWrap/>
            <w:vAlign w:val="bottom"/>
            <w:hideMark/>
          </w:tcPr>
          <w:p w14:paraId="3045E8BE"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39.179</w:t>
            </w:r>
          </w:p>
        </w:tc>
      </w:tr>
      <w:tr w:rsidR="00B01D81" w:rsidRPr="00907DAC" w14:paraId="39A983AF" w14:textId="77777777" w:rsidTr="00B01D81">
        <w:trPr>
          <w:trHeight w:val="300"/>
        </w:trPr>
        <w:tc>
          <w:tcPr>
            <w:tcW w:w="535" w:type="pct"/>
            <w:tcBorders>
              <w:top w:val="nil"/>
              <w:left w:val="nil"/>
              <w:bottom w:val="nil"/>
              <w:right w:val="nil"/>
            </w:tcBorders>
            <w:shd w:val="clear" w:color="auto" w:fill="auto"/>
            <w:noWrap/>
            <w:vAlign w:val="bottom"/>
            <w:hideMark/>
          </w:tcPr>
          <w:p w14:paraId="32C7CD27"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p>
        </w:tc>
        <w:tc>
          <w:tcPr>
            <w:tcW w:w="535" w:type="pct"/>
            <w:tcBorders>
              <w:top w:val="nil"/>
              <w:left w:val="nil"/>
              <w:bottom w:val="nil"/>
              <w:right w:val="nil"/>
            </w:tcBorders>
            <w:shd w:val="clear" w:color="auto" w:fill="auto"/>
            <w:noWrap/>
            <w:vAlign w:val="bottom"/>
            <w:hideMark/>
          </w:tcPr>
          <w:p w14:paraId="361625EA"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Std</w:t>
            </w:r>
          </w:p>
        </w:tc>
        <w:tc>
          <w:tcPr>
            <w:tcW w:w="711" w:type="pct"/>
            <w:tcBorders>
              <w:top w:val="nil"/>
              <w:left w:val="nil"/>
              <w:bottom w:val="nil"/>
              <w:right w:val="nil"/>
            </w:tcBorders>
            <w:shd w:val="clear" w:color="auto" w:fill="auto"/>
            <w:noWrap/>
            <w:vAlign w:val="bottom"/>
            <w:hideMark/>
          </w:tcPr>
          <w:p w14:paraId="0AB94632"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196623.916</w:t>
            </w:r>
          </w:p>
        </w:tc>
        <w:tc>
          <w:tcPr>
            <w:tcW w:w="1225" w:type="pct"/>
            <w:tcBorders>
              <w:top w:val="nil"/>
              <w:left w:val="nil"/>
              <w:bottom w:val="nil"/>
              <w:right w:val="nil"/>
            </w:tcBorders>
            <w:shd w:val="clear" w:color="auto" w:fill="auto"/>
            <w:noWrap/>
            <w:vAlign w:val="bottom"/>
            <w:hideMark/>
          </w:tcPr>
          <w:p w14:paraId="00C6AAE2"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42503</w:t>
            </w:r>
          </w:p>
        </w:tc>
        <w:tc>
          <w:tcPr>
            <w:tcW w:w="858" w:type="pct"/>
            <w:tcBorders>
              <w:top w:val="nil"/>
              <w:left w:val="nil"/>
              <w:bottom w:val="nil"/>
              <w:right w:val="nil"/>
            </w:tcBorders>
            <w:shd w:val="clear" w:color="auto" w:fill="auto"/>
            <w:noWrap/>
            <w:vAlign w:val="bottom"/>
            <w:hideMark/>
          </w:tcPr>
          <w:p w14:paraId="609654D9"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21808.299</w:t>
            </w:r>
          </w:p>
        </w:tc>
        <w:tc>
          <w:tcPr>
            <w:tcW w:w="1136" w:type="pct"/>
            <w:tcBorders>
              <w:top w:val="nil"/>
              <w:left w:val="nil"/>
              <w:bottom w:val="nil"/>
              <w:right w:val="nil"/>
            </w:tcBorders>
            <w:shd w:val="clear" w:color="auto" w:fill="auto"/>
            <w:noWrap/>
            <w:vAlign w:val="bottom"/>
            <w:hideMark/>
          </w:tcPr>
          <w:p w14:paraId="0242043F"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6.897</w:t>
            </w:r>
          </w:p>
        </w:tc>
      </w:tr>
      <w:tr w:rsidR="00B01D81" w:rsidRPr="00907DAC" w14:paraId="676C3D7A" w14:textId="77777777" w:rsidTr="00B01D81">
        <w:trPr>
          <w:trHeight w:val="300"/>
        </w:trPr>
        <w:tc>
          <w:tcPr>
            <w:tcW w:w="535" w:type="pct"/>
            <w:tcBorders>
              <w:top w:val="nil"/>
              <w:left w:val="nil"/>
              <w:bottom w:val="nil"/>
              <w:right w:val="nil"/>
            </w:tcBorders>
            <w:shd w:val="clear" w:color="auto" w:fill="auto"/>
            <w:noWrap/>
            <w:vAlign w:val="bottom"/>
            <w:hideMark/>
          </w:tcPr>
          <w:p w14:paraId="372D9D27"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2014</w:t>
            </w:r>
          </w:p>
        </w:tc>
        <w:tc>
          <w:tcPr>
            <w:tcW w:w="535" w:type="pct"/>
            <w:tcBorders>
              <w:top w:val="nil"/>
              <w:left w:val="nil"/>
              <w:bottom w:val="nil"/>
              <w:right w:val="nil"/>
            </w:tcBorders>
            <w:shd w:val="clear" w:color="auto" w:fill="auto"/>
            <w:noWrap/>
            <w:vAlign w:val="bottom"/>
            <w:hideMark/>
          </w:tcPr>
          <w:p w14:paraId="6BF2C412"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Mean</w:t>
            </w:r>
          </w:p>
        </w:tc>
        <w:tc>
          <w:tcPr>
            <w:tcW w:w="711" w:type="pct"/>
            <w:tcBorders>
              <w:top w:val="nil"/>
              <w:left w:val="nil"/>
              <w:bottom w:val="nil"/>
              <w:right w:val="nil"/>
            </w:tcBorders>
            <w:shd w:val="clear" w:color="auto" w:fill="auto"/>
            <w:noWrap/>
            <w:vAlign w:val="bottom"/>
            <w:hideMark/>
          </w:tcPr>
          <w:p w14:paraId="5B58DDC0"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30122.077</w:t>
            </w:r>
          </w:p>
        </w:tc>
        <w:tc>
          <w:tcPr>
            <w:tcW w:w="1225" w:type="pct"/>
            <w:tcBorders>
              <w:top w:val="nil"/>
              <w:left w:val="nil"/>
              <w:bottom w:val="nil"/>
              <w:right w:val="nil"/>
            </w:tcBorders>
            <w:shd w:val="clear" w:color="auto" w:fill="auto"/>
            <w:noWrap/>
            <w:vAlign w:val="bottom"/>
            <w:hideMark/>
          </w:tcPr>
          <w:p w14:paraId="7B3FE849"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20001</w:t>
            </w:r>
          </w:p>
        </w:tc>
        <w:tc>
          <w:tcPr>
            <w:tcW w:w="858" w:type="pct"/>
            <w:tcBorders>
              <w:top w:val="nil"/>
              <w:left w:val="nil"/>
              <w:bottom w:val="nil"/>
              <w:right w:val="nil"/>
            </w:tcBorders>
            <w:shd w:val="clear" w:color="auto" w:fill="auto"/>
            <w:noWrap/>
            <w:vAlign w:val="bottom"/>
            <w:hideMark/>
          </w:tcPr>
          <w:p w14:paraId="5DBF3B0B"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8842.086</w:t>
            </w:r>
          </w:p>
        </w:tc>
        <w:tc>
          <w:tcPr>
            <w:tcW w:w="1136" w:type="pct"/>
            <w:tcBorders>
              <w:top w:val="nil"/>
              <w:left w:val="nil"/>
              <w:bottom w:val="nil"/>
              <w:right w:val="nil"/>
            </w:tcBorders>
            <w:shd w:val="clear" w:color="auto" w:fill="auto"/>
            <w:noWrap/>
            <w:vAlign w:val="bottom"/>
            <w:hideMark/>
          </w:tcPr>
          <w:p w14:paraId="0C48FF06"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39.635</w:t>
            </w:r>
          </w:p>
        </w:tc>
      </w:tr>
      <w:tr w:rsidR="00B01D81" w:rsidRPr="00907DAC" w14:paraId="0EC24120" w14:textId="77777777" w:rsidTr="00B01D81">
        <w:trPr>
          <w:trHeight w:val="300"/>
        </w:trPr>
        <w:tc>
          <w:tcPr>
            <w:tcW w:w="535" w:type="pct"/>
            <w:tcBorders>
              <w:top w:val="nil"/>
              <w:left w:val="nil"/>
              <w:bottom w:val="nil"/>
              <w:right w:val="nil"/>
            </w:tcBorders>
            <w:shd w:val="clear" w:color="auto" w:fill="auto"/>
            <w:noWrap/>
            <w:vAlign w:val="bottom"/>
            <w:hideMark/>
          </w:tcPr>
          <w:p w14:paraId="3E7F6948"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p>
        </w:tc>
        <w:tc>
          <w:tcPr>
            <w:tcW w:w="535" w:type="pct"/>
            <w:tcBorders>
              <w:top w:val="nil"/>
              <w:left w:val="nil"/>
              <w:bottom w:val="nil"/>
              <w:right w:val="nil"/>
            </w:tcBorders>
            <w:shd w:val="clear" w:color="auto" w:fill="auto"/>
            <w:noWrap/>
            <w:vAlign w:val="bottom"/>
            <w:hideMark/>
          </w:tcPr>
          <w:p w14:paraId="38F6C194"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Std</w:t>
            </w:r>
          </w:p>
        </w:tc>
        <w:tc>
          <w:tcPr>
            <w:tcW w:w="711" w:type="pct"/>
            <w:tcBorders>
              <w:top w:val="nil"/>
              <w:left w:val="nil"/>
              <w:bottom w:val="nil"/>
              <w:right w:val="nil"/>
            </w:tcBorders>
            <w:shd w:val="clear" w:color="auto" w:fill="auto"/>
            <w:noWrap/>
            <w:vAlign w:val="bottom"/>
            <w:hideMark/>
          </w:tcPr>
          <w:p w14:paraId="6D6D1D1C"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191969.618</w:t>
            </w:r>
          </w:p>
        </w:tc>
        <w:tc>
          <w:tcPr>
            <w:tcW w:w="1225" w:type="pct"/>
            <w:tcBorders>
              <w:top w:val="nil"/>
              <w:left w:val="nil"/>
              <w:bottom w:val="nil"/>
              <w:right w:val="nil"/>
            </w:tcBorders>
            <w:shd w:val="clear" w:color="auto" w:fill="auto"/>
            <w:noWrap/>
            <w:vAlign w:val="bottom"/>
            <w:hideMark/>
          </w:tcPr>
          <w:p w14:paraId="0E02ACEB"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42836</w:t>
            </w:r>
          </w:p>
        </w:tc>
        <w:tc>
          <w:tcPr>
            <w:tcW w:w="858" w:type="pct"/>
            <w:tcBorders>
              <w:top w:val="nil"/>
              <w:left w:val="nil"/>
              <w:bottom w:val="nil"/>
              <w:right w:val="nil"/>
            </w:tcBorders>
            <w:shd w:val="clear" w:color="auto" w:fill="auto"/>
            <w:noWrap/>
            <w:vAlign w:val="bottom"/>
            <w:hideMark/>
          </w:tcPr>
          <w:p w14:paraId="17B05CA9"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20339.210</w:t>
            </w:r>
          </w:p>
        </w:tc>
        <w:tc>
          <w:tcPr>
            <w:tcW w:w="1136" w:type="pct"/>
            <w:tcBorders>
              <w:top w:val="nil"/>
              <w:left w:val="nil"/>
              <w:bottom w:val="nil"/>
              <w:right w:val="nil"/>
            </w:tcBorders>
            <w:shd w:val="clear" w:color="auto" w:fill="auto"/>
            <w:noWrap/>
            <w:vAlign w:val="bottom"/>
            <w:hideMark/>
          </w:tcPr>
          <w:p w14:paraId="63DF7617"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7.020</w:t>
            </w:r>
          </w:p>
        </w:tc>
      </w:tr>
      <w:tr w:rsidR="00B01D81" w:rsidRPr="00907DAC" w14:paraId="4E9FC3FA" w14:textId="77777777" w:rsidTr="00B01D81">
        <w:trPr>
          <w:trHeight w:val="300"/>
        </w:trPr>
        <w:tc>
          <w:tcPr>
            <w:tcW w:w="535" w:type="pct"/>
            <w:tcBorders>
              <w:top w:val="nil"/>
              <w:left w:val="nil"/>
              <w:bottom w:val="nil"/>
              <w:right w:val="nil"/>
            </w:tcBorders>
            <w:shd w:val="clear" w:color="auto" w:fill="auto"/>
            <w:noWrap/>
            <w:vAlign w:val="bottom"/>
            <w:hideMark/>
          </w:tcPr>
          <w:p w14:paraId="4D492A43"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2015</w:t>
            </w:r>
          </w:p>
        </w:tc>
        <w:tc>
          <w:tcPr>
            <w:tcW w:w="535" w:type="pct"/>
            <w:tcBorders>
              <w:top w:val="nil"/>
              <w:left w:val="nil"/>
              <w:bottom w:val="nil"/>
              <w:right w:val="nil"/>
            </w:tcBorders>
            <w:shd w:val="clear" w:color="auto" w:fill="auto"/>
            <w:noWrap/>
            <w:vAlign w:val="bottom"/>
            <w:hideMark/>
          </w:tcPr>
          <w:p w14:paraId="0AE72AAE"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Mean</w:t>
            </w:r>
          </w:p>
        </w:tc>
        <w:tc>
          <w:tcPr>
            <w:tcW w:w="711" w:type="pct"/>
            <w:tcBorders>
              <w:top w:val="nil"/>
              <w:left w:val="nil"/>
              <w:bottom w:val="nil"/>
              <w:right w:val="nil"/>
            </w:tcBorders>
            <w:shd w:val="clear" w:color="auto" w:fill="auto"/>
            <w:noWrap/>
            <w:vAlign w:val="bottom"/>
            <w:hideMark/>
          </w:tcPr>
          <w:p w14:paraId="615CFC9F"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28353.931</w:t>
            </w:r>
          </w:p>
        </w:tc>
        <w:tc>
          <w:tcPr>
            <w:tcW w:w="1225" w:type="pct"/>
            <w:tcBorders>
              <w:top w:val="nil"/>
              <w:left w:val="nil"/>
              <w:bottom w:val="nil"/>
              <w:right w:val="nil"/>
            </w:tcBorders>
            <w:shd w:val="clear" w:color="auto" w:fill="auto"/>
            <w:noWrap/>
            <w:vAlign w:val="bottom"/>
            <w:hideMark/>
          </w:tcPr>
          <w:p w14:paraId="47544E6E"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20457</w:t>
            </w:r>
          </w:p>
        </w:tc>
        <w:tc>
          <w:tcPr>
            <w:tcW w:w="858" w:type="pct"/>
            <w:tcBorders>
              <w:top w:val="nil"/>
              <w:left w:val="nil"/>
              <w:bottom w:val="nil"/>
              <w:right w:val="nil"/>
            </w:tcBorders>
            <w:shd w:val="clear" w:color="auto" w:fill="auto"/>
            <w:noWrap/>
            <w:vAlign w:val="bottom"/>
            <w:hideMark/>
          </w:tcPr>
          <w:p w14:paraId="0851B6AB"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8394.349</w:t>
            </w:r>
          </w:p>
        </w:tc>
        <w:tc>
          <w:tcPr>
            <w:tcW w:w="1136" w:type="pct"/>
            <w:tcBorders>
              <w:top w:val="nil"/>
              <w:left w:val="nil"/>
              <w:bottom w:val="nil"/>
              <w:right w:val="nil"/>
            </w:tcBorders>
            <w:shd w:val="clear" w:color="auto" w:fill="auto"/>
            <w:noWrap/>
            <w:vAlign w:val="bottom"/>
            <w:hideMark/>
          </w:tcPr>
          <w:p w14:paraId="41D97664"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40.113</w:t>
            </w:r>
          </w:p>
        </w:tc>
      </w:tr>
      <w:tr w:rsidR="00B01D81" w:rsidRPr="00907DAC" w14:paraId="6C0EC0B5" w14:textId="77777777" w:rsidTr="00B01D81">
        <w:trPr>
          <w:trHeight w:val="300"/>
        </w:trPr>
        <w:tc>
          <w:tcPr>
            <w:tcW w:w="535" w:type="pct"/>
            <w:tcBorders>
              <w:top w:val="nil"/>
              <w:left w:val="nil"/>
              <w:bottom w:val="nil"/>
              <w:right w:val="nil"/>
            </w:tcBorders>
            <w:shd w:val="clear" w:color="auto" w:fill="auto"/>
            <w:noWrap/>
            <w:vAlign w:val="bottom"/>
            <w:hideMark/>
          </w:tcPr>
          <w:p w14:paraId="622E2C01"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p>
        </w:tc>
        <w:tc>
          <w:tcPr>
            <w:tcW w:w="535" w:type="pct"/>
            <w:tcBorders>
              <w:top w:val="nil"/>
              <w:left w:val="nil"/>
              <w:bottom w:val="nil"/>
              <w:right w:val="nil"/>
            </w:tcBorders>
            <w:shd w:val="clear" w:color="auto" w:fill="auto"/>
            <w:noWrap/>
            <w:vAlign w:val="bottom"/>
            <w:hideMark/>
          </w:tcPr>
          <w:p w14:paraId="205B0891"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Std</w:t>
            </w:r>
          </w:p>
        </w:tc>
        <w:tc>
          <w:tcPr>
            <w:tcW w:w="711" w:type="pct"/>
            <w:tcBorders>
              <w:top w:val="nil"/>
              <w:left w:val="nil"/>
              <w:bottom w:val="nil"/>
              <w:right w:val="nil"/>
            </w:tcBorders>
            <w:shd w:val="clear" w:color="auto" w:fill="auto"/>
            <w:noWrap/>
            <w:vAlign w:val="bottom"/>
            <w:hideMark/>
          </w:tcPr>
          <w:p w14:paraId="5F647339"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182649.193</w:t>
            </w:r>
          </w:p>
        </w:tc>
        <w:tc>
          <w:tcPr>
            <w:tcW w:w="1225" w:type="pct"/>
            <w:tcBorders>
              <w:top w:val="nil"/>
              <w:left w:val="nil"/>
              <w:bottom w:val="nil"/>
              <w:right w:val="nil"/>
            </w:tcBorders>
            <w:shd w:val="clear" w:color="auto" w:fill="auto"/>
            <w:noWrap/>
            <w:vAlign w:val="bottom"/>
            <w:hideMark/>
          </w:tcPr>
          <w:p w14:paraId="2BA535AA"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43428</w:t>
            </w:r>
          </w:p>
        </w:tc>
        <w:tc>
          <w:tcPr>
            <w:tcW w:w="858" w:type="pct"/>
            <w:tcBorders>
              <w:top w:val="nil"/>
              <w:left w:val="nil"/>
              <w:bottom w:val="nil"/>
              <w:right w:val="nil"/>
            </w:tcBorders>
            <w:shd w:val="clear" w:color="auto" w:fill="auto"/>
            <w:noWrap/>
            <w:vAlign w:val="bottom"/>
            <w:hideMark/>
          </w:tcPr>
          <w:p w14:paraId="7C087A12"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19475.312</w:t>
            </w:r>
          </w:p>
        </w:tc>
        <w:tc>
          <w:tcPr>
            <w:tcW w:w="1136" w:type="pct"/>
            <w:tcBorders>
              <w:top w:val="nil"/>
              <w:left w:val="nil"/>
              <w:bottom w:val="nil"/>
              <w:right w:val="nil"/>
            </w:tcBorders>
            <w:shd w:val="clear" w:color="auto" w:fill="auto"/>
            <w:noWrap/>
            <w:vAlign w:val="bottom"/>
            <w:hideMark/>
          </w:tcPr>
          <w:p w14:paraId="6C3FF108"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7.072</w:t>
            </w:r>
          </w:p>
        </w:tc>
      </w:tr>
      <w:tr w:rsidR="00B01D81" w:rsidRPr="00907DAC" w14:paraId="6A66FE25" w14:textId="77777777" w:rsidTr="00B01D81">
        <w:trPr>
          <w:trHeight w:val="300"/>
        </w:trPr>
        <w:tc>
          <w:tcPr>
            <w:tcW w:w="535" w:type="pct"/>
            <w:tcBorders>
              <w:top w:val="nil"/>
              <w:left w:val="nil"/>
              <w:bottom w:val="nil"/>
              <w:right w:val="nil"/>
            </w:tcBorders>
            <w:shd w:val="clear" w:color="auto" w:fill="auto"/>
            <w:noWrap/>
            <w:vAlign w:val="bottom"/>
            <w:hideMark/>
          </w:tcPr>
          <w:p w14:paraId="0D03C2E3"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2016</w:t>
            </w:r>
          </w:p>
        </w:tc>
        <w:tc>
          <w:tcPr>
            <w:tcW w:w="535" w:type="pct"/>
            <w:tcBorders>
              <w:top w:val="nil"/>
              <w:left w:val="nil"/>
              <w:bottom w:val="nil"/>
              <w:right w:val="nil"/>
            </w:tcBorders>
            <w:shd w:val="clear" w:color="auto" w:fill="auto"/>
            <w:noWrap/>
            <w:vAlign w:val="bottom"/>
            <w:hideMark/>
          </w:tcPr>
          <w:p w14:paraId="64583DED"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Mean</w:t>
            </w:r>
          </w:p>
        </w:tc>
        <w:tc>
          <w:tcPr>
            <w:tcW w:w="711" w:type="pct"/>
            <w:tcBorders>
              <w:top w:val="nil"/>
              <w:left w:val="nil"/>
              <w:bottom w:val="nil"/>
              <w:right w:val="nil"/>
            </w:tcBorders>
            <w:shd w:val="clear" w:color="auto" w:fill="auto"/>
            <w:noWrap/>
            <w:vAlign w:val="bottom"/>
            <w:hideMark/>
          </w:tcPr>
          <w:p w14:paraId="284CA788"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30628.731</w:t>
            </w:r>
          </w:p>
        </w:tc>
        <w:tc>
          <w:tcPr>
            <w:tcW w:w="1225" w:type="pct"/>
            <w:tcBorders>
              <w:top w:val="nil"/>
              <w:left w:val="nil"/>
              <w:bottom w:val="nil"/>
              <w:right w:val="nil"/>
            </w:tcBorders>
            <w:shd w:val="clear" w:color="auto" w:fill="auto"/>
            <w:noWrap/>
            <w:vAlign w:val="bottom"/>
            <w:hideMark/>
          </w:tcPr>
          <w:p w14:paraId="1FC3DE9B"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20704</w:t>
            </w:r>
          </w:p>
        </w:tc>
        <w:tc>
          <w:tcPr>
            <w:tcW w:w="858" w:type="pct"/>
            <w:tcBorders>
              <w:top w:val="nil"/>
              <w:left w:val="nil"/>
              <w:bottom w:val="nil"/>
              <w:right w:val="nil"/>
            </w:tcBorders>
            <w:shd w:val="clear" w:color="auto" w:fill="auto"/>
            <w:noWrap/>
            <w:vAlign w:val="bottom"/>
            <w:hideMark/>
          </w:tcPr>
          <w:p w14:paraId="383F9DC0"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7751.555</w:t>
            </w:r>
          </w:p>
        </w:tc>
        <w:tc>
          <w:tcPr>
            <w:tcW w:w="1136" w:type="pct"/>
            <w:tcBorders>
              <w:top w:val="nil"/>
              <w:left w:val="nil"/>
              <w:bottom w:val="nil"/>
              <w:right w:val="nil"/>
            </w:tcBorders>
            <w:shd w:val="clear" w:color="auto" w:fill="auto"/>
            <w:noWrap/>
            <w:vAlign w:val="bottom"/>
            <w:hideMark/>
          </w:tcPr>
          <w:p w14:paraId="7B93A67D"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40.545</w:t>
            </w:r>
          </w:p>
        </w:tc>
      </w:tr>
      <w:tr w:rsidR="00B01D81" w:rsidRPr="00907DAC" w14:paraId="6DA6915B" w14:textId="77777777" w:rsidTr="00B01D81">
        <w:trPr>
          <w:trHeight w:val="315"/>
        </w:trPr>
        <w:tc>
          <w:tcPr>
            <w:tcW w:w="535" w:type="pct"/>
            <w:tcBorders>
              <w:top w:val="nil"/>
              <w:left w:val="nil"/>
              <w:bottom w:val="single" w:sz="8" w:space="0" w:color="auto"/>
              <w:right w:val="nil"/>
            </w:tcBorders>
            <w:shd w:val="clear" w:color="auto" w:fill="auto"/>
            <w:noWrap/>
            <w:vAlign w:val="bottom"/>
            <w:hideMark/>
          </w:tcPr>
          <w:p w14:paraId="0C30D1A6"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 </w:t>
            </w:r>
          </w:p>
        </w:tc>
        <w:tc>
          <w:tcPr>
            <w:tcW w:w="535" w:type="pct"/>
            <w:tcBorders>
              <w:top w:val="nil"/>
              <w:left w:val="nil"/>
              <w:bottom w:val="single" w:sz="8" w:space="0" w:color="auto"/>
              <w:right w:val="nil"/>
            </w:tcBorders>
            <w:shd w:val="clear" w:color="auto" w:fill="auto"/>
            <w:noWrap/>
            <w:vAlign w:val="bottom"/>
            <w:hideMark/>
          </w:tcPr>
          <w:p w14:paraId="47E7789D"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Std</w:t>
            </w:r>
          </w:p>
        </w:tc>
        <w:tc>
          <w:tcPr>
            <w:tcW w:w="711" w:type="pct"/>
            <w:tcBorders>
              <w:top w:val="nil"/>
              <w:left w:val="nil"/>
              <w:bottom w:val="single" w:sz="8" w:space="0" w:color="auto"/>
              <w:right w:val="nil"/>
            </w:tcBorders>
            <w:shd w:val="clear" w:color="auto" w:fill="auto"/>
            <w:noWrap/>
            <w:vAlign w:val="bottom"/>
            <w:hideMark/>
          </w:tcPr>
          <w:p w14:paraId="160AF86D"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200712.476</w:t>
            </w:r>
          </w:p>
        </w:tc>
        <w:tc>
          <w:tcPr>
            <w:tcW w:w="1225" w:type="pct"/>
            <w:tcBorders>
              <w:top w:val="nil"/>
              <w:left w:val="nil"/>
              <w:bottom w:val="single" w:sz="8" w:space="0" w:color="auto"/>
              <w:right w:val="nil"/>
            </w:tcBorders>
            <w:shd w:val="clear" w:color="auto" w:fill="auto"/>
            <w:noWrap/>
            <w:vAlign w:val="bottom"/>
            <w:hideMark/>
          </w:tcPr>
          <w:p w14:paraId="3DE93BD3"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43580</w:t>
            </w:r>
          </w:p>
        </w:tc>
        <w:tc>
          <w:tcPr>
            <w:tcW w:w="858" w:type="pct"/>
            <w:tcBorders>
              <w:top w:val="nil"/>
              <w:left w:val="nil"/>
              <w:bottom w:val="single" w:sz="8" w:space="0" w:color="auto"/>
              <w:right w:val="nil"/>
            </w:tcBorders>
            <w:shd w:val="clear" w:color="auto" w:fill="auto"/>
            <w:noWrap/>
            <w:vAlign w:val="bottom"/>
            <w:hideMark/>
          </w:tcPr>
          <w:p w14:paraId="37A8D968"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18198.937</w:t>
            </w:r>
          </w:p>
        </w:tc>
        <w:tc>
          <w:tcPr>
            <w:tcW w:w="1136" w:type="pct"/>
            <w:tcBorders>
              <w:top w:val="nil"/>
              <w:left w:val="nil"/>
              <w:bottom w:val="single" w:sz="8" w:space="0" w:color="auto"/>
              <w:right w:val="nil"/>
            </w:tcBorders>
            <w:shd w:val="clear" w:color="auto" w:fill="auto"/>
            <w:noWrap/>
            <w:vAlign w:val="bottom"/>
            <w:hideMark/>
          </w:tcPr>
          <w:p w14:paraId="63A936C2" w14:textId="77777777" w:rsidR="00B01D81" w:rsidRPr="002C24A8" w:rsidRDefault="00B01D81" w:rsidP="00B01D81">
            <w:pPr>
              <w:spacing w:after="0" w:line="240" w:lineRule="auto"/>
              <w:jc w:val="center"/>
              <w:rPr>
                <w:rFonts w:ascii="Times New Roman" w:eastAsia="Times New Roman" w:hAnsi="Times New Roman" w:cs="Times New Roman"/>
                <w:color w:val="000000"/>
                <w:lang w:val="en-US"/>
              </w:rPr>
            </w:pPr>
            <w:r w:rsidRPr="002C24A8">
              <w:rPr>
                <w:rFonts w:ascii="Times New Roman" w:eastAsia="Times New Roman" w:hAnsi="Times New Roman" w:cs="Times New Roman"/>
                <w:color w:val="000000"/>
                <w:lang w:val="en-US"/>
              </w:rPr>
              <w:t>7.212</w:t>
            </w:r>
          </w:p>
        </w:tc>
      </w:tr>
    </w:tbl>
    <w:p w14:paraId="2A234AF1" w14:textId="77777777" w:rsidR="001E1E78" w:rsidRPr="002C24A8" w:rsidRDefault="001E1E78" w:rsidP="00F1437D">
      <w:pPr>
        <w:jc w:val="both"/>
        <w:rPr>
          <w:rFonts w:ascii="Times New Roman" w:hAnsi="Times New Roman" w:cs="Times New Roman"/>
          <w:sz w:val="24"/>
          <w:szCs w:val="24"/>
          <w:lang w:val="en-US"/>
        </w:rPr>
      </w:pPr>
    </w:p>
    <w:p w14:paraId="26FED532" w14:textId="77777777" w:rsidR="001E1E78" w:rsidRPr="002C24A8" w:rsidRDefault="001E1E78">
      <w:pPr>
        <w:rPr>
          <w:rFonts w:ascii="Times New Roman" w:hAnsi="Times New Roman" w:cs="Times New Roman"/>
          <w:sz w:val="24"/>
          <w:szCs w:val="24"/>
          <w:lang w:val="en-US"/>
        </w:rPr>
      </w:pPr>
      <w:r w:rsidRPr="002C24A8">
        <w:rPr>
          <w:rFonts w:ascii="Times New Roman" w:hAnsi="Times New Roman" w:cs="Times New Roman"/>
          <w:sz w:val="24"/>
          <w:szCs w:val="24"/>
          <w:lang w:val="en-US"/>
        </w:rPr>
        <w:br w:type="page"/>
      </w:r>
    </w:p>
    <w:p w14:paraId="1945AA3F" w14:textId="77777777" w:rsidR="00B01D81" w:rsidRPr="002C24A8" w:rsidRDefault="001E1E78" w:rsidP="00F1437D">
      <w:pPr>
        <w:jc w:val="both"/>
        <w:rPr>
          <w:rFonts w:ascii="Times New Roman" w:hAnsi="Times New Roman" w:cs="Times New Roman"/>
          <w:sz w:val="24"/>
          <w:szCs w:val="24"/>
          <w:lang w:val="en-US"/>
        </w:rPr>
      </w:pPr>
      <w:r w:rsidRPr="002C24A8">
        <w:rPr>
          <w:rFonts w:ascii="Times New Roman" w:hAnsi="Times New Roman" w:cs="Times New Roman"/>
          <w:b/>
          <w:sz w:val="24"/>
          <w:szCs w:val="24"/>
          <w:lang w:val="en-US"/>
        </w:rPr>
        <w:lastRenderedPageBreak/>
        <w:t>Figure 1</w:t>
      </w:r>
      <w:r w:rsidRPr="002C24A8">
        <w:rPr>
          <w:rFonts w:ascii="Times New Roman" w:hAnsi="Times New Roman" w:cs="Times New Roman"/>
          <w:sz w:val="24"/>
          <w:szCs w:val="24"/>
          <w:lang w:val="en-US"/>
        </w:rPr>
        <w:t>: Density plots of firms’ estimated efficiency levels</w:t>
      </w:r>
    </w:p>
    <w:tbl>
      <w:tblPr>
        <w:tblStyle w:val="TableGrid"/>
        <w:tblW w:w="0" w:type="auto"/>
        <w:tblLayout w:type="fixed"/>
        <w:tblLook w:val="04A0" w:firstRow="1" w:lastRow="0" w:firstColumn="1" w:lastColumn="0" w:noHBand="0" w:noVBand="1"/>
      </w:tblPr>
      <w:tblGrid>
        <w:gridCol w:w="3184"/>
        <w:gridCol w:w="3190"/>
        <w:gridCol w:w="2976"/>
      </w:tblGrid>
      <w:tr w:rsidR="00B37FFC" w:rsidRPr="00907DAC" w14:paraId="7C800AFD" w14:textId="77777777" w:rsidTr="00B37FFC">
        <w:tc>
          <w:tcPr>
            <w:tcW w:w="3184" w:type="dxa"/>
          </w:tcPr>
          <w:p w14:paraId="20A0E684" w14:textId="77777777" w:rsidR="00314F71" w:rsidRPr="002C24A8" w:rsidRDefault="00314F71" w:rsidP="00F1437D">
            <w:pPr>
              <w:jc w:val="both"/>
              <w:rPr>
                <w:lang w:val="en-US" w:eastAsia="el-GR"/>
              </w:rPr>
            </w:pPr>
            <w:r w:rsidRPr="002C24A8">
              <w:rPr>
                <w:lang w:val="en-US" w:eastAsia="el-GR"/>
              </w:rPr>
              <w:t>a</w:t>
            </w:r>
          </w:p>
          <w:p w14:paraId="57B80F32" w14:textId="77777777" w:rsidR="00B37FFC" w:rsidRPr="002C24A8" w:rsidRDefault="00B37FFC" w:rsidP="00F1437D">
            <w:pPr>
              <w:jc w:val="both"/>
              <w:rPr>
                <w:rFonts w:ascii="Times New Roman" w:hAnsi="Times New Roman" w:cs="Times New Roman"/>
                <w:sz w:val="24"/>
                <w:szCs w:val="24"/>
                <w:lang w:val="en-US"/>
              </w:rPr>
            </w:pPr>
            <w:r w:rsidRPr="002C24A8">
              <w:rPr>
                <w:noProof/>
                <w:lang w:eastAsia="en-GB"/>
              </w:rPr>
              <w:drawing>
                <wp:inline distT="0" distB="0" distL="0" distR="0" wp14:anchorId="74AE72F0" wp14:editId="637C6655">
                  <wp:extent cx="1790700" cy="1788287"/>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1791719" cy="1789305"/>
                          </a:xfrm>
                          <a:prstGeom prst="rect">
                            <a:avLst/>
                          </a:prstGeom>
                        </pic:spPr>
                      </pic:pic>
                    </a:graphicData>
                  </a:graphic>
                </wp:inline>
              </w:drawing>
            </w:r>
          </w:p>
        </w:tc>
        <w:tc>
          <w:tcPr>
            <w:tcW w:w="3190" w:type="dxa"/>
          </w:tcPr>
          <w:p w14:paraId="4B2BE8AD" w14:textId="77777777" w:rsidR="00D41ADA" w:rsidRPr="002C24A8" w:rsidRDefault="00D41ADA" w:rsidP="00F1437D">
            <w:pPr>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b</w:t>
            </w:r>
          </w:p>
          <w:p w14:paraId="6E8A03D2" w14:textId="77777777" w:rsidR="00B37FFC" w:rsidRPr="002C24A8" w:rsidRDefault="00B37FFC" w:rsidP="00F1437D">
            <w:pPr>
              <w:jc w:val="both"/>
              <w:rPr>
                <w:rFonts w:ascii="Times New Roman" w:hAnsi="Times New Roman" w:cs="Times New Roman"/>
                <w:sz w:val="24"/>
                <w:szCs w:val="24"/>
                <w:lang w:val="en-US"/>
              </w:rPr>
            </w:pPr>
            <w:r w:rsidRPr="002C24A8">
              <w:rPr>
                <w:noProof/>
                <w:lang w:eastAsia="en-GB"/>
              </w:rPr>
              <w:drawing>
                <wp:inline distT="0" distB="0" distL="0" distR="0" wp14:anchorId="366EC28A" wp14:editId="522A050B">
                  <wp:extent cx="1681847" cy="16793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706433" cy="1703881"/>
                          </a:xfrm>
                          <a:prstGeom prst="rect">
                            <a:avLst/>
                          </a:prstGeom>
                        </pic:spPr>
                      </pic:pic>
                    </a:graphicData>
                  </a:graphic>
                </wp:inline>
              </w:drawing>
            </w:r>
          </w:p>
        </w:tc>
        <w:tc>
          <w:tcPr>
            <w:tcW w:w="2976" w:type="dxa"/>
          </w:tcPr>
          <w:p w14:paraId="3FC17A5D" w14:textId="77777777" w:rsidR="00B37FFC" w:rsidRPr="002C24A8" w:rsidRDefault="00D41ADA" w:rsidP="00F1437D">
            <w:pPr>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c</w:t>
            </w:r>
            <w:r w:rsidR="00B37FFC" w:rsidRPr="002C24A8">
              <w:rPr>
                <w:noProof/>
                <w:lang w:eastAsia="en-GB"/>
              </w:rPr>
              <w:drawing>
                <wp:inline distT="0" distB="0" distL="0" distR="0" wp14:anchorId="311059D4" wp14:editId="5B52E3E5">
                  <wp:extent cx="1855033" cy="1635370"/>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1904575" cy="1679046"/>
                          </a:xfrm>
                          <a:prstGeom prst="rect">
                            <a:avLst/>
                          </a:prstGeom>
                        </pic:spPr>
                      </pic:pic>
                    </a:graphicData>
                  </a:graphic>
                </wp:inline>
              </w:drawing>
            </w:r>
          </w:p>
        </w:tc>
      </w:tr>
      <w:tr w:rsidR="00B37FFC" w:rsidRPr="00907DAC" w14:paraId="525102E6" w14:textId="77777777" w:rsidTr="00B37FFC">
        <w:tc>
          <w:tcPr>
            <w:tcW w:w="3184" w:type="dxa"/>
          </w:tcPr>
          <w:p w14:paraId="57327782" w14:textId="77777777" w:rsidR="00B37FFC" w:rsidRPr="002C24A8" w:rsidRDefault="00D41ADA" w:rsidP="00F1437D">
            <w:pPr>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d</w:t>
            </w:r>
            <w:r w:rsidR="00B37FFC" w:rsidRPr="002C24A8">
              <w:rPr>
                <w:noProof/>
                <w:lang w:eastAsia="en-GB"/>
              </w:rPr>
              <w:drawing>
                <wp:inline distT="0" distB="0" distL="0" distR="0" wp14:anchorId="15FDA5C8" wp14:editId="3ECD981D">
                  <wp:extent cx="1822667" cy="165735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1865425" cy="1696230"/>
                          </a:xfrm>
                          <a:prstGeom prst="rect">
                            <a:avLst/>
                          </a:prstGeom>
                        </pic:spPr>
                      </pic:pic>
                    </a:graphicData>
                  </a:graphic>
                </wp:inline>
              </w:drawing>
            </w:r>
          </w:p>
        </w:tc>
        <w:tc>
          <w:tcPr>
            <w:tcW w:w="3190" w:type="dxa"/>
          </w:tcPr>
          <w:p w14:paraId="461F89C6" w14:textId="77777777" w:rsidR="00D41ADA" w:rsidRPr="002C24A8" w:rsidRDefault="00D41ADA" w:rsidP="00F1437D">
            <w:pPr>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e</w:t>
            </w:r>
          </w:p>
          <w:p w14:paraId="42F538B6" w14:textId="77777777" w:rsidR="00B37FFC" w:rsidRPr="002C24A8" w:rsidRDefault="00B37FFC" w:rsidP="00F1437D">
            <w:pPr>
              <w:jc w:val="both"/>
              <w:rPr>
                <w:rFonts w:ascii="Times New Roman" w:hAnsi="Times New Roman" w:cs="Times New Roman"/>
                <w:sz w:val="24"/>
                <w:szCs w:val="24"/>
                <w:lang w:val="en-US"/>
              </w:rPr>
            </w:pPr>
            <w:r w:rsidRPr="002C24A8">
              <w:rPr>
                <w:noProof/>
                <w:lang w:eastAsia="en-GB"/>
              </w:rPr>
              <w:drawing>
                <wp:inline distT="0" distB="0" distL="0" distR="0" wp14:anchorId="70515BB0" wp14:editId="7C374FE4">
                  <wp:extent cx="1717070" cy="1714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1746223" cy="1743609"/>
                          </a:xfrm>
                          <a:prstGeom prst="rect">
                            <a:avLst/>
                          </a:prstGeom>
                        </pic:spPr>
                      </pic:pic>
                    </a:graphicData>
                  </a:graphic>
                </wp:inline>
              </w:drawing>
            </w:r>
          </w:p>
        </w:tc>
        <w:tc>
          <w:tcPr>
            <w:tcW w:w="2976" w:type="dxa"/>
          </w:tcPr>
          <w:p w14:paraId="548D7868" w14:textId="77777777" w:rsidR="00B37FFC" w:rsidRPr="002C24A8" w:rsidRDefault="00D41ADA" w:rsidP="00F1437D">
            <w:pPr>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f</w:t>
            </w:r>
            <w:r w:rsidR="00B37FFC" w:rsidRPr="002C24A8">
              <w:rPr>
                <w:noProof/>
                <w:lang w:eastAsia="en-GB"/>
              </w:rPr>
              <w:drawing>
                <wp:inline distT="0" distB="0" distL="0" distR="0" wp14:anchorId="7100DFD3" wp14:editId="4997A78D">
                  <wp:extent cx="1755225" cy="1752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1779626" cy="1776965"/>
                          </a:xfrm>
                          <a:prstGeom prst="rect">
                            <a:avLst/>
                          </a:prstGeom>
                        </pic:spPr>
                      </pic:pic>
                    </a:graphicData>
                  </a:graphic>
                </wp:inline>
              </w:drawing>
            </w:r>
          </w:p>
        </w:tc>
      </w:tr>
      <w:tr w:rsidR="00B37FFC" w:rsidRPr="00907DAC" w14:paraId="59B416EE" w14:textId="77777777" w:rsidTr="00B37FFC">
        <w:tc>
          <w:tcPr>
            <w:tcW w:w="3184" w:type="dxa"/>
          </w:tcPr>
          <w:p w14:paraId="08E91896" w14:textId="77777777" w:rsidR="00D41ADA" w:rsidRPr="002C24A8" w:rsidRDefault="00D41ADA" w:rsidP="00F1437D">
            <w:pPr>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g</w:t>
            </w:r>
          </w:p>
          <w:p w14:paraId="7160DC99" w14:textId="77777777" w:rsidR="00B37FFC" w:rsidRPr="002C24A8" w:rsidRDefault="00B37FFC" w:rsidP="00F1437D">
            <w:pPr>
              <w:jc w:val="both"/>
              <w:rPr>
                <w:rFonts w:ascii="Times New Roman" w:hAnsi="Times New Roman" w:cs="Times New Roman"/>
                <w:sz w:val="24"/>
                <w:szCs w:val="24"/>
                <w:lang w:val="en-US"/>
              </w:rPr>
            </w:pPr>
            <w:r w:rsidRPr="002C24A8">
              <w:rPr>
                <w:noProof/>
                <w:lang w:eastAsia="en-GB"/>
              </w:rPr>
              <w:drawing>
                <wp:inline distT="0" distB="0" distL="0" distR="0" wp14:anchorId="5A03967A" wp14:editId="56B0A062">
                  <wp:extent cx="1754965" cy="1752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1760307" cy="1757935"/>
                          </a:xfrm>
                          <a:prstGeom prst="rect">
                            <a:avLst/>
                          </a:prstGeom>
                        </pic:spPr>
                      </pic:pic>
                    </a:graphicData>
                  </a:graphic>
                </wp:inline>
              </w:drawing>
            </w:r>
          </w:p>
        </w:tc>
        <w:tc>
          <w:tcPr>
            <w:tcW w:w="3190" w:type="dxa"/>
          </w:tcPr>
          <w:p w14:paraId="2BFBDCEF" w14:textId="77777777" w:rsidR="00314F71" w:rsidRPr="002C24A8" w:rsidRDefault="00314F71" w:rsidP="00F1437D">
            <w:pPr>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h</w:t>
            </w:r>
          </w:p>
          <w:p w14:paraId="78578055" w14:textId="77777777" w:rsidR="00B37FFC" w:rsidRPr="002C24A8" w:rsidRDefault="00B37FFC" w:rsidP="00F1437D">
            <w:pPr>
              <w:jc w:val="both"/>
              <w:rPr>
                <w:rFonts w:ascii="Times New Roman" w:hAnsi="Times New Roman" w:cs="Times New Roman"/>
                <w:sz w:val="24"/>
                <w:szCs w:val="24"/>
                <w:lang w:val="en-US"/>
              </w:rPr>
            </w:pPr>
            <w:r w:rsidRPr="002C24A8">
              <w:rPr>
                <w:noProof/>
                <w:lang w:eastAsia="en-GB"/>
              </w:rPr>
              <w:drawing>
                <wp:inline distT="0" distB="0" distL="0" distR="0" wp14:anchorId="5105B62D" wp14:editId="632ACFBC">
                  <wp:extent cx="1752417" cy="1750060"/>
                  <wp:effectExtent l="0" t="0" r="635"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1756357" cy="1753995"/>
                          </a:xfrm>
                          <a:prstGeom prst="rect">
                            <a:avLst/>
                          </a:prstGeom>
                        </pic:spPr>
                      </pic:pic>
                    </a:graphicData>
                  </a:graphic>
                </wp:inline>
              </w:drawing>
            </w:r>
          </w:p>
        </w:tc>
        <w:tc>
          <w:tcPr>
            <w:tcW w:w="2976" w:type="dxa"/>
          </w:tcPr>
          <w:p w14:paraId="4FE32FF8" w14:textId="77777777" w:rsidR="00B37FFC" w:rsidRPr="002C24A8" w:rsidRDefault="00D41ADA" w:rsidP="00F1437D">
            <w:pPr>
              <w:jc w:val="both"/>
              <w:rPr>
                <w:rFonts w:ascii="Times New Roman" w:hAnsi="Times New Roman" w:cs="Times New Roman"/>
                <w:sz w:val="24"/>
                <w:szCs w:val="24"/>
                <w:lang w:val="en-US"/>
              </w:rPr>
            </w:pPr>
            <w:r w:rsidRPr="002C24A8">
              <w:rPr>
                <w:rFonts w:ascii="Times New Roman" w:hAnsi="Times New Roman" w:cs="Times New Roman"/>
                <w:sz w:val="24"/>
                <w:szCs w:val="24"/>
                <w:lang w:val="en-US"/>
              </w:rPr>
              <w:t>i</w:t>
            </w:r>
            <w:r w:rsidR="00B37FFC" w:rsidRPr="002C24A8">
              <w:rPr>
                <w:noProof/>
                <w:lang w:eastAsia="en-GB"/>
              </w:rPr>
              <w:drawing>
                <wp:inline distT="0" distB="0" distL="0" distR="0" wp14:anchorId="7C705501" wp14:editId="7C7A1546">
                  <wp:extent cx="1726527" cy="1724025"/>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1730970" cy="1728461"/>
                          </a:xfrm>
                          <a:prstGeom prst="rect">
                            <a:avLst/>
                          </a:prstGeom>
                        </pic:spPr>
                      </pic:pic>
                    </a:graphicData>
                  </a:graphic>
                </wp:inline>
              </w:drawing>
            </w:r>
          </w:p>
        </w:tc>
      </w:tr>
      <w:tr w:rsidR="00B37FFC" w:rsidRPr="00907DAC" w14:paraId="5DA5299F" w14:textId="77777777" w:rsidTr="0012468F">
        <w:trPr>
          <w:trHeight w:val="3232"/>
        </w:trPr>
        <w:tc>
          <w:tcPr>
            <w:tcW w:w="3184" w:type="dxa"/>
          </w:tcPr>
          <w:p w14:paraId="6CE0A07E" w14:textId="77777777" w:rsidR="00D41ADA" w:rsidRPr="002C24A8" w:rsidRDefault="00D41ADA" w:rsidP="00F1437D">
            <w:pPr>
              <w:jc w:val="both"/>
              <w:rPr>
                <w:lang w:val="en-US"/>
              </w:rPr>
            </w:pPr>
            <w:r w:rsidRPr="002C24A8">
              <w:rPr>
                <w:lang w:val="en-US"/>
              </w:rPr>
              <w:t>j</w:t>
            </w:r>
          </w:p>
          <w:p w14:paraId="007A0188" w14:textId="77777777" w:rsidR="00B37FFC" w:rsidRPr="002C24A8" w:rsidRDefault="00B37FFC" w:rsidP="00F1437D">
            <w:pPr>
              <w:jc w:val="both"/>
              <w:rPr>
                <w:lang w:val="en-US"/>
              </w:rPr>
            </w:pPr>
            <w:r w:rsidRPr="002C24A8">
              <w:rPr>
                <w:noProof/>
                <w:lang w:eastAsia="en-GB"/>
              </w:rPr>
              <w:drawing>
                <wp:inline distT="0" distB="0" distL="0" distR="0" wp14:anchorId="728F1FD4" wp14:editId="77C4FC87">
                  <wp:extent cx="1781035" cy="17907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1825636" cy="1835543"/>
                          </a:xfrm>
                          <a:prstGeom prst="rect">
                            <a:avLst/>
                          </a:prstGeom>
                        </pic:spPr>
                      </pic:pic>
                    </a:graphicData>
                  </a:graphic>
                </wp:inline>
              </w:drawing>
            </w:r>
          </w:p>
        </w:tc>
        <w:tc>
          <w:tcPr>
            <w:tcW w:w="3190" w:type="dxa"/>
          </w:tcPr>
          <w:p w14:paraId="63996657" w14:textId="77777777" w:rsidR="00B37FFC" w:rsidRPr="002C24A8" w:rsidRDefault="00B37FFC" w:rsidP="00F1437D">
            <w:pPr>
              <w:jc w:val="both"/>
              <w:rPr>
                <w:rFonts w:ascii="Times New Roman" w:hAnsi="Times New Roman" w:cs="Times New Roman"/>
                <w:sz w:val="24"/>
                <w:szCs w:val="24"/>
                <w:lang w:val="en-US"/>
              </w:rPr>
            </w:pPr>
          </w:p>
        </w:tc>
        <w:tc>
          <w:tcPr>
            <w:tcW w:w="2976" w:type="dxa"/>
          </w:tcPr>
          <w:p w14:paraId="0EF810B2" w14:textId="77777777" w:rsidR="00B37FFC" w:rsidRPr="002C24A8" w:rsidRDefault="00B37FFC" w:rsidP="00F1437D">
            <w:pPr>
              <w:jc w:val="both"/>
              <w:rPr>
                <w:rFonts w:ascii="Times New Roman" w:hAnsi="Times New Roman" w:cs="Times New Roman"/>
                <w:sz w:val="24"/>
                <w:szCs w:val="24"/>
                <w:lang w:val="en-US"/>
              </w:rPr>
            </w:pPr>
          </w:p>
        </w:tc>
      </w:tr>
    </w:tbl>
    <w:p w14:paraId="243A9201" w14:textId="77777777" w:rsidR="00D41ADA" w:rsidRPr="002C24A8" w:rsidRDefault="00D41ADA">
      <w:pPr>
        <w:rPr>
          <w:rFonts w:ascii="Times New Roman" w:hAnsi="Times New Roman" w:cs="Times New Roman"/>
          <w:b/>
          <w:sz w:val="24"/>
          <w:szCs w:val="24"/>
          <w:lang w:val="en-US"/>
        </w:rPr>
      </w:pPr>
    </w:p>
    <w:p w14:paraId="75FFF0A6" w14:textId="77777777" w:rsidR="00B37FFC" w:rsidRPr="002C24A8" w:rsidRDefault="00954139" w:rsidP="00F1437D">
      <w:pPr>
        <w:jc w:val="both"/>
        <w:rPr>
          <w:rFonts w:ascii="Times New Roman" w:hAnsi="Times New Roman" w:cs="Times New Roman"/>
          <w:sz w:val="24"/>
          <w:szCs w:val="24"/>
          <w:lang w:val="en-US"/>
        </w:rPr>
      </w:pPr>
      <w:r w:rsidRPr="002C24A8">
        <w:rPr>
          <w:rFonts w:ascii="Times New Roman" w:hAnsi="Times New Roman" w:cs="Times New Roman"/>
          <w:b/>
          <w:sz w:val="24"/>
          <w:szCs w:val="24"/>
          <w:lang w:val="en-US"/>
        </w:rPr>
        <w:t>Table 2</w:t>
      </w:r>
      <w:r w:rsidRPr="002C24A8">
        <w:rPr>
          <w:rFonts w:ascii="Times New Roman" w:hAnsi="Times New Roman" w:cs="Times New Roman"/>
          <w:sz w:val="24"/>
          <w:szCs w:val="24"/>
          <w:lang w:val="en-US"/>
        </w:rPr>
        <w:t>: Per industry conditional efficiencies estimates</w:t>
      </w:r>
    </w:p>
    <w:tbl>
      <w:tblPr>
        <w:tblW w:w="5126" w:type="pct"/>
        <w:tblLayout w:type="fixed"/>
        <w:tblLook w:val="04A0" w:firstRow="1" w:lastRow="0" w:firstColumn="1" w:lastColumn="0" w:noHBand="0" w:noVBand="1"/>
      </w:tblPr>
      <w:tblGrid>
        <w:gridCol w:w="2932"/>
        <w:gridCol w:w="695"/>
        <w:gridCol w:w="1413"/>
        <w:gridCol w:w="109"/>
        <w:gridCol w:w="2105"/>
        <w:gridCol w:w="109"/>
        <w:gridCol w:w="585"/>
        <w:gridCol w:w="109"/>
        <w:gridCol w:w="1303"/>
        <w:gridCol w:w="236"/>
      </w:tblGrid>
      <w:tr w:rsidR="00954139" w:rsidRPr="00907DAC" w14:paraId="4C3CD32B" w14:textId="77777777" w:rsidTr="00954139">
        <w:trPr>
          <w:trHeight w:val="315"/>
        </w:trPr>
        <w:tc>
          <w:tcPr>
            <w:tcW w:w="1527" w:type="pct"/>
            <w:tcBorders>
              <w:top w:val="single" w:sz="4" w:space="0" w:color="auto"/>
              <w:left w:val="nil"/>
              <w:bottom w:val="double" w:sz="6" w:space="0" w:color="auto"/>
              <w:right w:val="nil"/>
            </w:tcBorders>
            <w:shd w:val="clear" w:color="auto" w:fill="auto"/>
            <w:noWrap/>
            <w:vAlign w:val="bottom"/>
            <w:hideMark/>
          </w:tcPr>
          <w:p w14:paraId="76C00AA9" w14:textId="77777777" w:rsidR="00954139" w:rsidRPr="002C24A8" w:rsidRDefault="00954139" w:rsidP="00954139">
            <w:pPr>
              <w:spacing w:after="0" w:line="240" w:lineRule="auto"/>
              <w:jc w:val="center"/>
              <w:rPr>
                <w:rFonts w:ascii="Times New Roman" w:eastAsia="Times New Roman" w:hAnsi="Times New Roman" w:cs="Times New Roman"/>
                <w:b/>
                <w:bCs/>
                <w:i/>
                <w:iCs/>
                <w:color w:val="000000"/>
                <w:sz w:val="20"/>
                <w:szCs w:val="20"/>
                <w:lang w:val="en-US"/>
              </w:rPr>
            </w:pPr>
            <w:r w:rsidRPr="002C24A8">
              <w:rPr>
                <w:rFonts w:ascii="Times New Roman" w:eastAsia="Times New Roman" w:hAnsi="Times New Roman" w:cs="Times New Roman"/>
                <w:b/>
                <w:bCs/>
                <w:i/>
                <w:iCs/>
                <w:color w:val="000000"/>
                <w:sz w:val="20"/>
                <w:szCs w:val="20"/>
                <w:lang w:val="en-US"/>
              </w:rPr>
              <w:t>INDUSTRY</w:t>
            </w:r>
          </w:p>
        </w:tc>
        <w:tc>
          <w:tcPr>
            <w:tcW w:w="362" w:type="pct"/>
            <w:tcBorders>
              <w:top w:val="single" w:sz="4" w:space="0" w:color="auto"/>
              <w:left w:val="nil"/>
              <w:bottom w:val="double" w:sz="6" w:space="0" w:color="auto"/>
              <w:right w:val="nil"/>
            </w:tcBorders>
            <w:shd w:val="clear" w:color="auto" w:fill="auto"/>
            <w:noWrap/>
            <w:vAlign w:val="bottom"/>
            <w:hideMark/>
          </w:tcPr>
          <w:p w14:paraId="4065E710" w14:textId="77777777" w:rsidR="00954139" w:rsidRPr="002C24A8" w:rsidRDefault="00954139" w:rsidP="00954139">
            <w:pPr>
              <w:spacing w:after="0" w:line="240" w:lineRule="auto"/>
              <w:jc w:val="center"/>
              <w:rPr>
                <w:rFonts w:ascii="Times New Roman" w:eastAsia="Times New Roman" w:hAnsi="Times New Roman" w:cs="Times New Roman"/>
                <w:b/>
                <w:bCs/>
                <w:i/>
                <w:iCs/>
                <w:color w:val="000000"/>
                <w:sz w:val="20"/>
                <w:szCs w:val="20"/>
                <w:lang w:val="en-US"/>
              </w:rPr>
            </w:pPr>
          </w:p>
        </w:tc>
        <w:tc>
          <w:tcPr>
            <w:tcW w:w="793" w:type="pct"/>
            <w:gridSpan w:val="2"/>
            <w:tcBorders>
              <w:top w:val="single" w:sz="4" w:space="0" w:color="auto"/>
              <w:left w:val="nil"/>
              <w:bottom w:val="double" w:sz="6" w:space="0" w:color="auto"/>
              <w:right w:val="nil"/>
            </w:tcBorders>
            <w:shd w:val="clear" w:color="auto" w:fill="auto"/>
            <w:noWrap/>
            <w:vAlign w:val="bottom"/>
            <w:hideMark/>
          </w:tcPr>
          <w:p w14:paraId="205E196C" w14:textId="77777777" w:rsidR="00954139" w:rsidRPr="002C24A8" w:rsidRDefault="00D77680" w:rsidP="00954139">
            <w:pPr>
              <w:spacing w:after="0" w:line="240" w:lineRule="auto"/>
              <w:jc w:val="center"/>
              <w:rPr>
                <w:rFonts w:ascii="Times New Roman" w:eastAsia="Times New Roman" w:hAnsi="Times New Roman" w:cs="Times New Roman"/>
                <w:b/>
                <w:bCs/>
                <w:i/>
                <w:iCs/>
                <w:color w:val="000000"/>
                <w:sz w:val="20"/>
                <w:szCs w:val="20"/>
                <w:lang w:val="en-US"/>
              </w:rPr>
            </w:pPr>
            <w:r w:rsidRPr="002C24A8">
              <w:rPr>
                <w:position w:val="-16"/>
                <w:lang w:val="en-US"/>
              </w:rPr>
              <w:object w:dxaOrig="1020" w:dyaOrig="440" w14:anchorId="5B18B244">
                <v:shape id="_x0000_i1044" type="#_x0000_t75" style="width:52pt;height:22.5pt" o:ole="">
                  <v:imagedata r:id="rId52" o:title=""/>
                </v:shape>
                <o:OLEObject Type="Embed" ProgID="Equation.DSMT4" ShapeID="_x0000_i1044" DrawAspect="Content" ObjectID="_1625424711" r:id="rId53"/>
              </w:object>
            </w:r>
          </w:p>
        </w:tc>
        <w:tc>
          <w:tcPr>
            <w:tcW w:w="1154" w:type="pct"/>
            <w:gridSpan w:val="2"/>
            <w:tcBorders>
              <w:top w:val="single" w:sz="4" w:space="0" w:color="auto"/>
              <w:left w:val="nil"/>
              <w:bottom w:val="double" w:sz="6" w:space="0" w:color="auto"/>
              <w:right w:val="nil"/>
            </w:tcBorders>
            <w:shd w:val="clear" w:color="auto" w:fill="auto"/>
            <w:noWrap/>
            <w:vAlign w:val="bottom"/>
            <w:hideMark/>
          </w:tcPr>
          <w:p w14:paraId="5501F815" w14:textId="77777777" w:rsidR="00954139" w:rsidRPr="002C24A8" w:rsidRDefault="00954139" w:rsidP="00954139">
            <w:pPr>
              <w:spacing w:after="0" w:line="240" w:lineRule="auto"/>
              <w:jc w:val="center"/>
              <w:rPr>
                <w:rFonts w:ascii="Times New Roman" w:eastAsia="Times New Roman" w:hAnsi="Times New Roman" w:cs="Times New Roman"/>
                <w:b/>
                <w:bCs/>
                <w:i/>
                <w:iCs/>
                <w:color w:val="000000"/>
                <w:sz w:val="20"/>
                <w:szCs w:val="20"/>
                <w:lang w:val="en-US"/>
              </w:rPr>
            </w:pPr>
            <w:r w:rsidRPr="002C24A8">
              <w:rPr>
                <w:rFonts w:ascii="Times New Roman" w:eastAsia="Times New Roman" w:hAnsi="Times New Roman" w:cs="Times New Roman"/>
                <w:b/>
                <w:bCs/>
                <w:i/>
                <w:iCs/>
                <w:color w:val="000000"/>
                <w:sz w:val="20"/>
                <w:szCs w:val="20"/>
                <w:lang w:val="en-US"/>
              </w:rPr>
              <w:t>INDUSTRY</w:t>
            </w:r>
          </w:p>
        </w:tc>
        <w:tc>
          <w:tcPr>
            <w:tcW w:w="362" w:type="pct"/>
            <w:gridSpan w:val="2"/>
            <w:tcBorders>
              <w:top w:val="single" w:sz="4" w:space="0" w:color="auto"/>
              <w:left w:val="nil"/>
              <w:bottom w:val="double" w:sz="6" w:space="0" w:color="auto"/>
              <w:right w:val="nil"/>
            </w:tcBorders>
            <w:shd w:val="clear" w:color="auto" w:fill="auto"/>
            <w:noWrap/>
            <w:vAlign w:val="bottom"/>
            <w:hideMark/>
          </w:tcPr>
          <w:p w14:paraId="47973224" w14:textId="77777777" w:rsidR="00954139" w:rsidRPr="002C24A8" w:rsidRDefault="00954139" w:rsidP="00954139">
            <w:pPr>
              <w:spacing w:after="0" w:line="240" w:lineRule="auto"/>
              <w:jc w:val="center"/>
              <w:rPr>
                <w:rFonts w:ascii="Times New Roman" w:eastAsia="Times New Roman" w:hAnsi="Times New Roman" w:cs="Times New Roman"/>
                <w:b/>
                <w:bCs/>
                <w:i/>
                <w:iCs/>
                <w:color w:val="000000"/>
                <w:sz w:val="20"/>
                <w:szCs w:val="20"/>
                <w:lang w:val="en-US"/>
              </w:rPr>
            </w:pPr>
          </w:p>
        </w:tc>
        <w:tc>
          <w:tcPr>
            <w:tcW w:w="802" w:type="pct"/>
            <w:gridSpan w:val="2"/>
            <w:tcBorders>
              <w:top w:val="single" w:sz="4" w:space="0" w:color="auto"/>
              <w:left w:val="nil"/>
              <w:bottom w:val="double" w:sz="6" w:space="0" w:color="auto"/>
              <w:right w:val="nil"/>
            </w:tcBorders>
            <w:shd w:val="clear" w:color="auto" w:fill="auto"/>
            <w:noWrap/>
            <w:vAlign w:val="bottom"/>
            <w:hideMark/>
          </w:tcPr>
          <w:p w14:paraId="0E6B7A3B" w14:textId="77777777" w:rsidR="00954139" w:rsidRPr="002C24A8" w:rsidRDefault="00D77680" w:rsidP="00954139">
            <w:pPr>
              <w:spacing w:after="0" w:line="240" w:lineRule="auto"/>
              <w:jc w:val="center"/>
              <w:rPr>
                <w:rFonts w:ascii="Times New Roman" w:eastAsia="Times New Roman" w:hAnsi="Times New Roman" w:cs="Times New Roman"/>
                <w:b/>
                <w:bCs/>
                <w:i/>
                <w:iCs/>
                <w:color w:val="000000"/>
                <w:sz w:val="20"/>
                <w:szCs w:val="20"/>
                <w:lang w:val="en-US"/>
              </w:rPr>
            </w:pPr>
            <w:r w:rsidRPr="002C24A8">
              <w:rPr>
                <w:position w:val="-16"/>
                <w:lang w:val="en-US"/>
              </w:rPr>
              <w:object w:dxaOrig="1020" w:dyaOrig="440" w14:anchorId="5D7BB1D8">
                <v:shape id="_x0000_i1045" type="#_x0000_t75" style="width:52pt;height:22.5pt" o:ole="">
                  <v:imagedata r:id="rId54" o:title=""/>
                </v:shape>
                <o:OLEObject Type="Embed" ProgID="Equation.DSMT4" ShapeID="_x0000_i1045" DrawAspect="Content" ObjectID="_1625424712" r:id="rId55"/>
              </w:object>
            </w:r>
          </w:p>
        </w:tc>
      </w:tr>
      <w:tr w:rsidR="00954139" w:rsidRPr="00907DAC" w14:paraId="113D03ED" w14:textId="77777777" w:rsidTr="00954139">
        <w:trPr>
          <w:gridAfter w:val="1"/>
          <w:wAfter w:w="122" w:type="pct"/>
          <w:trHeight w:val="315"/>
        </w:trPr>
        <w:tc>
          <w:tcPr>
            <w:tcW w:w="1527" w:type="pct"/>
            <w:tcBorders>
              <w:top w:val="nil"/>
              <w:left w:val="nil"/>
              <w:bottom w:val="nil"/>
              <w:right w:val="nil"/>
            </w:tcBorders>
            <w:shd w:val="clear" w:color="auto" w:fill="auto"/>
            <w:noWrap/>
            <w:vAlign w:val="center"/>
            <w:hideMark/>
          </w:tcPr>
          <w:p w14:paraId="547DF921" w14:textId="77777777" w:rsidR="00954139" w:rsidRPr="002C24A8" w:rsidRDefault="00954139" w:rsidP="00954139">
            <w:pPr>
              <w:spacing w:after="0" w:line="240" w:lineRule="auto"/>
              <w:jc w:val="center"/>
              <w:rPr>
                <w:rFonts w:ascii="Times New Roman" w:eastAsia="Times New Roman" w:hAnsi="Times New Roman" w:cs="Times New Roman"/>
                <w:color w:val="000000"/>
                <w:sz w:val="20"/>
                <w:szCs w:val="20"/>
                <w:lang w:val="en-US"/>
              </w:rPr>
            </w:pPr>
            <w:r w:rsidRPr="002C24A8">
              <w:rPr>
                <w:rFonts w:ascii="Times New Roman" w:eastAsia="Times New Roman" w:hAnsi="Times New Roman" w:cs="Times New Roman"/>
                <w:color w:val="000000"/>
                <w:sz w:val="20"/>
                <w:szCs w:val="20"/>
                <w:lang w:val="en-US"/>
              </w:rPr>
              <w:t>COMMUNICATIONS</w:t>
            </w:r>
          </w:p>
        </w:tc>
        <w:tc>
          <w:tcPr>
            <w:tcW w:w="362" w:type="pct"/>
            <w:tcBorders>
              <w:top w:val="nil"/>
              <w:left w:val="nil"/>
              <w:bottom w:val="nil"/>
              <w:right w:val="nil"/>
            </w:tcBorders>
            <w:shd w:val="clear" w:color="auto" w:fill="auto"/>
            <w:noWrap/>
            <w:vAlign w:val="center"/>
            <w:hideMark/>
          </w:tcPr>
          <w:p w14:paraId="7FCB3F07" w14:textId="77777777" w:rsidR="00954139" w:rsidRPr="002C24A8" w:rsidRDefault="00954139" w:rsidP="00954139">
            <w:pPr>
              <w:spacing w:after="0" w:line="240" w:lineRule="auto"/>
              <w:jc w:val="center"/>
              <w:rPr>
                <w:rFonts w:ascii="Times New Roman" w:eastAsia="Times New Roman" w:hAnsi="Times New Roman" w:cs="Times New Roman"/>
                <w:color w:val="000000"/>
                <w:sz w:val="20"/>
                <w:szCs w:val="20"/>
                <w:lang w:val="en-US"/>
              </w:rPr>
            </w:pPr>
            <w:r w:rsidRPr="002C24A8">
              <w:rPr>
                <w:rFonts w:ascii="Times New Roman" w:eastAsia="Times New Roman" w:hAnsi="Times New Roman" w:cs="Times New Roman"/>
                <w:color w:val="000000"/>
                <w:sz w:val="20"/>
                <w:szCs w:val="20"/>
                <w:lang w:val="en-US"/>
              </w:rPr>
              <w:t>mean</w:t>
            </w:r>
          </w:p>
        </w:tc>
        <w:tc>
          <w:tcPr>
            <w:tcW w:w="736" w:type="pct"/>
            <w:tcBorders>
              <w:top w:val="nil"/>
              <w:left w:val="nil"/>
              <w:bottom w:val="nil"/>
              <w:right w:val="nil"/>
            </w:tcBorders>
            <w:shd w:val="clear" w:color="auto" w:fill="auto"/>
            <w:noWrap/>
            <w:vAlign w:val="center"/>
            <w:hideMark/>
          </w:tcPr>
          <w:p w14:paraId="333DD9CB" w14:textId="77777777" w:rsidR="00954139" w:rsidRPr="002C24A8" w:rsidRDefault="00954139" w:rsidP="00954139">
            <w:pPr>
              <w:spacing w:after="0" w:line="240" w:lineRule="auto"/>
              <w:jc w:val="center"/>
              <w:rPr>
                <w:rFonts w:ascii="Times New Roman" w:eastAsia="Times New Roman" w:hAnsi="Times New Roman" w:cs="Times New Roman"/>
                <w:color w:val="000000"/>
                <w:sz w:val="20"/>
                <w:szCs w:val="20"/>
                <w:lang w:val="en-US"/>
              </w:rPr>
            </w:pPr>
            <w:r w:rsidRPr="002C24A8">
              <w:rPr>
                <w:rFonts w:ascii="Times New Roman" w:eastAsia="Times New Roman" w:hAnsi="Times New Roman" w:cs="Times New Roman"/>
                <w:color w:val="000000"/>
                <w:sz w:val="20"/>
                <w:szCs w:val="20"/>
                <w:lang w:val="en-US"/>
              </w:rPr>
              <w:t>0.534</w:t>
            </w:r>
          </w:p>
        </w:tc>
        <w:tc>
          <w:tcPr>
            <w:tcW w:w="1154" w:type="pct"/>
            <w:gridSpan w:val="2"/>
            <w:tcBorders>
              <w:top w:val="nil"/>
              <w:left w:val="nil"/>
              <w:bottom w:val="nil"/>
              <w:right w:val="nil"/>
            </w:tcBorders>
            <w:shd w:val="clear" w:color="auto" w:fill="auto"/>
            <w:noWrap/>
            <w:vAlign w:val="center"/>
            <w:hideMark/>
          </w:tcPr>
          <w:p w14:paraId="66D90A19" w14:textId="77777777" w:rsidR="00954139" w:rsidRPr="002C24A8" w:rsidRDefault="00954139" w:rsidP="00954139">
            <w:pPr>
              <w:spacing w:after="0" w:line="240" w:lineRule="auto"/>
              <w:jc w:val="center"/>
              <w:rPr>
                <w:rFonts w:ascii="Times New Roman" w:eastAsia="Times New Roman" w:hAnsi="Times New Roman" w:cs="Times New Roman"/>
                <w:color w:val="000000"/>
                <w:sz w:val="20"/>
                <w:szCs w:val="20"/>
                <w:lang w:val="en-US"/>
              </w:rPr>
            </w:pPr>
            <w:r w:rsidRPr="002C24A8">
              <w:rPr>
                <w:rFonts w:ascii="Times New Roman" w:eastAsia="Times New Roman" w:hAnsi="Times New Roman" w:cs="Times New Roman"/>
                <w:color w:val="000000"/>
                <w:sz w:val="20"/>
                <w:szCs w:val="20"/>
                <w:lang w:val="en-US"/>
              </w:rPr>
              <w:t>COMSUMER STAPLES</w:t>
            </w:r>
          </w:p>
        </w:tc>
        <w:tc>
          <w:tcPr>
            <w:tcW w:w="362" w:type="pct"/>
            <w:gridSpan w:val="2"/>
            <w:tcBorders>
              <w:top w:val="nil"/>
              <w:left w:val="nil"/>
              <w:bottom w:val="nil"/>
              <w:right w:val="nil"/>
            </w:tcBorders>
            <w:shd w:val="clear" w:color="auto" w:fill="auto"/>
            <w:noWrap/>
            <w:vAlign w:val="center"/>
            <w:hideMark/>
          </w:tcPr>
          <w:p w14:paraId="2F655A9E" w14:textId="77777777" w:rsidR="00954139" w:rsidRPr="002C24A8" w:rsidRDefault="00954139" w:rsidP="00954139">
            <w:pPr>
              <w:spacing w:after="0" w:line="240" w:lineRule="auto"/>
              <w:jc w:val="center"/>
              <w:rPr>
                <w:rFonts w:ascii="Times New Roman" w:eastAsia="Times New Roman" w:hAnsi="Times New Roman" w:cs="Times New Roman"/>
                <w:color w:val="000000"/>
                <w:sz w:val="20"/>
                <w:szCs w:val="20"/>
                <w:lang w:val="en-US"/>
              </w:rPr>
            </w:pPr>
            <w:r w:rsidRPr="002C24A8">
              <w:rPr>
                <w:rFonts w:ascii="Times New Roman" w:eastAsia="Times New Roman" w:hAnsi="Times New Roman" w:cs="Times New Roman"/>
                <w:color w:val="000000"/>
                <w:sz w:val="20"/>
                <w:szCs w:val="20"/>
                <w:lang w:val="en-US"/>
              </w:rPr>
              <w:t>mean</w:t>
            </w:r>
          </w:p>
        </w:tc>
        <w:tc>
          <w:tcPr>
            <w:tcW w:w="736" w:type="pct"/>
            <w:gridSpan w:val="2"/>
            <w:tcBorders>
              <w:top w:val="nil"/>
              <w:left w:val="nil"/>
              <w:bottom w:val="nil"/>
              <w:right w:val="nil"/>
            </w:tcBorders>
            <w:shd w:val="clear" w:color="auto" w:fill="auto"/>
            <w:noWrap/>
            <w:vAlign w:val="center"/>
            <w:hideMark/>
          </w:tcPr>
          <w:p w14:paraId="5E522AB3" w14:textId="77777777" w:rsidR="00954139" w:rsidRPr="002C24A8" w:rsidRDefault="00954139" w:rsidP="00954139">
            <w:pPr>
              <w:spacing w:after="0" w:line="240" w:lineRule="auto"/>
              <w:jc w:val="center"/>
              <w:rPr>
                <w:rFonts w:ascii="Times New Roman" w:eastAsia="Times New Roman" w:hAnsi="Times New Roman" w:cs="Times New Roman"/>
                <w:color w:val="000000"/>
                <w:sz w:val="20"/>
                <w:szCs w:val="20"/>
                <w:lang w:val="en-US"/>
              </w:rPr>
            </w:pPr>
            <w:r w:rsidRPr="002C24A8">
              <w:rPr>
                <w:rFonts w:ascii="Times New Roman" w:eastAsia="Times New Roman" w:hAnsi="Times New Roman" w:cs="Times New Roman"/>
                <w:color w:val="000000"/>
                <w:sz w:val="20"/>
                <w:szCs w:val="20"/>
                <w:lang w:val="en-US"/>
              </w:rPr>
              <w:t>0.574</w:t>
            </w:r>
          </w:p>
        </w:tc>
      </w:tr>
      <w:tr w:rsidR="00954139" w:rsidRPr="00907DAC" w14:paraId="036915F4" w14:textId="77777777" w:rsidTr="00954139">
        <w:trPr>
          <w:gridAfter w:val="1"/>
          <w:wAfter w:w="122" w:type="pct"/>
          <w:trHeight w:val="300"/>
        </w:trPr>
        <w:tc>
          <w:tcPr>
            <w:tcW w:w="1527" w:type="pct"/>
            <w:tcBorders>
              <w:top w:val="nil"/>
              <w:left w:val="nil"/>
              <w:bottom w:val="nil"/>
              <w:right w:val="nil"/>
            </w:tcBorders>
            <w:shd w:val="clear" w:color="auto" w:fill="auto"/>
            <w:noWrap/>
            <w:vAlign w:val="center"/>
            <w:hideMark/>
          </w:tcPr>
          <w:p w14:paraId="6CCC47FA" w14:textId="77777777" w:rsidR="00954139" w:rsidRPr="002C24A8" w:rsidRDefault="00954139" w:rsidP="00954139">
            <w:pPr>
              <w:spacing w:after="0" w:line="240" w:lineRule="auto"/>
              <w:jc w:val="center"/>
              <w:rPr>
                <w:rFonts w:ascii="Times New Roman" w:eastAsia="Times New Roman" w:hAnsi="Times New Roman" w:cs="Times New Roman"/>
                <w:color w:val="000000"/>
                <w:sz w:val="20"/>
                <w:szCs w:val="20"/>
                <w:lang w:val="en-US"/>
              </w:rPr>
            </w:pPr>
          </w:p>
        </w:tc>
        <w:tc>
          <w:tcPr>
            <w:tcW w:w="362" w:type="pct"/>
            <w:tcBorders>
              <w:top w:val="nil"/>
              <w:left w:val="nil"/>
              <w:bottom w:val="nil"/>
              <w:right w:val="nil"/>
            </w:tcBorders>
            <w:shd w:val="clear" w:color="auto" w:fill="auto"/>
            <w:noWrap/>
            <w:vAlign w:val="center"/>
            <w:hideMark/>
          </w:tcPr>
          <w:p w14:paraId="73F23A74" w14:textId="77777777" w:rsidR="00954139" w:rsidRPr="002C24A8" w:rsidRDefault="00954139" w:rsidP="00954139">
            <w:pPr>
              <w:spacing w:after="0" w:line="240" w:lineRule="auto"/>
              <w:jc w:val="center"/>
              <w:rPr>
                <w:rFonts w:ascii="Times New Roman" w:eastAsia="Times New Roman" w:hAnsi="Times New Roman" w:cs="Times New Roman"/>
                <w:color w:val="000000"/>
                <w:sz w:val="20"/>
                <w:szCs w:val="20"/>
                <w:lang w:val="en-US"/>
              </w:rPr>
            </w:pPr>
            <w:r w:rsidRPr="002C24A8">
              <w:rPr>
                <w:rFonts w:ascii="Times New Roman" w:eastAsia="Times New Roman" w:hAnsi="Times New Roman" w:cs="Times New Roman"/>
                <w:color w:val="000000"/>
                <w:sz w:val="20"/>
                <w:szCs w:val="20"/>
                <w:lang w:val="en-US"/>
              </w:rPr>
              <w:t>std</w:t>
            </w:r>
          </w:p>
        </w:tc>
        <w:tc>
          <w:tcPr>
            <w:tcW w:w="736" w:type="pct"/>
            <w:tcBorders>
              <w:top w:val="nil"/>
              <w:left w:val="nil"/>
              <w:bottom w:val="nil"/>
              <w:right w:val="nil"/>
            </w:tcBorders>
            <w:shd w:val="clear" w:color="auto" w:fill="auto"/>
            <w:noWrap/>
            <w:vAlign w:val="center"/>
            <w:hideMark/>
          </w:tcPr>
          <w:p w14:paraId="2EB95F11" w14:textId="77777777" w:rsidR="00954139" w:rsidRPr="002C24A8" w:rsidRDefault="00954139" w:rsidP="00954139">
            <w:pPr>
              <w:spacing w:after="0" w:line="240" w:lineRule="auto"/>
              <w:jc w:val="center"/>
              <w:rPr>
                <w:rFonts w:ascii="Times New Roman" w:eastAsia="Times New Roman" w:hAnsi="Times New Roman" w:cs="Times New Roman"/>
                <w:color w:val="000000"/>
                <w:sz w:val="20"/>
                <w:szCs w:val="20"/>
                <w:lang w:val="en-US"/>
              </w:rPr>
            </w:pPr>
            <w:r w:rsidRPr="002C24A8">
              <w:rPr>
                <w:rFonts w:ascii="Times New Roman" w:eastAsia="Times New Roman" w:hAnsi="Times New Roman" w:cs="Times New Roman"/>
                <w:color w:val="000000"/>
                <w:sz w:val="20"/>
                <w:szCs w:val="20"/>
                <w:lang w:val="en-US"/>
              </w:rPr>
              <w:t>0.275</w:t>
            </w:r>
          </w:p>
        </w:tc>
        <w:tc>
          <w:tcPr>
            <w:tcW w:w="1154" w:type="pct"/>
            <w:gridSpan w:val="2"/>
            <w:tcBorders>
              <w:top w:val="nil"/>
              <w:left w:val="nil"/>
              <w:bottom w:val="nil"/>
              <w:right w:val="nil"/>
            </w:tcBorders>
            <w:shd w:val="clear" w:color="auto" w:fill="auto"/>
            <w:noWrap/>
            <w:vAlign w:val="center"/>
            <w:hideMark/>
          </w:tcPr>
          <w:p w14:paraId="1880CA72" w14:textId="77777777" w:rsidR="00954139" w:rsidRPr="002C24A8" w:rsidRDefault="00954139" w:rsidP="00954139">
            <w:pPr>
              <w:spacing w:after="0" w:line="240" w:lineRule="auto"/>
              <w:jc w:val="center"/>
              <w:rPr>
                <w:rFonts w:ascii="Times New Roman" w:eastAsia="Times New Roman" w:hAnsi="Times New Roman" w:cs="Times New Roman"/>
                <w:color w:val="000000"/>
                <w:sz w:val="20"/>
                <w:szCs w:val="20"/>
                <w:lang w:val="en-US"/>
              </w:rPr>
            </w:pPr>
          </w:p>
        </w:tc>
        <w:tc>
          <w:tcPr>
            <w:tcW w:w="362" w:type="pct"/>
            <w:gridSpan w:val="2"/>
            <w:tcBorders>
              <w:top w:val="nil"/>
              <w:left w:val="nil"/>
              <w:bottom w:val="nil"/>
              <w:right w:val="nil"/>
            </w:tcBorders>
            <w:shd w:val="clear" w:color="auto" w:fill="auto"/>
            <w:noWrap/>
            <w:vAlign w:val="center"/>
            <w:hideMark/>
          </w:tcPr>
          <w:p w14:paraId="1FE344E4" w14:textId="77777777" w:rsidR="00954139" w:rsidRPr="002C24A8" w:rsidRDefault="00954139" w:rsidP="00954139">
            <w:pPr>
              <w:spacing w:after="0" w:line="240" w:lineRule="auto"/>
              <w:jc w:val="center"/>
              <w:rPr>
                <w:rFonts w:ascii="Times New Roman" w:eastAsia="Times New Roman" w:hAnsi="Times New Roman" w:cs="Times New Roman"/>
                <w:color w:val="000000"/>
                <w:sz w:val="20"/>
                <w:szCs w:val="20"/>
                <w:lang w:val="en-US"/>
              </w:rPr>
            </w:pPr>
            <w:r w:rsidRPr="002C24A8">
              <w:rPr>
                <w:rFonts w:ascii="Times New Roman" w:eastAsia="Times New Roman" w:hAnsi="Times New Roman" w:cs="Times New Roman"/>
                <w:color w:val="000000"/>
                <w:sz w:val="20"/>
                <w:szCs w:val="20"/>
                <w:lang w:val="en-US"/>
              </w:rPr>
              <w:t>std</w:t>
            </w:r>
          </w:p>
        </w:tc>
        <w:tc>
          <w:tcPr>
            <w:tcW w:w="736" w:type="pct"/>
            <w:gridSpan w:val="2"/>
            <w:tcBorders>
              <w:top w:val="nil"/>
              <w:left w:val="nil"/>
              <w:bottom w:val="nil"/>
              <w:right w:val="nil"/>
            </w:tcBorders>
            <w:shd w:val="clear" w:color="auto" w:fill="auto"/>
            <w:noWrap/>
            <w:vAlign w:val="center"/>
            <w:hideMark/>
          </w:tcPr>
          <w:p w14:paraId="6CD6B19F" w14:textId="77777777" w:rsidR="00954139" w:rsidRPr="002C24A8" w:rsidRDefault="00954139" w:rsidP="00954139">
            <w:pPr>
              <w:spacing w:after="0" w:line="240" w:lineRule="auto"/>
              <w:jc w:val="center"/>
              <w:rPr>
                <w:rFonts w:ascii="Times New Roman" w:eastAsia="Times New Roman" w:hAnsi="Times New Roman" w:cs="Times New Roman"/>
                <w:color w:val="000000"/>
                <w:sz w:val="20"/>
                <w:szCs w:val="20"/>
                <w:lang w:val="en-US"/>
              </w:rPr>
            </w:pPr>
            <w:r w:rsidRPr="002C24A8">
              <w:rPr>
                <w:rFonts w:ascii="Times New Roman" w:eastAsia="Times New Roman" w:hAnsi="Times New Roman" w:cs="Times New Roman"/>
                <w:color w:val="000000"/>
                <w:sz w:val="20"/>
                <w:szCs w:val="20"/>
                <w:lang w:val="en-US"/>
              </w:rPr>
              <w:t>0.250</w:t>
            </w:r>
          </w:p>
        </w:tc>
      </w:tr>
      <w:tr w:rsidR="00954139" w:rsidRPr="00907DAC" w14:paraId="107D7DB6" w14:textId="77777777" w:rsidTr="00954139">
        <w:trPr>
          <w:gridAfter w:val="1"/>
          <w:wAfter w:w="122" w:type="pct"/>
          <w:trHeight w:val="300"/>
        </w:trPr>
        <w:tc>
          <w:tcPr>
            <w:tcW w:w="1527" w:type="pct"/>
            <w:tcBorders>
              <w:top w:val="nil"/>
              <w:left w:val="nil"/>
              <w:bottom w:val="nil"/>
              <w:right w:val="nil"/>
            </w:tcBorders>
            <w:shd w:val="clear" w:color="auto" w:fill="auto"/>
            <w:noWrap/>
            <w:vAlign w:val="center"/>
            <w:hideMark/>
          </w:tcPr>
          <w:p w14:paraId="717BE869" w14:textId="77777777" w:rsidR="00954139" w:rsidRPr="002C24A8" w:rsidRDefault="00954139" w:rsidP="00954139">
            <w:pPr>
              <w:spacing w:after="0" w:line="240" w:lineRule="auto"/>
              <w:jc w:val="center"/>
              <w:rPr>
                <w:rFonts w:ascii="Times New Roman" w:eastAsia="Times New Roman" w:hAnsi="Times New Roman" w:cs="Times New Roman"/>
                <w:color w:val="000000"/>
                <w:sz w:val="20"/>
                <w:szCs w:val="20"/>
                <w:lang w:val="en-US"/>
              </w:rPr>
            </w:pPr>
            <w:r w:rsidRPr="002C24A8">
              <w:rPr>
                <w:rFonts w:ascii="Times New Roman" w:eastAsia="Times New Roman" w:hAnsi="Times New Roman" w:cs="Times New Roman"/>
                <w:color w:val="000000"/>
                <w:sz w:val="20"/>
                <w:szCs w:val="20"/>
                <w:lang w:val="en-US"/>
              </w:rPr>
              <w:t>CONSUMER DISCRETIONARY</w:t>
            </w:r>
          </w:p>
        </w:tc>
        <w:tc>
          <w:tcPr>
            <w:tcW w:w="362" w:type="pct"/>
            <w:tcBorders>
              <w:top w:val="nil"/>
              <w:left w:val="nil"/>
              <w:bottom w:val="nil"/>
              <w:right w:val="nil"/>
            </w:tcBorders>
            <w:shd w:val="clear" w:color="auto" w:fill="auto"/>
            <w:noWrap/>
            <w:vAlign w:val="center"/>
            <w:hideMark/>
          </w:tcPr>
          <w:p w14:paraId="398FFBE1" w14:textId="77777777" w:rsidR="00954139" w:rsidRPr="002C24A8" w:rsidRDefault="00954139" w:rsidP="00954139">
            <w:pPr>
              <w:spacing w:after="0" w:line="240" w:lineRule="auto"/>
              <w:jc w:val="center"/>
              <w:rPr>
                <w:rFonts w:ascii="Times New Roman" w:eastAsia="Times New Roman" w:hAnsi="Times New Roman" w:cs="Times New Roman"/>
                <w:color w:val="000000"/>
                <w:sz w:val="20"/>
                <w:szCs w:val="20"/>
                <w:lang w:val="en-US"/>
              </w:rPr>
            </w:pPr>
            <w:r w:rsidRPr="002C24A8">
              <w:rPr>
                <w:rFonts w:ascii="Times New Roman" w:eastAsia="Times New Roman" w:hAnsi="Times New Roman" w:cs="Times New Roman"/>
                <w:color w:val="000000"/>
                <w:sz w:val="20"/>
                <w:szCs w:val="20"/>
                <w:lang w:val="en-US"/>
              </w:rPr>
              <w:t>mean</w:t>
            </w:r>
          </w:p>
        </w:tc>
        <w:tc>
          <w:tcPr>
            <w:tcW w:w="736" w:type="pct"/>
            <w:tcBorders>
              <w:top w:val="nil"/>
              <w:left w:val="nil"/>
              <w:bottom w:val="nil"/>
              <w:right w:val="nil"/>
            </w:tcBorders>
            <w:shd w:val="clear" w:color="auto" w:fill="auto"/>
            <w:noWrap/>
            <w:vAlign w:val="center"/>
            <w:hideMark/>
          </w:tcPr>
          <w:p w14:paraId="63BECAC4" w14:textId="77777777" w:rsidR="00954139" w:rsidRPr="002C24A8" w:rsidRDefault="00954139" w:rsidP="00954139">
            <w:pPr>
              <w:spacing w:after="0" w:line="240" w:lineRule="auto"/>
              <w:jc w:val="center"/>
              <w:rPr>
                <w:rFonts w:ascii="Times New Roman" w:eastAsia="Times New Roman" w:hAnsi="Times New Roman" w:cs="Times New Roman"/>
                <w:color w:val="000000"/>
                <w:sz w:val="20"/>
                <w:szCs w:val="20"/>
                <w:lang w:val="en-US"/>
              </w:rPr>
            </w:pPr>
            <w:r w:rsidRPr="002C24A8">
              <w:rPr>
                <w:rFonts w:ascii="Times New Roman" w:eastAsia="Times New Roman" w:hAnsi="Times New Roman" w:cs="Times New Roman"/>
                <w:color w:val="000000"/>
                <w:sz w:val="20"/>
                <w:szCs w:val="20"/>
                <w:lang w:val="en-US"/>
              </w:rPr>
              <w:t>0.577</w:t>
            </w:r>
          </w:p>
        </w:tc>
        <w:tc>
          <w:tcPr>
            <w:tcW w:w="1154" w:type="pct"/>
            <w:gridSpan w:val="2"/>
            <w:tcBorders>
              <w:top w:val="nil"/>
              <w:left w:val="nil"/>
              <w:bottom w:val="nil"/>
              <w:right w:val="nil"/>
            </w:tcBorders>
            <w:shd w:val="clear" w:color="auto" w:fill="auto"/>
            <w:noWrap/>
            <w:vAlign w:val="center"/>
            <w:hideMark/>
          </w:tcPr>
          <w:p w14:paraId="2975ADDA" w14:textId="77777777" w:rsidR="00954139" w:rsidRPr="002C24A8" w:rsidRDefault="00954139" w:rsidP="00954139">
            <w:pPr>
              <w:spacing w:after="0" w:line="240" w:lineRule="auto"/>
              <w:jc w:val="center"/>
              <w:rPr>
                <w:rFonts w:ascii="Times New Roman" w:eastAsia="Times New Roman" w:hAnsi="Times New Roman" w:cs="Times New Roman"/>
                <w:color w:val="000000"/>
                <w:sz w:val="20"/>
                <w:szCs w:val="20"/>
                <w:lang w:val="en-US"/>
              </w:rPr>
            </w:pPr>
            <w:r w:rsidRPr="002C24A8">
              <w:rPr>
                <w:rFonts w:ascii="Times New Roman" w:eastAsia="Times New Roman" w:hAnsi="Times New Roman" w:cs="Times New Roman"/>
                <w:color w:val="000000"/>
                <w:sz w:val="20"/>
                <w:szCs w:val="20"/>
                <w:lang w:val="en-US"/>
              </w:rPr>
              <w:t>ENERGY</w:t>
            </w:r>
          </w:p>
        </w:tc>
        <w:tc>
          <w:tcPr>
            <w:tcW w:w="362" w:type="pct"/>
            <w:gridSpan w:val="2"/>
            <w:tcBorders>
              <w:top w:val="nil"/>
              <w:left w:val="nil"/>
              <w:bottom w:val="nil"/>
              <w:right w:val="nil"/>
            </w:tcBorders>
            <w:shd w:val="clear" w:color="auto" w:fill="auto"/>
            <w:noWrap/>
            <w:vAlign w:val="center"/>
            <w:hideMark/>
          </w:tcPr>
          <w:p w14:paraId="229B4636" w14:textId="77777777" w:rsidR="00954139" w:rsidRPr="002C24A8" w:rsidRDefault="00954139" w:rsidP="00954139">
            <w:pPr>
              <w:spacing w:after="0" w:line="240" w:lineRule="auto"/>
              <w:jc w:val="center"/>
              <w:rPr>
                <w:rFonts w:ascii="Times New Roman" w:eastAsia="Times New Roman" w:hAnsi="Times New Roman" w:cs="Times New Roman"/>
                <w:color w:val="000000"/>
                <w:sz w:val="20"/>
                <w:szCs w:val="20"/>
                <w:lang w:val="en-US"/>
              </w:rPr>
            </w:pPr>
            <w:r w:rsidRPr="002C24A8">
              <w:rPr>
                <w:rFonts w:ascii="Times New Roman" w:eastAsia="Times New Roman" w:hAnsi="Times New Roman" w:cs="Times New Roman"/>
                <w:color w:val="000000"/>
                <w:sz w:val="20"/>
                <w:szCs w:val="20"/>
                <w:lang w:val="en-US"/>
              </w:rPr>
              <w:t>mean</w:t>
            </w:r>
          </w:p>
        </w:tc>
        <w:tc>
          <w:tcPr>
            <w:tcW w:w="736" w:type="pct"/>
            <w:gridSpan w:val="2"/>
            <w:tcBorders>
              <w:top w:val="nil"/>
              <w:left w:val="nil"/>
              <w:bottom w:val="nil"/>
              <w:right w:val="nil"/>
            </w:tcBorders>
            <w:shd w:val="clear" w:color="auto" w:fill="auto"/>
            <w:noWrap/>
            <w:vAlign w:val="center"/>
            <w:hideMark/>
          </w:tcPr>
          <w:p w14:paraId="39E13A11" w14:textId="77777777" w:rsidR="00954139" w:rsidRPr="002C24A8" w:rsidRDefault="00954139" w:rsidP="00954139">
            <w:pPr>
              <w:spacing w:after="0" w:line="240" w:lineRule="auto"/>
              <w:jc w:val="center"/>
              <w:rPr>
                <w:rFonts w:ascii="Times New Roman" w:eastAsia="Times New Roman" w:hAnsi="Times New Roman" w:cs="Times New Roman"/>
                <w:color w:val="000000"/>
                <w:sz w:val="20"/>
                <w:szCs w:val="20"/>
                <w:lang w:val="en-US"/>
              </w:rPr>
            </w:pPr>
            <w:r w:rsidRPr="002C24A8">
              <w:rPr>
                <w:rFonts w:ascii="Times New Roman" w:eastAsia="Times New Roman" w:hAnsi="Times New Roman" w:cs="Times New Roman"/>
                <w:color w:val="000000"/>
                <w:sz w:val="20"/>
                <w:szCs w:val="20"/>
                <w:lang w:val="en-US"/>
              </w:rPr>
              <w:t>0.820</w:t>
            </w:r>
          </w:p>
        </w:tc>
      </w:tr>
      <w:tr w:rsidR="00954139" w:rsidRPr="00907DAC" w14:paraId="5AF157A1" w14:textId="77777777" w:rsidTr="00954139">
        <w:trPr>
          <w:gridAfter w:val="1"/>
          <w:wAfter w:w="122" w:type="pct"/>
          <w:trHeight w:val="300"/>
        </w:trPr>
        <w:tc>
          <w:tcPr>
            <w:tcW w:w="1527" w:type="pct"/>
            <w:tcBorders>
              <w:top w:val="nil"/>
              <w:left w:val="nil"/>
              <w:bottom w:val="nil"/>
              <w:right w:val="nil"/>
            </w:tcBorders>
            <w:shd w:val="clear" w:color="auto" w:fill="auto"/>
            <w:noWrap/>
            <w:vAlign w:val="center"/>
            <w:hideMark/>
          </w:tcPr>
          <w:p w14:paraId="394C794C" w14:textId="77777777" w:rsidR="00954139" w:rsidRPr="002C24A8" w:rsidRDefault="00954139" w:rsidP="00954139">
            <w:pPr>
              <w:spacing w:after="0" w:line="240" w:lineRule="auto"/>
              <w:jc w:val="center"/>
              <w:rPr>
                <w:rFonts w:ascii="Times New Roman" w:eastAsia="Times New Roman" w:hAnsi="Times New Roman" w:cs="Times New Roman"/>
                <w:color w:val="000000"/>
                <w:sz w:val="20"/>
                <w:szCs w:val="20"/>
                <w:lang w:val="en-US"/>
              </w:rPr>
            </w:pPr>
          </w:p>
        </w:tc>
        <w:tc>
          <w:tcPr>
            <w:tcW w:w="362" w:type="pct"/>
            <w:tcBorders>
              <w:top w:val="nil"/>
              <w:left w:val="nil"/>
              <w:bottom w:val="nil"/>
              <w:right w:val="nil"/>
            </w:tcBorders>
            <w:shd w:val="clear" w:color="auto" w:fill="auto"/>
            <w:noWrap/>
            <w:vAlign w:val="center"/>
            <w:hideMark/>
          </w:tcPr>
          <w:p w14:paraId="45D62BB4" w14:textId="77777777" w:rsidR="00954139" w:rsidRPr="002C24A8" w:rsidRDefault="00954139" w:rsidP="00954139">
            <w:pPr>
              <w:spacing w:after="0" w:line="240" w:lineRule="auto"/>
              <w:jc w:val="center"/>
              <w:rPr>
                <w:rFonts w:ascii="Times New Roman" w:eastAsia="Times New Roman" w:hAnsi="Times New Roman" w:cs="Times New Roman"/>
                <w:color w:val="000000"/>
                <w:sz w:val="20"/>
                <w:szCs w:val="20"/>
                <w:lang w:val="en-US"/>
              </w:rPr>
            </w:pPr>
            <w:r w:rsidRPr="002C24A8">
              <w:rPr>
                <w:rFonts w:ascii="Times New Roman" w:eastAsia="Times New Roman" w:hAnsi="Times New Roman" w:cs="Times New Roman"/>
                <w:color w:val="000000"/>
                <w:sz w:val="20"/>
                <w:szCs w:val="20"/>
                <w:lang w:val="en-US"/>
              </w:rPr>
              <w:t>std</w:t>
            </w:r>
          </w:p>
        </w:tc>
        <w:tc>
          <w:tcPr>
            <w:tcW w:w="736" w:type="pct"/>
            <w:tcBorders>
              <w:top w:val="nil"/>
              <w:left w:val="nil"/>
              <w:bottom w:val="nil"/>
              <w:right w:val="nil"/>
            </w:tcBorders>
            <w:shd w:val="clear" w:color="auto" w:fill="auto"/>
            <w:noWrap/>
            <w:vAlign w:val="center"/>
            <w:hideMark/>
          </w:tcPr>
          <w:p w14:paraId="44578317" w14:textId="77777777" w:rsidR="00954139" w:rsidRPr="002C24A8" w:rsidRDefault="00954139" w:rsidP="00954139">
            <w:pPr>
              <w:spacing w:after="0" w:line="240" w:lineRule="auto"/>
              <w:jc w:val="center"/>
              <w:rPr>
                <w:rFonts w:ascii="Times New Roman" w:eastAsia="Times New Roman" w:hAnsi="Times New Roman" w:cs="Times New Roman"/>
                <w:color w:val="000000"/>
                <w:sz w:val="20"/>
                <w:szCs w:val="20"/>
                <w:lang w:val="en-US"/>
              </w:rPr>
            </w:pPr>
            <w:r w:rsidRPr="002C24A8">
              <w:rPr>
                <w:rFonts w:ascii="Times New Roman" w:eastAsia="Times New Roman" w:hAnsi="Times New Roman" w:cs="Times New Roman"/>
                <w:color w:val="000000"/>
                <w:sz w:val="20"/>
                <w:szCs w:val="20"/>
                <w:lang w:val="en-US"/>
              </w:rPr>
              <w:t>0.251</w:t>
            </w:r>
          </w:p>
        </w:tc>
        <w:tc>
          <w:tcPr>
            <w:tcW w:w="1154" w:type="pct"/>
            <w:gridSpan w:val="2"/>
            <w:tcBorders>
              <w:top w:val="nil"/>
              <w:left w:val="nil"/>
              <w:bottom w:val="nil"/>
              <w:right w:val="nil"/>
            </w:tcBorders>
            <w:shd w:val="clear" w:color="auto" w:fill="auto"/>
            <w:noWrap/>
            <w:vAlign w:val="center"/>
            <w:hideMark/>
          </w:tcPr>
          <w:p w14:paraId="6C4CD601" w14:textId="77777777" w:rsidR="00954139" w:rsidRPr="002C24A8" w:rsidRDefault="00954139" w:rsidP="00954139">
            <w:pPr>
              <w:spacing w:after="0" w:line="240" w:lineRule="auto"/>
              <w:jc w:val="center"/>
              <w:rPr>
                <w:rFonts w:ascii="Times New Roman" w:eastAsia="Times New Roman" w:hAnsi="Times New Roman" w:cs="Times New Roman"/>
                <w:color w:val="000000"/>
                <w:sz w:val="20"/>
                <w:szCs w:val="20"/>
                <w:lang w:val="en-US"/>
              </w:rPr>
            </w:pPr>
          </w:p>
        </w:tc>
        <w:tc>
          <w:tcPr>
            <w:tcW w:w="362" w:type="pct"/>
            <w:gridSpan w:val="2"/>
            <w:tcBorders>
              <w:top w:val="nil"/>
              <w:left w:val="nil"/>
              <w:bottom w:val="nil"/>
              <w:right w:val="nil"/>
            </w:tcBorders>
            <w:shd w:val="clear" w:color="auto" w:fill="auto"/>
            <w:noWrap/>
            <w:vAlign w:val="center"/>
            <w:hideMark/>
          </w:tcPr>
          <w:p w14:paraId="5ABADD99" w14:textId="77777777" w:rsidR="00954139" w:rsidRPr="002C24A8" w:rsidRDefault="00954139" w:rsidP="00954139">
            <w:pPr>
              <w:spacing w:after="0" w:line="240" w:lineRule="auto"/>
              <w:jc w:val="center"/>
              <w:rPr>
                <w:rFonts w:ascii="Times New Roman" w:eastAsia="Times New Roman" w:hAnsi="Times New Roman" w:cs="Times New Roman"/>
                <w:color w:val="000000"/>
                <w:sz w:val="20"/>
                <w:szCs w:val="20"/>
                <w:lang w:val="en-US"/>
              </w:rPr>
            </w:pPr>
            <w:r w:rsidRPr="002C24A8">
              <w:rPr>
                <w:rFonts w:ascii="Times New Roman" w:eastAsia="Times New Roman" w:hAnsi="Times New Roman" w:cs="Times New Roman"/>
                <w:color w:val="000000"/>
                <w:sz w:val="20"/>
                <w:szCs w:val="20"/>
                <w:lang w:val="en-US"/>
              </w:rPr>
              <w:t>std</w:t>
            </w:r>
          </w:p>
        </w:tc>
        <w:tc>
          <w:tcPr>
            <w:tcW w:w="736" w:type="pct"/>
            <w:gridSpan w:val="2"/>
            <w:tcBorders>
              <w:top w:val="nil"/>
              <w:left w:val="nil"/>
              <w:bottom w:val="nil"/>
              <w:right w:val="nil"/>
            </w:tcBorders>
            <w:shd w:val="clear" w:color="auto" w:fill="auto"/>
            <w:noWrap/>
            <w:vAlign w:val="center"/>
            <w:hideMark/>
          </w:tcPr>
          <w:p w14:paraId="4DD40C86" w14:textId="77777777" w:rsidR="00954139" w:rsidRPr="002C24A8" w:rsidRDefault="00954139" w:rsidP="00954139">
            <w:pPr>
              <w:spacing w:after="0" w:line="240" w:lineRule="auto"/>
              <w:jc w:val="center"/>
              <w:rPr>
                <w:rFonts w:ascii="Times New Roman" w:eastAsia="Times New Roman" w:hAnsi="Times New Roman" w:cs="Times New Roman"/>
                <w:color w:val="000000"/>
                <w:sz w:val="20"/>
                <w:szCs w:val="20"/>
                <w:lang w:val="en-US"/>
              </w:rPr>
            </w:pPr>
            <w:r w:rsidRPr="002C24A8">
              <w:rPr>
                <w:rFonts w:ascii="Times New Roman" w:eastAsia="Times New Roman" w:hAnsi="Times New Roman" w:cs="Times New Roman"/>
                <w:color w:val="000000"/>
                <w:sz w:val="20"/>
                <w:szCs w:val="20"/>
                <w:lang w:val="en-US"/>
              </w:rPr>
              <w:t>0.224</w:t>
            </w:r>
          </w:p>
        </w:tc>
      </w:tr>
      <w:tr w:rsidR="00954139" w:rsidRPr="00907DAC" w14:paraId="283DDB10" w14:textId="77777777" w:rsidTr="00954139">
        <w:trPr>
          <w:gridAfter w:val="1"/>
          <w:wAfter w:w="122" w:type="pct"/>
          <w:trHeight w:val="300"/>
        </w:trPr>
        <w:tc>
          <w:tcPr>
            <w:tcW w:w="1527" w:type="pct"/>
            <w:tcBorders>
              <w:top w:val="nil"/>
              <w:left w:val="nil"/>
              <w:bottom w:val="nil"/>
              <w:right w:val="nil"/>
            </w:tcBorders>
            <w:shd w:val="clear" w:color="auto" w:fill="auto"/>
            <w:noWrap/>
            <w:vAlign w:val="center"/>
            <w:hideMark/>
          </w:tcPr>
          <w:p w14:paraId="77BBAB5A" w14:textId="77777777" w:rsidR="00954139" w:rsidRPr="002C24A8" w:rsidRDefault="00954139" w:rsidP="00954139">
            <w:pPr>
              <w:spacing w:after="0" w:line="240" w:lineRule="auto"/>
              <w:jc w:val="center"/>
              <w:rPr>
                <w:rFonts w:ascii="Times New Roman" w:eastAsia="Times New Roman" w:hAnsi="Times New Roman" w:cs="Times New Roman"/>
                <w:color w:val="000000"/>
                <w:sz w:val="20"/>
                <w:szCs w:val="20"/>
                <w:lang w:val="en-US"/>
              </w:rPr>
            </w:pPr>
            <w:r w:rsidRPr="002C24A8">
              <w:rPr>
                <w:rFonts w:ascii="Times New Roman" w:eastAsia="Times New Roman" w:hAnsi="Times New Roman" w:cs="Times New Roman"/>
                <w:color w:val="000000"/>
                <w:sz w:val="20"/>
                <w:szCs w:val="20"/>
                <w:lang w:val="en-US"/>
              </w:rPr>
              <w:t>FINANCIALS</w:t>
            </w:r>
          </w:p>
        </w:tc>
        <w:tc>
          <w:tcPr>
            <w:tcW w:w="362" w:type="pct"/>
            <w:tcBorders>
              <w:top w:val="nil"/>
              <w:left w:val="nil"/>
              <w:bottom w:val="nil"/>
              <w:right w:val="nil"/>
            </w:tcBorders>
            <w:shd w:val="clear" w:color="auto" w:fill="auto"/>
            <w:noWrap/>
            <w:vAlign w:val="center"/>
            <w:hideMark/>
          </w:tcPr>
          <w:p w14:paraId="75A9A32A" w14:textId="77777777" w:rsidR="00954139" w:rsidRPr="002C24A8" w:rsidRDefault="00954139" w:rsidP="00954139">
            <w:pPr>
              <w:spacing w:after="0" w:line="240" w:lineRule="auto"/>
              <w:jc w:val="center"/>
              <w:rPr>
                <w:rFonts w:ascii="Times New Roman" w:eastAsia="Times New Roman" w:hAnsi="Times New Roman" w:cs="Times New Roman"/>
                <w:color w:val="000000"/>
                <w:sz w:val="20"/>
                <w:szCs w:val="20"/>
                <w:lang w:val="en-US"/>
              </w:rPr>
            </w:pPr>
            <w:r w:rsidRPr="002C24A8">
              <w:rPr>
                <w:rFonts w:ascii="Times New Roman" w:eastAsia="Times New Roman" w:hAnsi="Times New Roman" w:cs="Times New Roman"/>
                <w:color w:val="000000"/>
                <w:sz w:val="20"/>
                <w:szCs w:val="20"/>
                <w:lang w:val="en-US"/>
              </w:rPr>
              <w:t>mean</w:t>
            </w:r>
          </w:p>
        </w:tc>
        <w:tc>
          <w:tcPr>
            <w:tcW w:w="736" w:type="pct"/>
            <w:tcBorders>
              <w:top w:val="nil"/>
              <w:left w:val="nil"/>
              <w:bottom w:val="nil"/>
              <w:right w:val="nil"/>
            </w:tcBorders>
            <w:shd w:val="clear" w:color="auto" w:fill="auto"/>
            <w:noWrap/>
            <w:vAlign w:val="center"/>
            <w:hideMark/>
          </w:tcPr>
          <w:p w14:paraId="07E56BB0" w14:textId="77777777" w:rsidR="00954139" w:rsidRPr="002C24A8" w:rsidRDefault="00954139" w:rsidP="00954139">
            <w:pPr>
              <w:spacing w:after="0" w:line="240" w:lineRule="auto"/>
              <w:jc w:val="center"/>
              <w:rPr>
                <w:rFonts w:ascii="Times New Roman" w:eastAsia="Times New Roman" w:hAnsi="Times New Roman" w:cs="Times New Roman"/>
                <w:color w:val="000000"/>
                <w:sz w:val="20"/>
                <w:szCs w:val="20"/>
                <w:lang w:val="en-US"/>
              </w:rPr>
            </w:pPr>
            <w:r w:rsidRPr="002C24A8">
              <w:rPr>
                <w:rFonts w:ascii="Times New Roman" w:eastAsia="Times New Roman" w:hAnsi="Times New Roman" w:cs="Times New Roman"/>
                <w:color w:val="000000"/>
                <w:sz w:val="20"/>
                <w:szCs w:val="20"/>
                <w:lang w:val="en-US"/>
              </w:rPr>
              <w:t>0.514</w:t>
            </w:r>
          </w:p>
        </w:tc>
        <w:tc>
          <w:tcPr>
            <w:tcW w:w="1154" w:type="pct"/>
            <w:gridSpan w:val="2"/>
            <w:tcBorders>
              <w:top w:val="nil"/>
              <w:left w:val="nil"/>
              <w:bottom w:val="nil"/>
              <w:right w:val="nil"/>
            </w:tcBorders>
            <w:shd w:val="clear" w:color="auto" w:fill="auto"/>
            <w:noWrap/>
            <w:vAlign w:val="center"/>
            <w:hideMark/>
          </w:tcPr>
          <w:p w14:paraId="0760E1EF" w14:textId="77777777" w:rsidR="00954139" w:rsidRPr="002C24A8" w:rsidRDefault="00954139" w:rsidP="00954139">
            <w:pPr>
              <w:spacing w:after="0" w:line="240" w:lineRule="auto"/>
              <w:jc w:val="center"/>
              <w:rPr>
                <w:rFonts w:ascii="Times New Roman" w:eastAsia="Times New Roman" w:hAnsi="Times New Roman" w:cs="Times New Roman"/>
                <w:color w:val="000000"/>
                <w:sz w:val="20"/>
                <w:szCs w:val="20"/>
                <w:lang w:val="en-US"/>
              </w:rPr>
            </w:pPr>
            <w:r w:rsidRPr="002C24A8">
              <w:rPr>
                <w:rFonts w:ascii="Times New Roman" w:eastAsia="Times New Roman" w:hAnsi="Times New Roman" w:cs="Times New Roman"/>
                <w:color w:val="000000"/>
                <w:sz w:val="20"/>
                <w:szCs w:val="20"/>
                <w:lang w:val="en-US"/>
              </w:rPr>
              <w:t>HEALTHCARE</w:t>
            </w:r>
          </w:p>
        </w:tc>
        <w:tc>
          <w:tcPr>
            <w:tcW w:w="362" w:type="pct"/>
            <w:gridSpan w:val="2"/>
            <w:tcBorders>
              <w:top w:val="nil"/>
              <w:left w:val="nil"/>
              <w:bottom w:val="nil"/>
              <w:right w:val="nil"/>
            </w:tcBorders>
            <w:shd w:val="clear" w:color="auto" w:fill="auto"/>
            <w:noWrap/>
            <w:vAlign w:val="center"/>
            <w:hideMark/>
          </w:tcPr>
          <w:p w14:paraId="2AC83AA2" w14:textId="77777777" w:rsidR="00954139" w:rsidRPr="002C24A8" w:rsidRDefault="00954139" w:rsidP="00954139">
            <w:pPr>
              <w:spacing w:after="0" w:line="240" w:lineRule="auto"/>
              <w:jc w:val="center"/>
              <w:rPr>
                <w:rFonts w:ascii="Times New Roman" w:eastAsia="Times New Roman" w:hAnsi="Times New Roman" w:cs="Times New Roman"/>
                <w:color w:val="000000"/>
                <w:sz w:val="20"/>
                <w:szCs w:val="20"/>
                <w:lang w:val="en-US"/>
              </w:rPr>
            </w:pPr>
            <w:r w:rsidRPr="002C24A8">
              <w:rPr>
                <w:rFonts w:ascii="Times New Roman" w:eastAsia="Times New Roman" w:hAnsi="Times New Roman" w:cs="Times New Roman"/>
                <w:color w:val="000000"/>
                <w:sz w:val="20"/>
                <w:szCs w:val="20"/>
                <w:lang w:val="en-US"/>
              </w:rPr>
              <w:t>mean</w:t>
            </w:r>
          </w:p>
        </w:tc>
        <w:tc>
          <w:tcPr>
            <w:tcW w:w="736" w:type="pct"/>
            <w:gridSpan w:val="2"/>
            <w:tcBorders>
              <w:top w:val="nil"/>
              <w:left w:val="nil"/>
              <w:bottom w:val="nil"/>
              <w:right w:val="nil"/>
            </w:tcBorders>
            <w:shd w:val="clear" w:color="auto" w:fill="auto"/>
            <w:noWrap/>
            <w:vAlign w:val="center"/>
            <w:hideMark/>
          </w:tcPr>
          <w:p w14:paraId="5E7E2427" w14:textId="77777777" w:rsidR="00954139" w:rsidRPr="002C24A8" w:rsidRDefault="00954139" w:rsidP="00954139">
            <w:pPr>
              <w:spacing w:after="0" w:line="240" w:lineRule="auto"/>
              <w:jc w:val="center"/>
              <w:rPr>
                <w:rFonts w:ascii="Times New Roman" w:eastAsia="Times New Roman" w:hAnsi="Times New Roman" w:cs="Times New Roman"/>
                <w:color w:val="000000"/>
                <w:sz w:val="20"/>
                <w:szCs w:val="20"/>
                <w:lang w:val="en-US"/>
              </w:rPr>
            </w:pPr>
            <w:r w:rsidRPr="002C24A8">
              <w:rPr>
                <w:rFonts w:ascii="Times New Roman" w:eastAsia="Times New Roman" w:hAnsi="Times New Roman" w:cs="Times New Roman"/>
                <w:color w:val="000000"/>
                <w:sz w:val="20"/>
                <w:szCs w:val="20"/>
                <w:lang w:val="en-US"/>
              </w:rPr>
              <w:t>0.466</w:t>
            </w:r>
          </w:p>
        </w:tc>
      </w:tr>
      <w:tr w:rsidR="00954139" w:rsidRPr="00907DAC" w14:paraId="6E50D8F6" w14:textId="77777777" w:rsidTr="00954139">
        <w:trPr>
          <w:gridAfter w:val="1"/>
          <w:wAfter w:w="122" w:type="pct"/>
          <w:trHeight w:val="300"/>
        </w:trPr>
        <w:tc>
          <w:tcPr>
            <w:tcW w:w="1527" w:type="pct"/>
            <w:tcBorders>
              <w:top w:val="nil"/>
              <w:left w:val="nil"/>
              <w:bottom w:val="nil"/>
              <w:right w:val="nil"/>
            </w:tcBorders>
            <w:shd w:val="clear" w:color="auto" w:fill="auto"/>
            <w:noWrap/>
            <w:vAlign w:val="center"/>
            <w:hideMark/>
          </w:tcPr>
          <w:p w14:paraId="6809C80E" w14:textId="77777777" w:rsidR="00954139" w:rsidRPr="002C24A8" w:rsidRDefault="00954139" w:rsidP="00954139">
            <w:pPr>
              <w:spacing w:after="0" w:line="240" w:lineRule="auto"/>
              <w:jc w:val="center"/>
              <w:rPr>
                <w:rFonts w:ascii="Times New Roman" w:eastAsia="Times New Roman" w:hAnsi="Times New Roman" w:cs="Times New Roman"/>
                <w:color w:val="000000"/>
                <w:sz w:val="20"/>
                <w:szCs w:val="20"/>
                <w:lang w:val="en-US"/>
              </w:rPr>
            </w:pPr>
          </w:p>
        </w:tc>
        <w:tc>
          <w:tcPr>
            <w:tcW w:w="362" w:type="pct"/>
            <w:tcBorders>
              <w:top w:val="nil"/>
              <w:left w:val="nil"/>
              <w:bottom w:val="nil"/>
              <w:right w:val="nil"/>
            </w:tcBorders>
            <w:shd w:val="clear" w:color="auto" w:fill="auto"/>
            <w:noWrap/>
            <w:vAlign w:val="center"/>
            <w:hideMark/>
          </w:tcPr>
          <w:p w14:paraId="5A4CB9B8" w14:textId="77777777" w:rsidR="00954139" w:rsidRPr="002C24A8" w:rsidRDefault="00954139" w:rsidP="00954139">
            <w:pPr>
              <w:spacing w:after="0" w:line="240" w:lineRule="auto"/>
              <w:jc w:val="center"/>
              <w:rPr>
                <w:rFonts w:ascii="Times New Roman" w:eastAsia="Times New Roman" w:hAnsi="Times New Roman" w:cs="Times New Roman"/>
                <w:color w:val="000000"/>
                <w:sz w:val="20"/>
                <w:szCs w:val="20"/>
                <w:lang w:val="en-US"/>
              </w:rPr>
            </w:pPr>
            <w:r w:rsidRPr="002C24A8">
              <w:rPr>
                <w:rFonts w:ascii="Times New Roman" w:eastAsia="Times New Roman" w:hAnsi="Times New Roman" w:cs="Times New Roman"/>
                <w:color w:val="000000"/>
                <w:sz w:val="20"/>
                <w:szCs w:val="20"/>
                <w:lang w:val="en-US"/>
              </w:rPr>
              <w:t>std</w:t>
            </w:r>
          </w:p>
        </w:tc>
        <w:tc>
          <w:tcPr>
            <w:tcW w:w="736" w:type="pct"/>
            <w:tcBorders>
              <w:top w:val="nil"/>
              <w:left w:val="nil"/>
              <w:bottom w:val="nil"/>
              <w:right w:val="nil"/>
            </w:tcBorders>
            <w:shd w:val="clear" w:color="auto" w:fill="auto"/>
            <w:noWrap/>
            <w:vAlign w:val="center"/>
            <w:hideMark/>
          </w:tcPr>
          <w:p w14:paraId="4C7DB29E" w14:textId="77777777" w:rsidR="00954139" w:rsidRPr="002C24A8" w:rsidRDefault="00954139" w:rsidP="00954139">
            <w:pPr>
              <w:spacing w:after="0" w:line="240" w:lineRule="auto"/>
              <w:jc w:val="center"/>
              <w:rPr>
                <w:rFonts w:ascii="Times New Roman" w:eastAsia="Times New Roman" w:hAnsi="Times New Roman" w:cs="Times New Roman"/>
                <w:color w:val="000000"/>
                <w:sz w:val="20"/>
                <w:szCs w:val="20"/>
                <w:lang w:val="en-US"/>
              </w:rPr>
            </w:pPr>
            <w:r w:rsidRPr="002C24A8">
              <w:rPr>
                <w:rFonts w:ascii="Times New Roman" w:eastAsia="Times New Roman" w:hAnsi="Times New Roman" w:cs="Times New Roman"/>
                <w:color w:val="000000"/>
                <w:sz w:val="20"/>
                <w:szCs w:val="20"/>
                <w:lang w:val="en-US"/>
              </w:rPr>
              <w:t>0.248</w:t>
            </w:r>
          </w:p>
        </w:tc>
        <w:tc>
          <w:tcPr>
            <w:tcW w:w="1154" w:type="pct"/>
            <w:gridSpan w:val="2"/>
            <w:tcBorders>
              <w:top w:val="nil"/>
              <w:left w:val="nil"/>
              <w:bottom w:val="nil"/>
              <w:right w:val="nil"/>
            </w:tcBorders>
            <w:shd w:val="clear" w:color="auto" w:fill="auto"/>
            <w:noWrap/>
            <w:vAlign w:val="center"/>
            <w:hideMark/>
          </w:tcPr>
          <w:p w14:paraId="0D3A2B06" w14:textId="77777777" w:rsidR="00954139" w:rsidRPr="002C24A8" w:rsidRDefault="00954139" w:rsidP="00954139">
            <w:pPr>
              <w:spacing w:after="0" w:line="240" w:lineRule="auto"/>
              <w:jc w:val="center"/>
              <w:rPr>
                <w:rFonts w:ascii="Times New Roman" w:eastAsia="Times New Roman" w:hAnsi="Times New Roman" w:cs="Times New Roman"/>
                <w:color w:val="000000"/>
                <w:sz w:val="20"/>
                <w:szCs w:val="20"/>
                <w:lang w:val="en-US"/>
              </w:rPr>
            </w:pPr>
          </w:p>
        </w:tc>
        <w:tc>
          <w:tcPr>
            <w:tcW w:w="362" w:type="pct"/>
            <w:gridSpan w:val="2"/>
            <w:tcBorders>
              <w:top w:val="nil"/>
              <w:left w:val="nil"/>
              <w:bottom w:val="nil"/>
              <w:right w:val="nil"/>
            </w:tcBorders>
            <w:shd w:val="clear" w:color="auto" w:fill="auto"/>
            <w:noWrap/>
            <w:vAlign w:val="center"/>
            <w:hideMark/>
          </w:tcPr>
          <w:p w14:paraId="0B912D92" w14:textId="77777777" w:rsidR="00954139" w:rsidRPr="002C24A8" w:rsidRDefault="00954139" w:rsidP="00954139">
            <w:pPr>
              <w:spacing w:after="0" w:line="240" w:lineRule="auto"/>
              <w:jc w:val="center"/>
              <w:rPr>
                <w:rFonts w:ascii="Times New Roman" w:eastAsia="Times New Roman" w:hAnsi="Times New Roman" w:cs="Times New Roman"/>
                <w:color w:val="000000"/>
                <w:sz w:val="20"/>
                <w:szCs w:val="20"/>
                <w:lang w:val="en-US"/>
              </w:rPr>
            </w:pPr>
            <w:r w:rsidRPr="002C24A8">
              <w:rPr>
                <w:rFonts w:ascii="Times New Roman" w:eastAsia="Times New Roman" w:hAnsi="Times New Roman" w:cs="Times New Roman"/>
                <w:color w:val="000000"/>
                <w:sz w:val="20"/>
                <w:szCs w:val="20"/>
                <w:lang w:val="en-US"/>
              </w:rPr>
              <w:t>std</w:t>
            </w:r>
          </w:p>
        </w:tc>
        <w:tc>
          <w:tcPr>
            <w:tcW w:w="736" w:type="pct"/>
            <w:gridSpan w:val="2"/>
            <w:tcBorders>
              <w:top w:val="nil"/>
              <w:left w:val="nil"/>
              <w:bottom w:val="nil"/>
              <w:right w:val="nil"/>
            </w:tcBorders>
            <w:shd w:val="clear" w:color="auto" w:fill="auto"/>
            <w:noWrap/>
            <w:vAlign w:val="center"/>
            <w:hideMark/>
          </w:tcPr>
          <w:p w14:paraId="5B8DE9D8" w14:textId="77777777" w:rsidR="00954139" w:rsidRPr="002C24A8" w:rsidRDefault="00954139" w:rsidP="00954139">
            <w:pPr>
              <w:spacing w:after="0" w:line="240" w:lineRule="auto"/>
              <w:jc w:val="center"/>
              <w:rPr>
                <w:rFonts w:ascii="Times New Roman" w:eastAsia="Times New Roman" w:hAnsi="Times New Roman" w:cs="Times New Roman"/>
                <w:color w:val="000000"/>
                <w:sz w:val="20"/>
                <w:szCs w:val="20"/>
                <w:lang w:val="en-US"/>
              </w:rPr>
            </w:pPr>
            <w:r w:rsidRPr="002C24A8">
              <w:rPr>
                <w:rFonts w:ascii="Times New Roman" w:eastAsia="Times New Roman" w:hAnsi="Times New Roman" w:cs="Times New Roman"/>
                <w:color w:val="000000"/>
                <w:sz w:val="20"/>
                <w:szCs w:val="20"/>
                <w:lang w:val="en-US"/>
              </w:rPr>
              <w:t>0.249</w:t>
            </w:r>
          </w:p>
        </w:tc>
      </w:tr>
      <w:tr w:rsidR="00954139" w:rsidRPr="00907DAC" w14:paraId="27D0886C" w14:textId="77777777" w:rsidTr="00954139">
        <w:trPr>
          <w:gridAfter w:val="1"/>
          <w:wAfter w:w="122" w:type="pct"/>
          <w:trHeight w:val="300"/>
        </w:trPr>
        <w:tc>
          <w:tcPr>
            <w:tcW w:w="1527" w:type="pct"/>
            <w:tcBorders>
              <w:top w:val="nil"/>
              <w:left w:val="nil"/>
              <w:bottom w:val="nil"/>
              <w:right w:val="nil"/>
            </w:tcBorders>
            <w:shd w:val="clear" w:color="auto" w:fill="auto"/>
            <w:noWrap/>
            <w:vAlign w:val="center"/>
            <w:hideMark/>
          </w:tcPr>
          <w:p w14:paraId="2EA038E0" w14:textId="77777777" w:rsidR="00954139" w:rsidRPr="002C24A8" w:rsidRDefault="00954139" w:rsidP="00954139">
            <w:pPr>
              <w:spacing w:after="0" w:line="240" w:lineRule="auto"/>
              <w:jc w:val="center"/>
              <w:rPr>
                <w:rFonts w:ascii="Times New Roman" w:eastAsia="Times New Roman" w:hAnsi="Times New Roman" w:cs="Times New Roman"/>
                <w:color w:val="000000"/>
                <w:sz w:val="20"/>
                <w:szCs w:val="20"/>
                <w:lang w:val="en-US"/>
              </w:rPr>
            </w:pPr>
            <w:r w:rsidRPr="002C24A8">
              <w:rPr>
                <w:rFonts w:ascii="Times New Roman" w:eastAsia="Times New Roman" w:hAnsi="Times New Roman" w:cs="Times New Roman"/>
                <w:color w:val="000000"/>
                <w:sz w:val="20"/>
                <w:szCs w:val="20"/>
                <w:lang w:val="en-US"/>
              </w:rPr>
              <w:t>INDUSTRIALS</w:t>
            </w:r>
          </w:p>
        </w:tc>
        <w:tc>
          <w:tcPr>
            <w:tcW w:w="362" w:type="pct"/>
            <w:tcBorders>
              <w:top w:val="nil"/>
              <w:left w:val="nil"/>
              <w:bottom w:val="nil"/>
              <w:right w:val="nil"/>
            </w:tcBorders>
            <w:shd w:val="clear" w:color="auto" w:fill="auto"/>
            <w:noWrap/>
            <w:vAlign w:val="center"/>
            <w:hideMark/>
          </w:tcPr>
          <w:p w14:paraId="53B2A53E" w14:textId="77777777" w:rsidR="00954139" w:rsidRPr="002C24A8" w:rsidRDefault="00954139" w:rsidP="00954139">
            <w:pPr>
              <w:spacing w:after="0" w:line="240" w:lineRule="auto"/>
              <w:jc w:val="center"/>
              <w:rPr>
                <w:rFonts w:ascii="Times New Roman" w:eastAsia="Times New Roman" w:hAnsi="Times New Roman" w:cs="Times New Roman"/>
                <w:color w:val="000000"/>
                <w:sz w:val="20"/>
                <w:szCs w:val="20"/>
                <w:lang w:val="en-US"/>
              </w:rPr>
            </w:pPr>
            <w:r w:rsidRPr="002C24A8">
              <w:rPr>
                <w:rFonts w:ascii="Times New Roman" w:eastAsia="Times New Roman" w:hAnsi="Times New Roman" w:cs="Times New Roman"/>
                <w:color w:val="000000"/>
                <w:sz w:val="20"/>
                <w:szCs w:val="20"/>
                <w:lang w:val="en-US"/>
              </w:rPr>
              <w:t>mean</w:t>
            </w:r>
          </w:p>
        </w:tc>
        <w:tc>
          <w:tcPr>
            <w:tcW w:w="736" w:type="pct"/>
            <w:tcBorders>
              <w:top w:val="nil"/>
              <w:left w:val="nil"/>
              <w:bottom w:val="nil"/>
              <w:right w:val="nil"/>
            </w:tcBorders>
            <w:shd w:val="clear" w:color="auto" w:fill="auto"/>
            <w:noWrap/>
            <w:vAlign w:val="center"/>
            <w:hideMark/>
          </w:tcPr>
          <w:p w14:paraId="077A1A63" w14:textId="77777777" w:rsidR="00954139" w:rsidRPr="002C24A8" w:rsidRDefault="00954139" w:rsidP="00954139">
            <w:pPr>
              <w:spacing w:after="0" w:line="240" w:lineRule="auto"/>
              <w:jc w:val="center"/>
              <w:rPr>
                <w:rFonts w:ascii="Times New Roman" w:eastAsia="Times New Roman" w:hAnsi="Times New Roman" w:cs="Times New Roman"/>
                <w:color w:val="000000"/>
                <w:sz w:val="20"/>
                <w:szCs w:val="20"/>
                <w:lang w:val="en-US"/>
              </w:rPr>
            </w:pPr>
            <w:r w:rsidRPr="002C24A8">
              <w:rPr>
                <w:rFonts w:ascii="Times New Roman" w:eastAsia="Times New Roman" w:hAnsi="Times New Roman" w:cs="Times New Roman"/>
                <w:color w:val="000000"/>
                <w:sz w:val="20"/>
                <w:szCs w:val="20"/>
                <w:lang w:val="en-US"/>
              </w:rPr>
              <w:t>0.508</w:t>
            </w:r>
          </w:p>
        </w:tc>
        <w:tc>
          <w:tcPr>
            <w:tcW w:w="1154" w:type="pct"/>
            <w:gridSpan w:val="2"/>
            <w:tcBorders>
              <w:top w:val="nil"/>
              <w:left w:val="nil"/>
              <w:bottom w:val="nil"/>
              <w:right w:val="nil"/>
            </w:tcBorders>
            <w:shd w:val="clear" w:color="auto" w:fill="auto"/>
            <w:noWrap/>
            <w:vAlign w:val="center"/>
            <w:hideMark/>
          </w:tcPr>
          <w:p w14:paraId="7252F9CA" w14:textId="77777777" w:rsidR="00954139" w:rsidRPr="002C24A8" w:rsidRDefault="00954139" w:rsidP="00954139">
            <w:pPr>
              <w:spacing w:after="0" w:line="240" w:lineRule="auto"/>
              <w:jc w:val="center"/>
              <w:rPr>
                <w:rFonts w:ascii="Times New Roman" w:eastAsia="Times New Roman" w:hAnsi="Times New Roman" w:cs="Times New Roman"/>
                <w:color w:val="000000"/>
                <w:sz w:val="20"/>
                <w:szCs w:val="20"/>
                <w:lang w:val="en-US"/>
              </w:rPr>
            </w:pPr>
            <w:r w:rsidRPr="002C24A8">
              <w:rPr>
                <w:rFonts w:ascii="Times New Roman" w:eastAsia="Times New Roman" w:hAnsi="Times New Roman" w:cs="Times New Roman"/>
                <w:color w:val="000000"/>
                <w:sz w:val="20"/>
                <w:szCs w:val="20"/>
                <w:lang w:val="en-US"/>
              </w:rPr>
              <w:t>MATERIALS</w:t>
            </w:r>
          </w:p>
        </w:tc>
        <w:tc>
          <w:tcPr>
            <w:tcW w:w="362" w:type="pct"/>
            <w:gridSpan w:val="2"/>
            <w:tcBorders>
              <w:top w:val="nil"/>
              <w:left w:val="nil"/>
              <w:bottom w:val="nil"/>
              <w:right w:val="nil"/>
            </w:tcBorders>
            <w:shd w:val="clear" w:color="auto" w:fill="auto"/>
            <w:noWrap/>
            <w:vAlign w:val="center"/>
            <w:hideMark/>
          </w:tcPr>
          <w:p w14:paraId="7445B291" w14:textId="77777777" w:rsidR="00954139" w:rsidRPr="002C24A8" w:rsidRDefault="00954139" w:rsidP="00954139">
            <w:pPr>
              <w:spacing w:after="0" w:line="240" w:lineRule="auto"/>
              <w:jc w:val="center"/>
              <w:rPr>
                <w:rFonts w:ascii="Times New Roman" w:eastAsia="Times New Roman" w:hAnsi="Times New Roman" w:cs="Times New Roman"/>
                <w:color w:val="000000"/>
                <w:sz w:val="20"/>
                <w:szCs w:val="20"/>
                <w:lang w:val="en-US"/>
              </w:rPr>
            </w:pPr>
            <w:r w:rsidRPr="002C24A8">
              <w:rPr>
                <w:rFonts w:ascii="Times New Roman" w:eastAsia="Times New Roman" w:hAnsi="Times New Roman" w:cs="Times New Roman"/>
                <w:color w:val="000000"/>
                <w:sz w:val="20"/>
                <w:szCs w:val="20"/>
                <w:lang w:val="en-US"/>
              </w:rPr>
              <w:t>mean</w:t>
            </w:r>
          </w:p>
        </w:tc>
        <w:tc>
          <w:tcPr>
            <w:tcW w:w="736" w:type="pct"/>
            <w:gridSpan w:val="2"/>
            <w:tcBorders>
              <w:top w:val="nil"/>
              <w:left w:val="nil"/>
              <w:bottom w:val="nil"/>
              <w:right w:val="nil"/>
            </w:tcBorders>
            <w:shd w:val="clear" w:color="auto" w:fill="auto"/>
            <w:noWrap/>
            <w:vAlign w:val="center"/>
            <w:hideMark/>
          </w:tcPr>
          <w:p w14:paraId="30E04C01" w14:textId="77777777" w:rsidR="00954139" w:rsidRPr="002C24A8" w:rsidRDefault="00954139" w:rsidP="00954139">
            <w:pPr>
              <w:spacing w:after="0" w:line="240" w:lineRule="auto"/>
              <w:jc w:val="center"/>
              <w:rPr>
                <w:rFonts w:ascii="Times New Roman" w:eastAsia="Times New Roman" w:hAnsi="Times New Roman" w:cs="Times New Roman"/>
                <w:color w:val="000000"/>
                <w:sz w:val="20"/>
                <w:szCs w:val="20"/>
                <w:lang w:val="en-US"/>
              </w:rPr>
            </w:pPr>
            <w:r w:rsidRPr="002C24A8">
              <w:rPr>
                <w:rFonts w:ascii="Times New Roman" w:eastAsia="Times New Roman" w:hAnsi="Times New Roman" w:cs="Times New Roman"/>
                <w:color w:val="000000"/>
                <w:sz w:val="20"/>
                <w:szCs w:val="20"/>
                <w:lang w:val="en-US"/>
              </w:rPr>
              <w:t>0.428</w:t>
            </w:r>
          </w:p>
        </w:tc>
      </w:tr>
      <w:tr w:rsidR="00954139" w:rsidRPr="00907DAC" w14:paraId="0416B5FA" w14:textId="77777777" w:rsidTr="00954139">
        <w:trPr>
          <w:gridAfter w:val="1"/>
          <w:wAfter w:w="122" w:type="pct"/>
          <w:trHeight w:val="300"/>
        </w:trPr>
        <w:tc>
          <w:tcPr>
            <w:tcW w:w="1527" w:type="pct"/>
            <w:tcBorders>
              <w:top w:val="nil"/>
              <w:left w:val="nil"/>
              <w:bottom w:val="nil"/>
              <w:right w:val="nil"/>
            </w:tcBorders>
            <w:shd w:val="clear" w:color="auto" w:fill="auto"/>
            <w:noWrap/>
            <w:vAlign w:val="center"/>
            <w:hideMark/>
          </w:tcPr>
          <w:p w14:paraId="060E6AB5" w14:textId="77777777" w:rsidR="00954139" w:rsidRPr="002C24A8" w:rsidRDefault="00954139" w:rsidP="00954139">
            <w:pPr>
              <w:spacing w:after="0" w:line="240" w:lineRule="auto"/>
              <w:jc w:val="center"/>
              <w:rPr>
                <w:rFonts w:ascii="Times New Roman" w:eastAsia="Times New Roman" w:hAnsi="Times New Roman" w:cs="Times New Roman"/>
                <w:color w:val="000000"/>
                <w:sz w:val="20"/>
                <w:szCs w:val="20"/>
                <w:lang w:val="en-US"/>
              </w:rPr>
            </w:pPr>
          </w:p>
        </w:tc>
        <w:tc>
          <w:tcPr>
            <w:tcW w:w="362" w:type="pct"/>
            <w:tcBorders>
              <w:top w:val="nil"/>
              <w:left w:val="nil"/>
              <w:bottom w:val="nil"/>
              <w:right w:val="nil"/>
            </w:tcBorders>
            <w:shd w:val="clear" w:color="auto" w:fill="auto"/>
            <w:noWrap/>
            <w:vAlign w:val="center"/>
            <w:hideMark/>
          </w:tcPr>
          <w:p w14:paraId="72206290" w14:textId="77777777" w:rsidR="00954139" w:rsidRPr="002C24A8" w:rsidRDefault="00954139" w:rsidP="00954139">
            <w:pPr>
              <w:spacing w:after="0" w:line="240" w:lineRule="auto"/>
              <w:jc w:val="center"/>
              <w:rPr>
                <w:rFonts w:ascii="Times New Roman" w:eastAsia="Times New Roman" w:hAnsi="Times New Roman" w:cs="Times New Roman"/>
                <w:color w:val="000000"/>
                <w:sz w:val="20"/>
                <w:szCs w:val="20"/>
                <w:lang w:val="en-US"/>
              </w:rPr>
            </w:pPr>
            <w:r w:rsidRPr="002C24A8">
              <w:rPr>
                <w:rFonts w:ascii="Times New Roman" w:eastAsia="Times New Roman" w:hAnsi="Times New Roman" w:cs="Times New Roman"/>
                <w:color w:val="000000"/>
                <w:sz w:val="20"/>
                <w:szCs w:val="20"/>
                <w:lang w:val="en-US"/>
              </w:rPr>
              <w:t>std</w:t>
            </w:r>
          </w:p>
        </w:tc>
        <w:tc>
          <w:tcPr>
            <w:tcW w:w="736" w:type="pct"/>
            <w:tcBorders>
              <w:top w:val="nil"/>
              <w:left w:val="nil"/>
              <w:bottom w:val="nil"/>
              <w:right w:val="nil"/>
            </w:tcBorders>
            <w:shd w:val="clear" w:color="auto" w:fill="auto"/>
            <w:noWrap/>
            <w:vAlign w:val="center"/>
            <w:hideMark/>
          </w:tcPr>
          <w:p w14:paraId="5F723315" w14:textId="77777777" w:rsidR="00954139" w:rsidRPr="002C24A8" w:rsidRDefault="00954139" w:rsidP="00954139">
            <w:pPr>
              <w:spacing w:after="0" w:line="240" w:lineRule="auto"/>
              <w:jc w:val="center"/>
              <w:rPr>
                <w:rFonts w:ascii="Times New Roman" w:eastAsia="Times New Roman" w:hAnsi="Times New Roman" w:cs="Times New Roman"/>
                <w:color w:val="000000"/>
                <w:sz w:val="20"/>
                <w:szCs w:val="20"/>
                <w:lang w:val="en-US"/>
              </w:rPr>
            </w:pPr>
            <w:r w:rsidRPr="002C24A8">
              <w:rPr>
                <w:rFonts w:ascii="Times New Roman" w:eastAsia="Times New Roman" w:hAnsi="Times New Roman" w:cs="Times New Roman"/>
                <w:color w:val="000000"/>
                <w:sz w:val="20"/>
                <w:szCs w:val="20"/>
                <w:lang w:val="en-US"/>
              </w:rPr>
              <w:t>0.251</w:t>
            </w:r>
          </w:p>
        </w:tc>
        <w:tc>
          <w:tcPr>
            <w:tcW w:w="1154" w:type="pct"/>
            <w:gridSpan w:val="2"/>
            <w:tcBorders>
              <w:top w:val="nil"/>
              <w:left w:val="nil"/>
              <w:bottom w:val="nil"/>
              <w:right w:val="nil"/>
            </w:tcBorders>
            <w:shd w:val="clear" w:color="auto" w:fill="auto"/>
            <w:noWrap/>
            <w:vAlign w:val="center"/>
            <w:hideMark/>
          </w:tcPr>
          <w:p w14:paraId="3B1EA7BD" w14:textId="77777777" w:rsidR="00954139" w:rsidRPr="002C24A8" w:rsidRDefault="00954139" w:rsidP="00954139">
            <w:pPr>
              <w:spacing w:after="0" w:line="240" w:lineRule="auto"/>
              <w:jc w:val="center"/>
              <w:rPr>
                <w:rFonts w:ascii="Times New Roman" w:eastAsia="Times New Roman" w:hAnsi="Times New Roman" w:cs="Times New Roman"/>
                <w:color w:val="000000"/>
                <w:sz w:val="20"/>
                <w:szCs w:val="20"/>
                <w:lang w:val="en-US"/>
              </w:rPr>
            </w:pPr>
          </w:p>
        </w:tc>
        <w:tc>
          <w:tcPr>
            <w:tcW w:w="362" w:type="pct"/>
            <w:gridSpan w:val="2"/>
            <w:tcBorders>
              <w:top w:val="nil"/>
              <w:left w:val="nil"/>
              <w:bottom w:val="nil"/>
              <w:right w:val="nil"/>
            </w:tcBorders>
            <w:shd w:val="clear" w:color="auto" w:fill="auto"/>
            <w:noWrap/>
            <w:vAlign w:val="center"/>
            <w:hideMark/>
          </w:tcPr>
          <w:p w14:paraId="2215C1D9" w14:textId="77777777" w:rsidR="00954139" w:rsidRPr="002C24A8" w:rsidRDefault="00954139" w:rsidP="00954139">
            <w:pPr>
              <w:spacing w:after="0" w:line="240" w:lineRule="auto"/>
              <w:jc w:val="center"/>
              <w:rPr>
                <w:rFonts w:ascii="Times New Roman" w:eastAsia="Times New Roman" w:hAnsi="Times New Roman" w:cs="Times New Roman"/>
                <w:color w:val="000000"/>
                <w:sz w:val="20"/>
                <w:szCs w:val="20"/>
                <w:lang w:val="en-US"/>
              </w:rPr>
            </w:pPr>
            <w:r w:rsidRPr="002C24A8">
              <w:rPr>
                <w:rFonts w:ascii="Times New Roman" w:eastAsia="Times New Roman" w:hAnsi="Times New Roman" w:cs="Times New Roman"/>
                <w:color w:val="000000"/>
                <w:sz w:val="20"/>
                <w:szCs w:val="20"/>
                <w:lang w:val="en-US"/>
              </w:rPr>
              <w:t>std</w:t>
            </w:r>
          </w:p>
        </w:tc>
        <w:tc>
          <w:tcPr>
            <w:tcW w:w="736" w:type="pct"/>
            <w:gridSpan w:val="2"/>
            <w:tcBorders>
              <w:top w:val="nil"/>
              <w:left w:val="nil"/>
              <w:bottom w:val="nil"/>
              <w:right w:val="nil"/>
            </w:tcBorders>
            <w:shd w:val="clear" w:color="auto" w:fill="auto"/>
            <w:noWrap/>
            <w:vAlign w:val="center"/>
            <w:hideMark/>
          </w:tcPr>
          <w:p w14:paraId="37BA608C" w14:textId="77777777" w:rsidR="00954139" w:rsidRPr="002C24A8" w:rsidRDefault="00954139" w:rsidP="00954139">
            <w:pPr>
              <w:spacing w:after="0" w:line="240" w:lineRule="auto"/>
              <w:jc w:val="center"/>
              <w:rPr>
                <w:rFonts w:ascii="Times New Roman" w:eastAsia="Times New Roman" w:hAnsi="Times New Roman" w:cs="Times New Roman"/>
                <w:color w:val="000000"/>
                <w:sz w:val="20"/>
                <w:szCs w:val="20"/>
                <w:lang w:val="en-US"/>
              </w:rPr>
            </w:pPr>
            <w:r w:rsidRPr="002C24A8">
              <w:rPr>
                <w:rFonts w:ascii="Times New Roman" w:eastAsia="Times New Roman" w:hAnsi="Times New Roman" w:cs="Times New Roman"/>
                <w:color w:val="000000"/>
                <w:sz w:val="20"/>
                <w:szCs w:val="20"/>
                <w:lang w:val="en-US"/>
              </w:rPr>
              <w:t>0.234</w:t>
            </w:r>
          </w:p>
        </w:tc>
      </w:tr>
      <w:tr w:rsidR="00954139" w:rsidRPr="00907DAC" w14:paraId="42A8B7B9" w14:textId="77777777" w:rsidTr="00954139">
        <w:trPr>
          <w:gridAfter w:val="1"/>
          <w:wAfter w:w="122" w:type="pct"/>
          <w:trHeight w:val="300"/>
        </w:trPr>
        <w:tc>
          <w:tcPr>
            <w:tcW w:w="1527" w:type="pct"/>
            <w:tcBorders>
              <w:top w:val="nil"/>
              <w:left w:val="nil"/>
              <w:bottom w:val="nil"/>
              <w:right w:val="nil"/>
            </w:tcBorders>
            <w:shd w:val="clear" w:color="auto" w:fill="auto"/>
            <w:noWrap/>
            <w:vAlign w:val="center"/>
            <w:hideMark/>
          </w:tcPr>
          <w:p w14:paraId="764FE67F" w14:textId="77777777" w:rsidR="00954139" w:rsidRPr="002C24A8" w:rsidRDefault="00954139" w:rsidP="00954139">
            <w:pPr>
              <w:spacing w:after="0" w:line="240" w:lineRule="auto"/>
              <w:jc w:val="center"/>
              <w:rPr>
                <w:rFonts w:ascii="Times New Roman" w:eastAsia="Times New Roman" w:hAnsi="Times New Roman" w:cs="Times New Roman"/>
                <w:color w:val="000000"/>
                <w:sz w:val="20"/>
                <w:szCs w:val="20"/>
                <w:lang w:val="en-US"/>
              </w:rPr>
            </w:pPr>
            <w:r w:rsidRPr="002C24A8">
              <w:rPr>
                <w:rFonts w:ascii="Times New Roman" w:eastAsia="Times New Roman" w:hAnsi="Times New Roman" w:cs="Times New Roman"/>
                <w:color w:val="000000"/>
                <w:sz w:val="20"/>
                <w:szCs w:val="20"/>
                <w:lang w:val="en-US"/>
              </w:rPr>
              <w:t>TECHNOLOGY</w:t>
            </w:r>
          </w:p>
        </w:tc>
        <w:tc>
          <w:tcPr>
            <w:tcW w:w="362" w:type="pct"/>
            <w:tcBorders>
              <w:top w:val="nil"/>
              <w:left w:val="nil"/>
              <w:bottom w:val="nil"/>
              <w:right w:val="nil"/>
            </w:tcBorders>
            <w:shd w:val="clear" w:color="auto" w:fill="auto"/>
            <w:noWrap/>
            <w:vAlign w:val="center"/>
            <w:hideMark/>
          </w:tcPr>
          <w:p w14:paraId="724A9C8E" w14:textId="77777777" w:rsidR="00954139" w:rsidRPr="002C24A8" w:rsidRDefault="00954139" w:rsidP="00954139">
            <w:pPr>
              <w:spacing w:after="0" w:line="240" w:lineRule="auto"/>
              <w:jc w:val="center"/>
              <w:rPr>
                <w:rFonts w:ascii="Times New Roman" w:eastAsia="Times New Roman" w:hAnsi="Times New Roman" w:cs="Times New Roman"/>
                <w:color w:val="000000"/>
                <w:sz w:val="20"/>
                <w:szCs w:val="20"/>
                <w:lang w:val="en-US"/>
              </w:rPr>
            </w:pPr>
            <w:r w:rsidRPr="002C24A8">
              <w:rPr>
                <w:rFonts w:ascii="Times New Roman" w:eastAsia="Times New Roman" w:hAnsi="Times New Roman" w:cs="Times New Roman"/>
                <w:color w:val="000000"/>
                <w:sz w:val="20"/>
                <w:szCs w:val="20"/>
                <w:lang w:val="en-US"/>
              </w:rPr>
              <w:t>mean</w:t>
            </w:r>
          </w:p>
        </w:tc>
        <w:tc>
          <w:tcPr>
            <w:tcW w:w="736" w:type="pct"/>
            <w:tcBorders>
              <w:top w:val="nil"/>
              <w:left w:val="nil"/>
              <w:bottom w:val="nil"/>
              <w:right w:val="nil"/>
            </w:tcBorders>
            <w:shd w:val="clear" w:color="auto" w:fill="auto"/>
            <w:noWrap/>
            <w:vAlign w:val="center"/>
            <w:hideMark/>
          </w:tcPr>
          <w:p w14:paraId="3364EEB2" w14:textId="77777777" w:rsidR="00954139" w:rsidRPr="002C24A8" w:rsidRDefault="00954139" w:rsidP="00954139">
            <w:pPr>
              <w:spacing w:after="0" w:line="240" w:lineRule="auto"/>
              <w:jc w:val="center"/>
              <w:rPr>
                <w:rFonts w:ascii="Times New Roman" w:eastAsia="Times New Roman" w:hAnsi="Times New Roman" w:cs="Times New Roman"/>
                <w:color w:val="000000"/>
                <w:sz w:val="20"/>
                <w:szCs w:val="20"/>
                <w:lang w:val="en-US"/>
              </w:rPr>
            </w:pPr>
            <w:r w:rsidRPr="002C24A8">
              <w:rPr>
                <w:rFonts w:ascii="Times New Roman" w:eastAsia="Times New Roman" w:hAnsi="Times New Roman" w:cs="Times New Roman"/>
                <w:color w:val="000000"/>
                <w:sz w:val="20"/>
                <w:szCs w:val="20"/>
                <w:lang w:val="en-US"/>
              </w:rPr>
              <w:t>0.542</w:t>
            </w:r>
          </w:p>
        </w:tc>
        <w:tc>
          <w:tcPr>
            <w:tcW w:w="1154" w:type="pct"/>
            <w:gridSpan w:val="2"/>
            <w:tcBorders>
              <w:top w:val="nil"/>
              <w:left w:val="nil"/>
              <w:bottom w:val="nil"/>
              <w:right w:val="nil"/>
            </w:tcBorders>
            <w:shd w:val="clear" w:color="auto" w:fill="auto"/>
            <w:noWrap/>
            <w:vAlign w:val="center"/>
            <w:hideMark/>
          </w:tcPr>
          <w:p w14:paraId="4225E6ED" w14:textId="77777777" w:rsidR="00954139" w:rsidRPr="002C24A8" w:rsidRDefault="00954139" w:rsidP="00954139">
            <w:pPr>
              <w:spacing w:after="0" w:line="240" w:lineRule="auto"/>
              <w:jc w:val="center"/>
              <w:rPr>
                <w:rFonts w:ascii="Times New Roman" w:eastAsia="Times New Roman" w:hAnsi="Times New Roman" w:cs="Times New Roman"/>
                <w:color w:val="000000"/>
                <w:sz w:val="20"/>
                <w:szCs w:val="20"/>
                <w:lang w:val="en-US"/>
              </w:rPr>
            </w:pPr>
            <w:r w:rsidRPr="002C24A8">
              <w:rPr>
                <w:rFonts w:ascii="Times New Roman" w:eastAsia="Times New Roman" w:hAnsi="Times New Roman" w:cs="Times New Roman"/>
                <w:color w:val="000000"/>
                <w:sz w:val="20"/>
                <w:szCs w:val="20"/>
                <w:lang w:val="en-US"/>
              </w:rPr>
              <w:t>UTILITIES</w:t>
            </w:r>
          </w:p>
        </w:tc>
        <w:tc>
          <w:tcPr>
            <w:tcW w:w="362" w:type="pct"/>
            <w:gridSpan w:val="2"/>
            <w:tcBorders>
              <w:top w:val="nil"/>
              <w:left w:val="nil"/>
              <w:bottom w:val="nil"/>
              <w:right w:val="nil"/>
            </w:tcBorders>
            <w:shd w:val="clear" w:color="auto" w:fill="auto"/>
            <w:noWrap/>
            <w:vAlign w:val="center"/>
            <w:hideMark/>
          </w:tcPr>
          <w:p w14:paraId="4318D7C8" w14:textId="77777777" w:rsidR="00954139" w:rsidRPr="002C24A8" w:rsidRDefault="00954139" w:rsidP="00954139">
            <w:pPr>
              <w:spacing w:after="0" w:line="240" w:lineRule="auto"/>
              <w:jc w:val="center"/>
              <w:rPr>
                <w:rFonts w:ascii="Times New Roman" w:eastAsia="Times New Roman" w:hAnsi="Times New Roman" w:cs="Times New Roman"/>
                <w:color w:val="000000"/>
                <w:sz w:val="20"/>
                <w:szCs w:val="20"/>
                <w:lang w:val="en-US"/>
              </w:rPr>
            </w:pPr>
            <w:r w:rsidRPr="002C24A8">
              <w:rPr>
                <w:rFonts w:ascii="Times New Roman" w:eastAsia="Times New Roman" w:hAnsi="Times New Roman" w:cs="Times New Roman"/>
                <w:color w:val="000000"/>
                <w:sz w:val="20"/>
                <w:szCs w:val="20"/>
                <w:lang w:val="en-US"/>
              </w:rPr>
              <w:t>mean</w:t>
            </w:r>
          </w:p>
        </w:tc>
        <w:tc>
          <w:tcPr>
            <w:tcW w:w="736" w:type="pct"/>
            <w:gridSpan w:val="2"/>
            <w:tcBorders>
              <w:top w:val="nil"/>
              <w:left w:val="nil"/>
              <w:bottom w:val="nil"/>
              <w:right w:val="nil"/>
            </w:tcBorders>
            <w:shd w:val="clear" w:color="auto" w:fill="auto"/>
            <w:noWrap/>
            <w:vAlign w:val="center"/>
            <w:hideMark/>
          </w:tcPr>
          <w:p w14:paraId="2B1AEAA6" w14:textId="77777777" w:rsidR="00954139" w:rsidRPr="002C24A8" w:rsidRDefault="00954139" w:rsidP="00954139">
            <w:pPr>
              <w:spacing w:after="0" w:line="240" w:lineRule="auto"/>
              <w:jc w:val="center"/>
              <w:rPr>
                <w:rFonts w:ascii="Times New Roman" w:eastAsia="Times New Roman" w:hAnsi="Times New Roman" w:cs="Times New Roman"/>
                <w:color w:val="000000"/>
                <w:sz w:val="20"/>
                <w:szCs w:val="20"/>
                <w:lang w:val="en-US"/>
              </w:rPr>
            </w:pPr>
            <w:r w:rsidRPr="002C24A8">
              <w:rPr>
                <w:rFonts w:ascii="Times New Roman" w:eastAsia="Times New Roman" w:hAnsi="Times New Roman" w:cs="Times New Roman"/>
                <w:color w:val="000000"/>
                <w:sz w:val="20"/>
                <w:szCs w:val="20"/>
                <w:lang w:val="en-US"/>
              </w:rPr>
              <w:t>0.950</w:t>
            </w:r>
          </w:p>
        </w:tc>
      </w:tr>
      <w:tr w:rsidR="00954139" w:rsidRPr="00907DAC" w14:paraId="1D7BD55A" w14:textId="77777777" w:rsidTr="00954139">
        <w:trPr>
          <w:gridAfter w:val="1"/>
          <w:wAfter w:w="122" w:type="pct"/>
          <w:trHeight w:val="315"/>
        </w:trPr>
        <w:tc>
          <w:tcPr>
            <w:tcW w:w="1527" w:type="pct"/>
            <w:tcBorders>
              <w:top w:val="nil"/>
              <w:left w:val="nil"/>
              <w:bottom w:val="single" w:sz="8" w:space="0" w:color="auto"/>
              <w:right w:val="nil"/>
            </w:tcBorders>
            <w:shd w:val="clear" w:color="auto" w:fill="auto"/>
            <w:noWrap/>
            <w:vAlign w:val="center"/>
            <w:hideMark/>
          </w:tcPr>
          <w:p w14:paraId="5D9D10BE" w14:textId="77777777" w:rsidR="00954139" w:rsidRPr="002C24A8" w:rsidRDefault="00954139" w:rsidP="00954139">
            <w:pPr>
              <w:spacing w:after="0" w:line="240" w:lineRule="auto"/>
              <w:jc w:val="center"/>
              <w:rPr>
                <w:rFonts w:ascii="Times New Roman" w:eastAsia="Times New Roman" w:hAnsi="Times New Roman" w:cs="Times New Roman"/>
                <w:color w:val="000000"/>
                <w:sz w:val="20"/>
                <w:szCs w:val="20"/>
                <w:lang w:val="en-US"/>
              </w:rPr>
            </w:pPr>
            <w:r w:rsidRPr="002C24A8">
              <w:rPr>
                <w:rFonts w:ascii="Times New Roman" w:eastAsia="Times New Roman" w:hAnsi="Times New Roman" w:cs="Times New Roman"/>
                <w:color w:val="000000"/>
                <w:sz w:val="20"/>
                <w:szCs w:val="20"/>
                <w:lang w:val="en-US"/>
              </w:rPr>
              <w:t> </w:t>
            </w:r>
          </w:p>
        </w:tc>
        <w:tc>
          <w:tcPr>
            <w:tcW w:w="362" w:type="pct"/>
            <w:tcBorders>
              <w:top w:val="nil"/>
              <w:left w:val="nil"/>
              <w:bottom w:val="single" w:sz="8" w:space="0" w:color="auto"/>
              <w:right w:val="nil"/>
            </w:tcBorders>
            <w:shd w:val="clear" w:color="auto" w:fill="auto"/>
            <w:noWrap/>
            <w:vAlign w:val="center"/>
            <w:hideMark/>
          </w:tcPr>
          <w:p w14:paraId="6D982F5F" w14:textId="77777777" w:rsidR="00954139" w:rsidRPr="002C24A8" w:rsidRDefault="00954139" w:rsidP="00954139">
            <w:pPr>
              <w:spacing w:after="0" w:line="240" w:lineRule="auto"/>
              <w:jc w:val="center"/>
              <w:rPr>
                <w:rFonts w:ascii="Times New Roman" w:eastAsia="Times New Roman" w:hAnsi="Times New Roman" w:cs="Times New Roman"/>
                <w:color w:val="000000"/>
                <w:sz w:val="20"/>
                <w:szCs w:val="20"/>
                <w:lang w:val="en-US"/>
              </w:rPr>
            </w:pPr>
            <w:r w:rsidRPr="002C24A8">
              <w:rPr>
                <w:rFonts w:ascii="Times New Roman" w:eastAsia="Times New Roman" w:hAnsi="Times New Roman" w:cs="Times New Roman"/>
                <w:color w:val="000000"/>
                <w:sz w:val="20"/>
                <w:szCs w:val="20"/>
                <w:lang w:val="en-US"/>
              </w:rPr>
              <w:t>std</w:t>
            </w:r>
          </w:p>
        </w:tc>
        <w:tc>
          <w:tcPr>
            <w:tcW w:w="736" w:type="pct"/>
            <w:tcBorders>
              <w:top w:val="nil"/>
              <w:left w:val="nil"/>
              <w:bottom w:val="single" w:sz="8" w:space="0" w:color="auto"/>
              <w:right w:val="nil"/>
            </w:tcBorders>
            <w:shd w:val="clear" w:color="auto" w:fill="auto"/>
            <w:noWrap/>
            <w:vAlign w:val="center"/>
            <w:hideMark/>
          </w:tcPr>
          <w:p w14:paraId="025E545D" w14:textId="77777777" w:rsidR="00954139" w:rsidRPr="002C24A8" w:rsidRDefault="00954139" w:rsidP="00954139">
            <w:pPr>
              <w:spacing w:after="0" w:line="240" w:lineRule="auto"/>
              <w:jc w:val="center"/>
              <w:rPr>
                <w:rFonts w:ascii="Times New Roman" w:eastAsia="Times New Roman" w:hAnsi="Times New Roman" w:cs="Times New Roman"/>
                <w:color w:val="000000"/>
                <w:sz w:val="20"/>
                <w:szCs w:val="20"/>
                <w:lang w:val="en-US"/>
              </w:rPr>
            </w:pPr>
            <w:r w:rsidRPr="002C24A8">
              <w:rPr>
                <w:rFonts w:ascii="Times New Roman" w:eastAsia="Times New Roman" w:hAnsi="Times New Roman" w:cs="Times New Roman"/>
                <w:color w:val="000000"/>
                <w:sz w:val="20"/>
                <w:szCs w:val="20"/>
                <w:lang w:val="en-US"/>
              </w:rPr>
              <w:t>0.284</w:t>
            </w:r>
          </w:p>
        </w:tc>
        <w:tc>
          <w:tcPr>
            <w:tcW w:w="1154" w:type="pct"/>
            <w:gridSpan w:val="2"/>
            <w:tcBorders>
              <w:top w:val="nil"/>
              <w:left w:val="nil"/>
              <w:bottom w:val="single" w:sz="8" w:space="0" w:color="auto"/>
              <w:right w:val="nil"/>
            </w:tcBorders>
            <w:shd w:val="clear" w:color="auto" w:fill="auto"/>
            <w:noWrap/>
            <w:vAlign w:val="center"/>
            <w:hideMark/>
          </w:tcPr>
          <w:p w14:paraId="77D72935" w14:textId="77777777" w:rsidR="00954139" w:rsidRPr="002C24A8" w:rsidRDefault="00954139" w:rsidP="00954139">
            <w:pPr>
              <w:spacing w:after="0" w:line="240" w:lineRule="auto"/>
              <w:jc w:val="center"/>
              <w:rPr>
                <w:rFonts w:ascii="Times New Roman" w:eastAsia="Times New Roman" w:hAnsi="Times New Roman" w:cs="Times New Roman"/>
                <w:color w:val="000000"/>
                <w:sz w:val="20"/>
                <w:szCs w:val="20"/>
                <w:lang w:val="en-US"/>
              </w:rPr>
            </w:pPr>
            <w:r w:rsidRPr="002C24A8">
              <w:rPr>
                <w:rFonts w:ascii="Times New Roman" w:eastAsia="Times New Roman" w:hAnsi="Times New Roman" w:cs="Times New Roman"/>
                <w:color w:val="000000"/>
                <w:sz w:val="20"/>
                <w:szCs w:val="20"/>
                <w:lang w:val="en-US"/>
              </w:rPr>
              <w:t> </w:t>
            </w:r>
          </w:p>
        </w:tc>
        <w:tc>
          <w:tcPr>
            <w:tcW w:w="362" w:type="pct"/>
            <w:gridSpan w:val="2"/>
            <w:tcBorders>
              <w:top w:val="nil"/>
              <w:left w:val="nil"/>
              <w:bottom w:val="single" w:sz="8" w:space="0" w:color="auto"/>
              <w:right w:val="nil"/>
            </w:tcBorders>
            <w:shd w:val="clear" w:color="auto" w:fill="auto"/>
            <w:noWrap/>
            <w:vAlign w:val="center"/>
            <w:hideMark/>
          </w:tcPr>
          <w:p w14:paraId="1454C3A8" w14:textId="77777777" w:rsidR="00954139" w:rsidRPr="002C24A8" w:rsidRDefault="00954139" w:rsidP="00954139">
            <w:pPr>
              <w:spacing w:after="0" w:line="240" w:lineRule="auto"/>
              <w:jc w:val="center"/>
              <w:rPr>
                <w:rFonts w:ascii="Times New Roman" w:eastAsia="Times New Roman" w:hAnsi="Times New Roman" w:cs="Times New Roman"/>
                <w:color w:val="000000"/>
                <w:sz w:val="20"/>
                <w:szCs w:val="20"/>
                <w:lang w:val="en-US"/>
              </w:rPr>
            </w:pPr>
            <w:r w:rsidRPr="002C24A8">
              <w:rPr>
                <w:rFonts w:ascii="Times New Roman" w:eastAsia="Times New Roman" w:hAnsi="Times New Roman" w:cs="Times New Roman"/>
                <w:color w:val="000000"/>
                <w:sz w:val="20"/>
                <w:szCs w:val="20"/>
                <w:lang w:val="en-US"/>
              </w:rPr>
              <w:t>std</w:t>
            </w:r>
          </w:p>
        </w:tc>
        <w:tc>
          <w:tcPr>
            <w:tcW w:w="736" w:type="pct"/>
            <w:gridSpan w:val="2"/>
            <w:tcBorders>
              <w:top w:val="nil"/>
              <w:left w:val="nil"/>
              <w:bottom w:val="single" w:sz="8" w:space="0" w:color="auto"/>
              <w:right w:val="nil"/>
            </w:tcBorders>
            <w:shd w:val="clear" w:color="auto" w:fill="auto"/>
            <w:noWrap/>
            <w:vAlign w:val="center"/>
            <w:hideMark/>
          </w:tcPr>
          <w:p w14:paraId="12E2AFB8" w14:textId="77777777" w:rsidR="00954139" w:rsidRPr="002C24A8" w:rsidRDefault="00954139" w:rsidP="00954139">
            <w:pPr>
              <w:spacing w:after="0" w:line="240" w:lineRule="auto"/>
              <w:jc w:val="center"/>
              <w:rPr>
                <w:rFonts w:ascii="Times New Roman" w:eastAsia="Times New Roman" w:hAnsi="Times New Roman" w:cs="Times New Roman"/>
                <w:color w:val="000000"/>
                <w:sz w:val="20"/>
                <w:szCs w:val="20"/>
                <w:lang w:val="en-US"/>
              </w:rPr>
            </w:pPr>
            <w:r w:rsidRPr="002C24A8">
              <w:rPr>
                <w:rFonts w:ascii="Times New Roman" w:eastAsia="Times New Roman" w:hAnsi="Times New Roman" w:cs="Times New Roman"/>
                <w:color w:val="000000"/>
                <w:sz w:val="20"/>
                <w:szCs w:val="20"/>
                <w:lang w:val="en-US"/>
              </w:rPr>
              <w:t>0.114</w:t>
            </w:r>
          </w:p>
        </w:tc>
      </w:tr>
    </w:tbl>
    <w:p w14:paraId="32B49751" w14:textId="77777777" w:rsidR="001E1E78" w:rsidRPr="002C24A8" w:rsidRDefault="001E1E78" w:rsidP="00F1437D">
      <w:pPr>
        <w:jc w:val="both"/>
        <w:rPr>
          <w:rFonts w:ascii="Times New Roman" w:hAnsi="Times New Roman" w:cs="Times New Roman"/>
          <w:sz w:val="24"/>
          <w:szCs w:val="24"/>
          <w:lang w:val="en-US"/>
        </w:rPr>
      </w:pPr>
    </w:p>
    <w:p w14:paraId="551DCC0D" w14:textId="77777777" w:rsidR="00DB2A5A" w:rsidRPr="002C24A8" w:rsidRDefault="00DB2A5A" w:rsidP="00F1437D">
      <w:pPr>
        <w:jc w:val="both"/>
        <w:rPr>
          <w:rFonts w:ascii="Times New Roman" w:hAnsi="Times New Roman" w:cs="Times New Roman"/>
          <w:sz w:val="24"/>
          <w:szCs w:val="24"/>
          <w:lang w:val="en-US"/>
        </w:rPr>
      </w:pPr>
    </w:p>
    <w:p w14:paraId="7329EF74" w14:textId="77777777" w:rsidR="00DB2A5A" w:rsidRPr="002C24A8" w:rsidRDefault="00DB2A5A">
      <w:pPr>
        <w:rPr>
          <w:rFonts w:ascii="Times New Roman" w:hAnsi="Times New Roman" w:cs="Times New Roman"/>
          <w:sz w:val="24"/>
          <w:szCs w:val="24"/>
          <w:lang w:val="en-US"/>
        </w:rPr>
      </w:pPr>
      <w:r w:rsidRPr="002C24A8">
        <w:rPr>
          <w:rFonts w:ascii="Times New Roman" w:hAnsi="Times New Roman" w:cs="Times New Roman"/>
          <w:sz w:val="24"/>
          <w:szCs w:val="24"/>
          <w:lang w:val="en-US"/>
        </w:rPr>
        <w:br w:type="page"/>
      </w:r>
    </w:p>
    <w:p w14:paraId="2AD42217" w14:textId="77777777" w:rsidR="00DB2A5A" w:rsidRPr="002C24A8" w:rsidRDefault="00DB2A5A" w:rsidP="00F1437D">
      <w:pPr>
        <w:jc w:val="both"/>
        <w:rPr>
          <w:rFonts w:ascii="Times New Roman" w:hAnsi="Times New Roman" w:cs="Times New Roman"/>
          <w:sz w:val="24"/>
          <w:szCs w:val="24"/>
          <w:lang w:val="en-US"/>
        </w:rPr>
      </w:pPr>
      <w:r w:rsidRPr="002C24A8">
        <w:rPr>
          <w:rFonts w:ascii="Times New Roman" w:hAnsi="Times New Roman" w:cs="Times New Roman"/>
          <w:b/>
          <w:sz w:val="24"/>
          <w:szCs w:val="24"/>
          <w:lang w:val="en-US"/>
        </w:rPr>
        <w:lastRenderedPageBreak/>
        <w:t>Figure 2</w:t>
      </w:r>
      <w:r w:rsidRPr="002C24A8">
        <w:rPr>
          <w:rFonts w:ascii="Times New Roman" w:hAnsi="Times New Roman" w:cs="Times New Roman"/>
          <w:sz w:val="24"/>
          <w:szCs w:val="24"/>
          <w:lang w:val="en-US"/>
        </w:rPr>
        <w:t>: The effect of ESG criteria on firms’ innovation capacity</w:t>
      </w:r>
    </w:p>
    <w:tbl>
      <w:tblPr>
        <w:tblStyle w:val="TableGrid"/>
        <w:tblW w:w="5076" w:type="pct"/>
        <w:tblLook w:val="04A0" w:firstRow="1" w:lastRow="0" w:firstColumn="1" w:lastColumn="0" w:noHBand="0" w:noVBand="1"/>
      </w:tblPr>
      <w:tblGrid>
        <w:gridCol w:w="3223"/>
        <w:gridCol w:w="3396"/>
        <w:gridCol w:w="3396"/>
      </w:tblGrid>
      <w:tr w:rsidR="00507FF1" w:rsidRPr="00907DAC" w14:paraId="53695B20" w14:textId="77777777" w:rsidTr="00D91925">
        <w:tc>
          <w:tcPr>
            <w:tcW w:w="1547" w:type="pct"/>
          </w:tcPr>
          <w:p w14:paraId="272C8407" w14:textId="77777777" w:rsidR="00314F71" w:rsidRPr="002C24A8" w:rsidRDefault="00314F71" w:rsidP="00F1437D">
            <w:pPr>
              <w:jc w:val="both"/>
              <w:rPr>
                <w:rFonts w:ascii="Times New Roman" w:hAnsi="Times New Roman" w:cs="Times New Roman"/>
                <w:sz w:val="20"/>
                <w:szCs w:val="20"/>
                <w:lang w:val="en-US"/>
              </w:rPr>
            </w:pPr>
            <w:r w:rsidRPr="002C24A8">
              <w:rPr>
                <w:rFonts w:ascii="Times New Roman" w:hAnsi="Times New Roman" w:cs="Times New Roman"/>
                <w:sz w:val="20"/>
                <w:szCs w:val="20"/>
                <w:lang w:val="en-US"/>
              </w:rPr>
              <w:t>a</w:t>
            </w:r>
          </w:p>
          <w:p w14:paraId="71D1D8CE" w14:textId="77777777" w:rsidR="00DB2A5A" w:rsidRPr="002C24A8" w:rsidRDefault="00DB2A5A" w:rsidP="00F1437D">
            <w:pPr>
              <w:jc w:val="both"/>
              <w:rPr>
                <w:rFonts w:ascii="Times New Roman" w:hAnsi="Times New Roman" w:cs="Times New Roman"/>
                <w:sz w:val="20"/>
                <w:szCs w:val="20"/>
                <w:lang w:val="en-US"/>
              </w:rPr>
            </w:pPr>
            <w:r w:rsidRPr="002C24A8">
              <w:rPr>
                <w:noProof/>
                <w:sz w:val="20"/>
                <w:szCs w:val="20"/>
                <w:lang w:eastAsia="en-GB"/>
              </w:rPr>
              <w:drawing>
                <wp:inline distT="0" distB="0" distL="0" distR="0" wp14:anchorId="6D628ED2" wp14:editId="790E08F2">
                  <wp:extent cx="1838243" cy="1749670"/>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1860323" cy="1770686"/>
                          </a:xfrm>
                          <a:prstGeom prst="rect">
                            <a:avLst/>
                          </a:prstGeom>
                        </pic:spPr>
                      </pic:pic>
                    </a:graphicData>
                  </a:graphic>
                </wp:inline>
              </w:drawing>
            </w:r>
          </w:p>
        </w:tc>
        <w:tc>
          <w:tcPr>
            <w:tcW w:w="1689" w:type="pct"/>
          </w:tcPr>
          <w:p w14:paraId="1A7755FE" w14:textId="77777777" w:rsidR="00DB2A5A" w:rsidRPr="002C24A8" w:rsidRDefault="00314F71" w:rsidP="00F1437D">
            <w:pPr>
              <w:jc w:val="both"/>
              <w:rPr>
                <w:rFonts w:ascii="Times New Roman" w:hAnsi="Times New Roman" w:cs="Times New Roman"/>
                <w:sz w:val="20"/>
                <w:szCs w:val="20"/>
                <w:lang w:val="en-US"/>
              </w:rPr>
            </w:pPr>
            <w:r w:rsidRPr="002C24A8">
              <w:rPr>
                <w:rFonts w:ascii="Times New Roman" w:hAnsi="Times New Roman" w:cs="Times New Roman"/>
                <w:sz w:val="20"/>
                <w:szCs w:val="20"/>
                <w:lang w:val="en-US"/>
              </w:rPr>
              <w:t>b</w:t>
            </w:r>
            <w:r w:rsidR="008008F9" w:rsidRPr="002C24A8">
              <w:rPr>
                <w:noProof/>
                <w:sz w:val="20"/>
                <w:szCs w:val="20"/>
                <w:lang w:eastAsia="en-GB"/>
              </w:rPr>
              <w:drawing>
                <wp:inline distT="0" distB="0" distL="0" distR="0" wp14:anchorId="2A7A1318" wp14:editId="283B37D8">
                  <wp:extent cx="2013439" cy="1798973"/>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2046445" cy="1828463"/>
                          </a:xfrm>
                          <a:prstGeom prst="rect">
                            <a:avLst/>
                          </a:prstGeom>
                        </pic:spPr>
                      </pic:pic>
                    </a:graphicData>
                  </a:graphic>
                </wp:inline>
              </w:drawing>
            </w:r>
          </w:p>
        </w:tc>
        <w:tc>
          <w:tcPr>
            <w:tcW w:w="1764" w:type="pct"/>
          </w:tcPr>
          <w:p w14:paraId="6F2AAE30" w14:textId="77777777" w:rsidR="00DB2A5A" w:rsidRPr="002C24A8" w:rsidRDefault="00314F71" w:rsidP="00F1437D">
            <w:pPr>
              <w:jc w:val="both"/>
              <w:rPr>
                <w:rFonts w:ascii="Times New Roman" w:hAnsi="Times New Roman" w:cs="Times New Roman"/>
                <w:sz w:val="20"/>
                <w:szCs w:val="20"/>
                <w:lang w:val="en-US"/>
              </w:rPr>
            </w:pPr>
            <w:r w:rsidRPr="002C24A8">
              <w:rPr>
                <w:rFonts w:ascii="Times New Roman" w:hAnsi="Times New Roman" w:cs="Times New Roman"/>
                <w:sz w:val="20"/>
                <w:szCs w:val="20"/>
                <w:lang w:val="en-US"/>
              </w:rPr>
              <w:t>c</w:t>
            </w:r>
            <w:r w:rsidR="008008F9" w:rsidRPr="002C24A8">
              <w:rPr>
                <w:noProof/>
                <w:sz w:val="20"/>
                <w:szCs w:val="20"/>
                <w:lang w:eastAsia="en-GB"/>
              </w:rPr>
              <w:drawing>
                <wp:inline distT="0" distB="0" distL="0" distR="0" wp14:anchorId="02DA0ED2" wp14:editId="02774E5B">
                  <wp:extent cx="2013452" cy="1732085"/>
                  <wp:effectExtent l="0" t="0" r="635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2025290" cy="1742269"/>
                          </a:xfrm>
                          <a:prstGeom prst="rect">
                            <a:avLst/>
                          </a:prstGeom>
                        </pic:spPr>
                      </pic:pic>
                    </a:graphicData>
                  </a:graphic>
                </wp:inline>
              </w:drawing>
            </w:r>
          </w:p>
        </w:tc>
      </w:tr>
      <w:tr w:rsidR="00507FF1" w:rsidRPr="00907DAC" w14:paraId="75A868F7" w14:textId="77777777" w:rsidTr="00D91925">
        <w:tc>
          <w:tcPr>
            <w:tcW w:w="1547" w:type="pct"/>
          </w:tcPr>
          <w:p w14:paraId="0BD9C5DA" w14:textId="77777777" w:rsidR="00DB2A5A" w:rsidRPr="002C24A8" w:rsidRDefault="00314F71" w:rsidP="00F1437D">
            <w:pPr>
              <w:jc w:val="both"/>
              <w:rPr>
                <w:rFonts w:ascii="Times New Roman" w:hAnsi="Times New Roman" w:cs="Times New Roman"/>
                <w:sz w:val="20"/>
                <w:szCs w:val="20"/>
                <w:lang w:val="en-US"/>
              </w:rPr>
            </w:pPr>
            <w:r w:rsidRPr="002C24A8">
              <w:rPr>
                <w:rFonts w:ascii="Times New Roman" w:hAnsi="Times New Roman" w:cs="Times New Roman"/>
                <w:sz w:val="20"/>
                <w:szCs w:val="20"/>
                <w:lang w:val="en-US"/>
              </w:rPr>
              <w:t>d</w:t>
            </w:r>
            <w:r w:rsidR="00D91925" w:rsidRPr="002C24A8">
              <w:rPr>
                <w:noProof/>
                <w:sz w:val="20"/>
                <w:szCs w:val="20"/>
                <w:lang w:eastAsia="en-GB"/>
              </w:rPr>
              <w:drawing>
                <wp:inline distT="0" distB="0" distL="0" distR="0" wp14:anchorId="3605B827" wp14:editId="14767866">
                  <wp:extent cx="1909516" cy="1617784"/>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1927557" cy="1633069"/>
                          </a:xfrm>
                          <a:prstGeom prst="rect">
                            <a:avLst/>
                          </a:prstGeom>
                        </pic:spPr>
                      </pic:pic>
                    </a:graphicData>
                  </a:graphic>
                </wp:inline>
              </w:drawing>
            </w:r>
          </w:p>
        </w:tc>
        <w:tc>
          <w:tcPr>
            <w:tcW w:w="1689" w:type="pct"/>
          </w:tcPr>
          <w:p w14:paraId="3C87ECE6" w14:textId="77777777" w:rsidR="00DB2A5A" w:rsidRPr="002C24A8" w:rsidRDefault="00314F71" w:rsidP="00F1437D">
            <w:pPr>
              <w:jc w:val="both"/>
              <w:rPr>
                <w:rFonts w:ascii="Times New Roman" w:hAnsi="Times New Roman" w:cs="Times New Roman"/>
                <w:sz w:val="20"/>
                <w:szCs w:val="20"/>
                <w:lang w:val="en-US"/>
              </w:rPr>
            </w:pPr>
            <w:r w:rsidRPr="002C24A8">
              <w:rPr>
                <w:rFonts w:ascii="Times New Roman" w:hAnsi="Times New Roman" w:cs="Times New Roman"/>
                <w:sz w:val="20"/>
                <w:szCs w:val="20"/>
                <w:lang w:val="en-US"/>
              </w:rPr>
              <w:t>e</w:t>
            </w:r>
            <w:r w:rsidR="00262CB7" w:rsidRPr="002C24A8">
              <w:rPr>
                <w:noProof/>
                <w:sz w:val="20"/>
                <w:szCs w:val="20"/>
                <w:lang w:eastAsia="en-GB"/>
              </w:rPr>
              <w:drawing>
                <wp:inline distT="0" distB="0" distL="0" distR="0" wp14:anchorId="1FF590C9" wp14:editId="2AC03D8C">
                  <wp:extent cx="1888776" cy="18859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1902963" cy="1900116"/>
                          </a:xfrm>
                          <a:prstGeom prst="rect">
                            <a:avLst/>
                          </a:prstGeom>
                        </pic:spPr>
                      </pic:pic>
                    </a:graphicData>
                  </a:graphic>
                </wp:inline>
              </w:drawing>
            </w:r>
          </w:p>
        </w:tc>
        <w:tc>
          <w:tcPr>
            <w:tcW w:w="1764" w:type="pct"/>
          </w:tcPr>
          <w:p w14:paraId="45980FF1" w14:textId="77777777" w:rsidR="00DB2A5A" w:rsidRPr="002C24A8" w:rsidRDefault="00314F71" w:rsidP="00F1437D">
            <w:pPr>
              <w:jc w:val="both"/>
              <w:rPr>
                <w:rFonts w:ascii="Times New Roman" w:hAnsi="Times New Roman" w:cs="Times New Roman"/>
                <w:sz w:val="20"/>
                <w:szCs w:val="20"/>
                <w:lang w:val="en-US"/>
              </w:rPr>
            </w:pPr>
            <w:r w:rsidRPr="002C24A8">
              <w:rPr>
                <w:rFonts w:ascii="Times New Roman" w:hAnsi="Times New Roman" w:cs="Times New Roman"/>
                <w:sz w:val="20"/>
                <w:szCs w:val="20"/>
                <w:lang w:val="en-US"/>
              </w:rPr>
              <w:t>f</w:t>
            </w:r>
            <w:r w:rsidR="008D51C8" w:rsidRPr="002C24A8">
              <w:rPr>
                <w:noProof/>
                <w:sz w:val="20"/>
                <w:szCs w:val="20"/>
                <w:lang w:eastAsia="en-GB"/>
              </w:rPr>
              <w:drawing>
                <wp:inline distT="0" distB="0" distL="0" distR="0" wp14:anchorId="2C05E520" wp14:editId="7933B81D">
                  <wp:extent cx="1831539" cy="18288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1841679" cy="1838925"/>
                          </a:xfrm>
                          <a:prstGeom prst="rect">
                            <a:avLst/>
                          </a:prstGeom>
                        </pic:spPr>
                      </pic:pic>
                    </a:graphicData>
                  </a:graphic>
                </wp:inline>
              </w:drawing>
            </w:r>
          </w:p>
        </w:tc>
      </w:tr>
      <w:tr w:rsidR="00507FF1" w:rsidRPr="00907DAC" w14:paraId="65D230F9" w14:textId="77777777" w:rsidTr="00D91925">
        <w:tc>
          <w:tcPr>
            <w:tcW w:w="1547" w:type="pct"/>
          </w:tcPr>
          <w:p w14:paraId="58CFB275" w14:textId="77777777" w:rsidR="00314F71" w:rsidRPr="002C24A8" w:rsidRDefault="00314F71" w:rsidP="00F1437D">
            <w:pPr>
              <w:jc w:val="both"/>
              <w:rPr>
                <w:rFonts w:ascii="Times New Roman" w:hAnsi="Times New Roman" w:cs="Times New Roman"/>
                <w:sz w:val="20"/>
                <w:szCs w:val="20"/>
                <w:lang w:val="en-US"/>
              </w:rPr>
            </w:pPr>
            <w:r w:rsidRPr="002C24A8">
              <w:rPr>
                <w:rFonts w:ascii="Times New Roman" w:hAnsi="Times New Roman" w:cs="Times New Roman"/>
                <w:sz w:val="20"/>
                <w:szCs w:val="20"/>
                <w:lang w:val="en-US"/>
              </w:rPr>
              <w:t>g</w:t>
            </w:r>
          </w:p>
          <w:p w14:paraId="32FE0D8B" w14:textId="77777777" w:rsidR="00DB2A5A" w:rsidRPr="002C24A8" w:rsidRDefault="008D51C8" w:rsidP="00F1437D">
            <w:pPr>
              <w:jc w:val="both"/>
              <w:rPr>
                <w:rFonts w:ascii="Times New Roman" w:hAnsi="Times New Roman" w:cs="Times New Roman"/>
                <w:sz w:val="20"/>
                <w:szCs w:val="20"/>
                <w:lang w:val="en-US"/>
              </w:rPr>
            </w:pPr>
            <w:r w:rsidRPr="002C24A8">
              <w:rPr>
                <w:noProof/>
                <w:sz w:val="20"/>
                <w:szCs w:val="20"/>
                <w:lang w:eastAsia="en-GB"/>
              </w:rPr>
              <w:drawing>
                <wp:inline distT="0" distB="0" distL="0" distR="0" wp14:anchorId="502B3947" wp14:editId="254145AA">
                  <wp:extent cx="1776047" cy="1673773"/>
                  <wp:effectExtent l="0" t="0" r="0" b="317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1810643" cy="1706377"/>
                          </a:xfrm>
                          <a:prstGeom prst="rect">
                            <a:avLst/>
                          </a:prstGeom>
                        </pic:spPr>
                      </pic:pic>
                    </a:graphicData>
                  </a:graphic>
                </wp:inline>
              </w:drawing>
            </w:r>
          </w:p>
        </w:tc>
        <w:tc>
          <w:tcPr>
            <w:tcW w:w="1689" w:type="pct"/>
          </w:tcPr>
          <w:p w14:paraId="575A5B92" w14:textId="77777777" w:rsidR="00314F71" w:rsidRPr="002C24A8" w:rsidRDefault="00314F71" w:rsidP="00F1437D">
            <w:pPr>
              <w:jc w:val="both"/>
              <w:rPr>
                <w:rFonts w:ascii="Times New Roman" w:hAnsi="Times New Roman" w:cs="Times New Roman"/>
                <w:sz w:val="20"/>
                <w:szCs w:val="20"/>
                <w:lang w:val="en-US"/>
              </w:rPr>
            </w:pPr>
            <w:r w:rsidRPr="002C24A8">
              <w:rPr>
                <w:rFonts w:ascii="Times New Roman" w:hAnsi="Times New Roman" w:cs="Times New Roman"/>
                <w:sz w:val="20"/>
                <w:szCs w:val="20"/>
                <w:lang w:val="en-US"/>
              </w:rPr>
              <w:t>h</w:t>
            </w:r>
          </w:p>
          <w:p w14:paraId="4077D438" w14:textId="77777777" w:rsidR="00DB2A5A" w:rsidRPr="002C24A8" w:rsidRDefault="008D51C8" w:rsidP="00F1437D">
            <w:pPr>
              <w:jc w:val="both"/>
              <w:rPr>
                <w:rFonts w:ascii="Times New Roman" w:hAnsi="Times New Roman" w:cs="Times New Roman"/>
                <w:sz w:val="20"/>
                <w:szCs w:val="20"/>
                <w:lang w:val="en-US"/>
              </w:rPr>
            </w:pPr>
            <w:r w:rsidRPr="002C24A8">
              <w:rPr>
                <w:noProof/>
                <w:sz w:val="20"/>
                <w:szCs w:val="20"/>
                <w:lang w:eastAsia="en-GB"/>
              </w:rPr>
              <w:drawing>
                <wp:inline distT="0" distB="0" distL="0" distR="0" wp14:anchorId="541A61AC" wp14:editId="1321F84D">
                  <wp:extent cx="1796318" cy="1793631"/>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1806740" cy="1804038"/>
                          </a:xfrm>
                          <a:prstGeom prst="rect">
                            <a:avLst/>
                          </a:prstGeom>
                        </pic:spPr>
                      </pic:pic>
                    </a:graphicData>
                  </a:graphic>
                </wp:inline>
              </w:drawing>
            </w:r>
          </w:p>
        </w:tc>
        <w:tc>
          <w:tcPr>
            <w:tcW w:w="1764" w:type="pct"/>
          </w:tcPr>
          <w:p w14:paraId="50153C90" w14:textId="77777777" w:rsidR="00314F71" w:rsidRPr="002C24A8" w:rsidRDefault="00314F71" w:rsidP="00F1437D">
            <w:pPr>
              <w:jc w:val="both"/>
              <w:rPr>
                <w:rFonts w:ascii="Times New Roman" w:hAnsi="Times New Roman" w:cs="Times New Roman"/>
                <w:sz w:val="20"/>
                <w:szCs w:val="20"/>
                <w:lang w:val="en-US"/>
              </w:rPr>
            </w:pPr>
            <w:r w:rsidRPr="002C24A8">
              <w:rPr>
                <w:rFonts w:ascii="Times New Roman" w:hAnsi="Times New Roman" w:cs="Times New Roman"/>
                <w:sz w:val="20"/>
                <w:szCs w:val="20"/>
                <w:lang w:val="en-US"/>
              </w:rPr>
              <w:t>i</w:t>
            </w:r>
          </w:p>
          <w:p w14:paraId="59C14072" w14:textId="77777777" w:rsidR="00DB2A5A" w:rsidRPr="002C24A8" w:rsidRDefault="00507FF1" w:rsidP="00F1437D">
            <w:pPr>
              <w:jc w:val="both"/>
              <w:rPr>
                <w:rFonts w:ascii="Times New Roman" w:hAnsi="Times New Roman" w:cs="Times New Roman"/>
                <w:sz w:val="20"/>
                <w:szCs w:val="20"/>
                <w:lang w:val="en-US"/>
              </w:rPr>
            </w:pPr>
            <w:r w:rsidRPr="002C24A8">
              <w:rPr>
                <w:noProof/>
                <w:sz w:val="20"/>
                <w:szCs w:val="20"/>
                <w:lang w:eastAsia="en-GB"/>
              </w:rPr>
              <w:drawing>
                <wp:inline distT="0" distB="0" distL="0" distR="0" wp14:anchorId="193F5C45" wp14:editId="2EC382AF">
                  <wp:extent cx="1764763" cy="1762125"/>
                  <wp:effectExtent l="0" t="0" r="698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1788980" cy="1786306"/>
                          </a:xfrm>
                          <a:prstGeom prst="rect">
                            <a:avLst/>
                          </a:prstGeom>
                        </pic:spPr>
                      </pic:pic>
                    </a:graphicData>
                  </a:graphic>
                </wp:inline>
              </w:drawing>
            </w:r>
          </w:p>
        </w:tc>
      </w:tr>
      <w:tr w:rsidR="00507FF1" w:rsidRPr="00907DAC" w14:paraId="4B60B925" w14:textId="77777777" w:rsidTr="00704DBA">
        <w:trPr>
          <w:trHeight w:val="2990"/>
        </w:trPr>
        <w:tc>
          <w:tcPr>
            <w:tcW w:w="1547" w:type="pct"/>
          </w:tcPr>
          <w:p w14:paraId="4BADBF4F" w14:textId="77777777" w:rsidR="00314F71" w:rsidRPr="002C24A8" w:rsidRDefault="00314F71" w:rsidP="00F1437D">
            <w:pPr>
              <w:jc w:val="both"/>
              <w:rPr>
                <w:rFonts w:ascii="Times New Roman" w:hAnsi="Times New Roman" w:cs="Times New Roman"/>
                <w:sz w:val="20"/>
                <w:szCs w:val="20"/>
                <w:lang w:val="en-US"/>
              </w:rPr>
            </w:pPr>
            <w:r w:rsidRPr="002C24A8">
              <w:rPr>
                <w:rFonts w:ascii="Times New Roman" w:hAnsi="Times New Roman" w:cs="Times New Roman"/>
                <w:sz w:val="20"/>
                <w:szCs w:val="20"/>
                <w:lang w:val="en-US"/>
              </w:rPr>
              <w:t>j</w:t>
            </w:r>
          </w:p>
          <w:p w14:paraId="63912764" w14:textId="77777777" w:rsidR="00DB2A5A" w:rsidRPr="002C24A8" w:rsidRDefault="00B60AB0" w:rsidP="00F1437D">
            <w:pPr>
              <w:jc w:val="both"/>
              <w:rPr>
                <w:rFonts w:ascii="Times New Roman" w:hAnsi="Times New Roman" w:cs="Times New Roman"/>
                <w:sz w:val="20"/>
                <w:szCs w:val="20"/>
                <w:lang w:val="en-US"/>
              </w:rPr>
            </w:pPr>
            <w:r w:rsidRPr="002C24A8">
              <w:rPr>
                <w:noProof/>
                <w:sz w:val="20"/>
                <w:szCs w:val="20"/>
                <w:lang w:eastAsia="en-GB"/>
              </w:rPr>
              <w:drawing>
                <wp:inline distT="0" distB="0" distL="0" distR="0" wp14:anchorId="1D792F38" wp14:editId="4D15414C">
                  <wp:extent cx="1736090" cy="1634247"/>
                  <wp:effectExtent l="0" t="0" r="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1756971" cy="1653903"/>
                          </a:xfrm>
                          <a:prstGeom prst="rect">
                            <a:avLst/>
                          </a:prstGeom>
                        </pic:spPr>
                      </pic:pic>
                    </a:graphicData>
                  </a:graphic>
                </wp:inline>
              </w:drawing>
            </w:r>
          </w:p>
        </w:tc>
        <w:tc>
          <w:tcPr>
            <w:tcW w:w="1689" w:type="pct"/>
          </w:tcPr>
          <w:p w14:paraId="52A12488" w14:textId="77777777" w:rsidR="00314F71" w:rsidRPr="002C24A8" w:rsidRDefault="00314F71" w:rsidP="00F1437D">
            <w:pPr>
              <w:jc w:val="both"/>
              <w:rPr>
                <w:rFonts w:ascii="Times New Roman" w:hAnsi="Times New Roman" w:cs="Times New Roman"/>
                <w:sz w:val="20"/>
                <w:szCs w:val="20"/>
                <w:lang w:val="en-US"/>
              </w:rPr>
            </w:pPr>
            <w:r w:rsidRPr="002C24A8">
              <w:rPr>
                <w:rFonts w:ascii="Times New Roman" w:hAnsi="Times New Roman" w:cs="Times New Roman"/>
                <w:sz w:val="20"/>
                <w:szCs w:val="20"/>
                <w:lang w:val="en-US"/>
              </w:rPr>
              <w:t>k</w:t>
            </w:r>
          </w:p>
          <w:p w14:paraId="0B036341" w14:textId="77777777" w:rsidR="00DB2A5A" w:rsidRPr="002C24A8" w:rsidRDefault="007A3822" w:rsidP="00F1437D">
            <w:pPr>
              <w:jc w:val="both"/>
              <w:rPr>
                <w:rFonts w:ascii="Times New Roman" w:hAnsi="Times New Roman" w:cs="Times New Roman"/>
                <w:sz w:val="20"/>
                <w:szCs w:val="20"/>
                <w:lang w:val="en-US"/>
              </w:rPr>
            </w:pPr>
            <w:r w:rsidRPr="002C24A8">
              <w:rPr>
                <w:noProof/>
                <w:sz w:val="20"/>
                <w:szCs w:val="20"/>
                <w:lang w:eastAsia="en-GB"/>
              </w:rPr>
              <w:drawing>
                <wp:inline distT="0" distB="0" distL="0" distR="0" wp14:anchorId="4376E52A" wp14:editId="43424CF5">
                  <wp:extent cx="1801604" cy="1682885"/>
                  <wp:effectExtent l="0" t="0" r="825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1840925" cy="1719615"/>
                          </a:xfrm>
                          <a:prstGeom prst="rect">
                            <a:avLst/>
                          </a:prstGeom>
                        </pic:spPr>
                      </pic:pic>
                    </a:graphicData>
                  </a:graphic>
                </wp:inline>
              </w:drawing>
            </w:r>
          </w:p>
        </w:tc>
        <w:tc>
          <w:tcPr>
            <w:tcW w:w="1764" w:type="pct"/>
          </w:tcPr>
          <w:p w14:paraId="1C037308" w14:textId="77777777" w:rsidR="00DB2A5A" w:rsidRPr="002C24A8" w:rsidRDefault="00DB2A5A" w:rsidP="00F1437D">
            <w:pPr>
              <w:jc w:val="both"/>
              <w:rPr>
                <w:rFonts w:ascii="Times New Roman" w:hAnsi="Times New Roman" w:cs="Times New Roman"/>
                <w:sz w:val="20"/>
                <w:szCs w:val="20"/>
                <w:lang w:val="en-US"/>
              </w:rPr>
            </w:pPr>
          </w:p>
        </w:tc>
      </w:tr>
    </w:tbl>
    <w:p w14:paraId="58ABA5F8" w14:textId="77777777" w:rsidR="00DB2A5A" w:rsidRPr="002C24A8" w:rsidRDefault="00DB2A5A" w:rsidP="00F1437D">
      <w:pPr>
        <w:jc w:val="both"/>
        <w:rPr>
          <w:rFonts w:ascii="Times New Roman" w:hAnsi="Times New Roman" w:cs="Times New Roman"/>
          <w:sz w:val="24"/>
          <w:szCs w:val="24"/>
          <w:lang w:val="en-US"/>
        </w:rPr>
      </w:pPr>
    </w:p>
    <w:sectPr w:rsidR="00DB2A5A" w:rsidRPr="002C24A8">
      <w:footerReference w:type="default" r:id="rId6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487278" w14:textId="77777777" w:rsidR="00FE7251" w:rsidRDefault="00FE7251" w:rsidP="00FF0E79">
      <w:pPr>
        <w:spacing w:after="0" w:line="240" w:lineRule="auto"/>
      </w:pPr>
      <w:r>
        <w:separator/>
      </w:r>
    </w:p>
  </w:endnote>
  <w:endnote w:type="continuationSeparator" w:id="0">
    <w:p w14:paraId="2005D67B" w14:textId="77777777" w:rsidR="00FE7251" w:rsidRDefault="00FE7251" w:rsidP="00FF0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3545638"/>
      <w:docPartObj>
        <w:docPartGallery w:val="Page Numbers (Bottom of Page)"/>
        <w:docPartUnique/>
      </w:docPartObj>
    </w:sdtPr>
    <w:sdtEndPr>
      <w:rPr>
        <w:noProof/>
      </w:rPr>
    </w:sdtEndPr>
    <w:sdtContent>
      <w:p w14:paraId="2B82D57F" w14:textId="5CE52577" w:rsidR="00593E51" w:rsidRDefault="00593E51">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773447DD" w14:textId="77777777" w:rsidR="00907DAC" w:rsidRDefault="00907D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AE72D" w14:textId="77777777" w:rsidR="00FE7251" w:rsidRDefault="00FE7251" w:rsidP="00FF0E79">
      <w:pPr>
        <w:spacing w:after="0" w:line="240" w:lineRule="auto"/>
      </w:pPr>
      <w:r>
        <w:separator/>
      </w:r>
    </w:p>
  </w:footnote>
  <w:footnote w:type="continuationSeparator" w:id="0">
    <w:p w14:paraId="1BB48148" w14:textId="77777777" w:rsidR="00FE7251" w:rsidRDefault="00FE7251" w:rsidP="00FF0E79">
      <w:pPr>
        <w:spacing w:after="0" w:line="240" w:lineRule="auto"/>
      </w:pPr>
      <w:r>
        <w:continuationSeparator/>
      </w:r>
    </w:p>
  </w:footnote>
  <w:footnote w:id="1">
    <w:p w14:paraId="7128307A" w14:textId="49976DAD" w:rsidR="00907DAC" w:rsidRPr="002C24A8" w:rsidRDefault="00907DAC">
      <w:pPr>
        <w:pStyle w:val="FootnoteText"/>
        <w:rPr>
          <w:lang w:val="en-US"/>
        </w:rPr>
      </w:pPr>
      <w:r w:rsidRPr="002C24A8">
        <w:rPr>
          <w:rStyle w:val="FootnoteReference"/>
          <w:lang w:val="en-US"/>
        </w:rPr>
        <w:footnoteRef/>
      </w:r>
      <w:r w:rsidRPr="002C24A8">
        <w:rPr>
          <w:lang w:val="en-US"/>
        </w:rPr>
        <w:t xml:space="preserve"> Environmental, Social and Governance (ESG) is composite index (score) which is provided by Bloomberg and is used as a proxy of firms’ engagement on CSR activities (Gillan et al.,2010). </w:t>
      </w:r>
      <w:bookmarkStart w:id="4" w:name="_Hlk7340698"/>
      <w:r w:rsidRPr="002C24A8">
        <w:rPr>
          <w:lang w:val="en-US"/>
        </w:rPr>
        <w:t>More specifically, one might think of CSR as a subjective and broadly encompassing notion, with imprecisely defined (or fuzzy) boundaries. Conversely, ESG scores are objectively and consistently defined measures permitting like-for-like measurement of firm-specific CSR activities. ESG and CSR are intimately connected though it should be recognised that CSR may encompass additional activities that either are not, or cannot be, reflected in standard ESG scores processes.</w:t>
      </w:r>
      <w:bookmarkEnd w:id="4"/>
    </w:p>
  </w:footnote>
  <w:footnote w:id="2">
    <w:p w14:paraId="4A49F518" w14:textId="683CF392" w:rsidR="00907DAC" w:rsidRPr="002C24A8" w:rsidRDefault="00907DAC" w:rsidP="00CB5D95">
      <w:pPr>
        <w:pStyle w:val="FootnoteText"/>
        <w:rPr>
          <w:lang w:val="en-US"/>
        </w:rPr>
      </w:pPr>
      <w:r w:rsidRPr="002C24A8">
        <w:rPr>
          <w:rStyle w:val="FootnoteReference"/>
          <w:lang w:val="en-US"/>
        </w:rPr>
        <w:footnoteRef/>
      </w:r>
      <w:r w:rsidRPr="002C24A8">
        <w:rPr>
          <w:lang w:val="en-US"/>
        </w:rPr>
        <w:t xml:space="preserve"> Similarly, Mahoney and Roberts (2007) in their literature review argue that CSR practices can have an either positive, negative or neutral unidirectional effect on firms’ financial performance.</w:t>
      </w:r>
    </w:p>
  </w:footnote>
  <w:footnote w:id="3">
    <w:p w14:paraId="3CA47F19" w14:textId="21F45BC2" w:rsidR="00907DAC" w:rsidRPr="002C24A8" w:rsidRDefault="00907DAC">
      <w:pPr>
        <w:pStyle w:val="FootnoteText"/>
        <w:rPr>
          <w:lang w:val="en-US"/>
        </w:rPr>
      </w:pPr>
      <w:r w:rsidRPr="002C24A8">
        <w:rPr>
          <w:rStyle w:val="FootnoteReference"/>
          <w:lang w:val="en-US"/>
        </w:rPr>
        <w:footnoteRef/>
      </w:r>
      <w:r w:rsidRPr="002C24A8">
        <w:rPr>
          <w:lang w:val="en-US"/>
        </w:rPr>
        <w:t xml:space="preserve"> Similarly, Waddock and Graves (1997) demonstrate that the conflicting results presented in the related literature can be rather attributed (among other factors) to the different CSR measures that are adopted.</w:t>
      </w:r>
    </w:p>
  </w:footnote>
  <w:footnote w:id="4">
    <w:p w14:paraId="68748D9C" w14:textId="213DD5FB" w:rsidR="00907DAC" w:rsidRPr="002C24A8" w:rsidRDefault="00907DAC" w:rsidP="00166F2A">
      <w:pPr>
        <w:pStyle w:val="FootnoteText"/>
        <w:rPr>
          <w:lang w:val="en-US"/>
        </w:rPr>
      </w:pPr>
      <w:r w:rsidRPr="002C24A8">
        <w:rPr>
          <w:rStyle w:val="FootnoteReference"/>
          <w:lang w:val="en-US"/>
        </w:rPr>
        <w:footnoteRef/>
      </w:r>
      <w:r w:rsidRPr="002C24A8">
        <w:rPr>
          <w:lang w:val="en-US"/>
        </w:rPr>
        <w:t xml:space="preserve"> It should be noted that Rennings and Rammer (2011) examine firms in Germany and could not provide evidence of a positive impact of environmental regulation on firms’ innovation capacity. These results may reflect the inherently complex relationship between regulation and innovation capacity.</w:t>
      </w:r>
      <w:r w:rsidRPr="009E1CD6">
        <w:rPr>
          <w:lang w:val="en-US"/>
        </w:rPr>
        <w:t xml:space="preserve"> Lioui and Sharma (2012) support the view that there is an indirect effect of CSR activities on firm performance through the reinforcement of firms’ R&amp;D activities.</w:t>
      </w:r>
    </w:p>
  </w:footnote>
  <w:footnote w:id="5">
    <w:p w14:paraId="663931DB" w14:textId="3471646F" w:rsidR="00907DAC" w:rsidRPr="002C24A8" w:rsidRDefault="00907DAC">
      <w:pPr>
        <w:pStyle w:val="FootnoteText"/>
        <w:rPr>
          <w:lang w:val="en-US"/>
        </w:rPr>
      </w:pPr>
      <w:r w:rsidRPr="002C24A8">
        <w:rPr>
          <w:rStyle w:val="FootnoteReference"/>
          <w:lang w:val="en-US"/>
        </w:rPr>
        <w:footnoteRef/>
      </w:r>
      <w:r w:rsidRPr="002C24A8">
        <w:rPr>
          <w:lang w:val="en-US"/>
        </w:rPr>
        <w:t xml:space="preserve"> For instance, Reverte et al. (2016) for the case of Spain using a sample of 133 eco-responsible firms provide evidence that the adopted CSR policies had a direct effect on their performance and innovation capacity. Ueki et al. (2016) using questionnaire survey data on Thai trucking firms provide empirical evidence of a positive significant effect of firms’ CSR activities on innovation.</w:t>
      </w:r>
    </w:p>
  </w:footnote>
  <w:footnote w:id="6">
    <w:p w14:paraId="766247A4" w14:textId="5391D3AA" w:rsidR="00907DAC" w:rsidRPr="00907DAC" w:rsidRDefault="00907DAC" w:rsidP="002C24A8">
      <w:pPr>
        <w:autoSpaceDE w:val="0"/>
        <w:autoSpaceDN w:val="0"/>
        <w:adjustRightInd w:val="0"/>
        <w:spacing w:after="0" w:line="240" w:lineRule="auto"/>
        <w:rPr>
          <w:lang w:val="en-US"/>
        </w:rPr>
      </w:pPr>
      <w:r w:rsidRPr="002C24A8">
        <w:rPr>
          <w:rStyle w:val="FootnoteReference"/>
          <w:rFonts w:ascii="Times New Roman" w:hAnsi="Times New Roman" w:cs="Times New Roman"/>
          <w:sz w:val="20"/>
          <w:szCs w:val="20"/>
          <w:lang w:val="en-US"/>
        </w:rPr>
        <w:footnoteRef/>
      </w:r>
      <w:r w:rsidRPr="002C24A8">
        <w:rPr>
          <w:rFonts w:ascii="Times New Roman" w:hAnsi="Times New Roman" w:cs="Times New Roman"/>
          <w:sz w:val="20"/>
          <w:szCs w:val="20"/>
          <w:lang w:val="en-US"/>
        </w:rPr>
        <w:t xml:space="preserve"> Forsman (2011) highlights an important distinction in her work by exploring the difference between innovation capacity and capability. Pointing to Amit and Schoemaker (1993) who define resources as stocks of available factors that are owned or controlled by an organization, she defines capabilities as the capacity to deploy the resources of an organization. As a result, the innovation capabilities have an impact on innovation capacity.</w:t>
      </w:r>
    </w:p>
  </w:footnote>
  <w:footnote w:id="7">
    <w:p w14:paraId="2541A077" w14:textId="77777777" w:rsidR="00907DAC" w:rsidRPr="002C24A8" w:rsidRDefault="00907DAC" w:rsidP="00426F2E">
      <w:pPr>
        <w:pStyle w:val="FootnoteText"/>
        <w:rPr>
          <w:lang w:val="en-US"/>
        </w:rPr>
      </w:pPr>
      <w:r w:rsidRPr="002C24A8">
        <w:rPr>
          <w:rStyle w:val="FootnoteReference"/>
          <w:lang w:val="en-US"/>
        </w:rPr>
        <w:footnoteRef/>
      </w:r>
      <w:r w:rsidRPr="002C24A8">
        <w:rPr>
          <w:lang w:val="en-US"/>
        </w:rPr>
        <w:t xml:space="preserve"> Hakos and Skouloudis (2018, 294-295) compiled an overview of composite measures of innovation capability:      </w:t>
      </w:r>
    </w:p>
    <w:p w14:paraId="427E99AC" w14:textId="36C53FEB" w:rsidR="00907DAC" w:rsidRPr="002C24A8" w:rsidRDefault="00907DAC" w:rsidP="00426F2E">
      <w:pPr>
        <w:pStyle w:val="FootnoteText"/>
        <w:rPr>
          <w:lang w:val="en-US"/>
        </w:rPr>
      </w:pPr>
      <w:r w:rsidRPr="002C24A8">
        <w:rPr>
          <w:lang w:val="en-US"/>
        </w:rPr>
        <w:t xml:space="preserve">   (a) the </w:t>
      </w:r>
      <w:r w:rsidRPr="002C24A8">
        <w:rPr>
          <w:i/>
          <w:lang w:val="en-US"/>
        </w:rPr>
        <w:t>World Economic Forum (WEF)</w:t>
      </w:r>
      <w:r w:rsidRPr="002C24A8">
        <w:rPr>
          <w:lang w:val="en-US"/>
        </w:rPr>
        <w:t xml:space="preserve"> macro-level innovation potential is assessed through a composite measure examining: (i) Capacity for innovation, describing how companies in a country obtain technology; i.e. by licensing or imitating foreign companies vs. by conducting formal R&amp;D and new product development; (ii) Quality of scientific research institutions; (iii) company R&amp;D spending; (iv) University-industry collaboration in R&amp;D; (v) government procurement of advanced technology products; (vi) availability of scientists and engineers; (vii) patent applications per million population.</w:t>
      </w:r>
    </w:p>
    <w:p w14:paraId="444CCFBB" w14:textId="7CAAE0CA" w:rsidR="00907DAC" w:rsidRPr="002C24A8" w:rsidRDefault="00907DAC" w:rsidP="00426F2E">
      <w:pPr>
        <w:pStyle w:val="FootnoteText"/>
        <w:rPr>
          <w:lang w:val="en-US"/>
        </w:rPr>
      </w:pPr>
      <w:r w:rsidRPr="002C24A8">
        <w:rPr>
          <w:lang w:val="en-US"/>
        </w:rPr>
        <w:t xml:space="preserve">   (b) INSEAD's </w:t>
      </w:r>
      <w:r w:rsidRPr="002C24A8">
        <w:rPr>
          <w:i/>
          <w:lang w:val="en-US"/>
        </w:rPr>
        <w:t>Global Innovation Index (GII)</w:t>
      </w:r>
      <w:r w:rsidRPr="002C24A8">
        <w:rPr>
          <w:lang w:val="en-US"/>
        </w:rPr>
        <w:t xml:space="preserve"> captures enabling conditions facilitating innovation and the innovation outcomes: (i) Institutions, via attraction of business opportunities, fostering growth through good governance, adequate protection and incentives for innovation; (ii) human capital, i.e. the level and standard of education and research activity; (iii) infrastructure, esp. information and communication technologies, energy supply and dissemination-quality of general infrastructure; (iv) market sophistication, i.e., access to credit, investment funds and international markets; (v) business sophistication, via the employment of highly qualified professionals-technicians; (vi) knowledge and technology outputs, i.e., patent applications, utility model applications as well as scientific and technical articles; (vii) creative outputs, including creative intangibles.</w:t>
      </w:r>
    </w:p>
    <w:p w14:paraId="38CB6DF8" w14:textId="318A53DB" w:rsidR="00907DAC" w:rsidRPr="002C24A8" w:rsidRDefault="00907DAC" w:rsidP="00426F2E">
      <w:pPr>
        <w:pStyle w:val="FootnoteText"/>
        <w:rPr>
          <w:lang w:val="en-US"/>
        </w:rPr>
      </w:pPr>
      <w:r w:rsidRPr="002C24A8">
        <w:rPr>
          <w:lang w:val="en-US"/>
        </w:rPr>
        <w:t xml:space="preserve">   (c) the </w:t>
      </w:r>
      <w:r w:rsidRPr="002C24A8">
        <w:rPr>
          <w:i/>
          <w:lang w:val="en-US"/>
        </w:rPr>
        <w:t>Innovation Capacity Index (ICI),</w:t>
      </w:r>
      <w:r w:rsidRPr="002C24A8">
        <w:rPr>
          <w:lang w:val="en-US"/>
        </w:rPr>
        <w:t xml:space="preserve"> proposed by the European Business School, covers five variables: (i) Institutional environment, i.e., good governance and effective country policy assessment; (ii) human capital training and social inclusion, i.e., level of education system as well as social inclusion and equity policies; (iii) regulatory and legal framework facilitating doing business; (iv) R&amp;D, assessing available infrastructure and workforce, plus registered patents, trademark applications and royalty-license fees; (v) adoption and use of information and communication technologies.</w:t>
      </w:r>
    </w:p>
  </w:footnote>
  <w:footnote w:id="8">
    <w:p w14:paraId="6A81B5C7" w14:textId="6B9B0819" w:rsidR="00907DAC" w:rsidRPr="002C24A8" w:rsidRDefault="00907DAC">
      <w:pPr>
        <w:pStyle w:val="FootnoteText"/>
        <w:rPr>
          <w:lang w:val="en-US"/>
        </w:rPr>
      </w:pPr>
      <w:r w:rsidRPr="002C24A8">
        <w:rPr>
          <w:rStyle w:val="FootnoteReference"/>
          <w:lang w:val="en-US"/>
        </w:rPr>
        <w:footnoteRef/>
      </w:r>
      <w:r w:rsidRPr="002C24A8">
        <w:rPr>
          <w:lang w:val="en-US"/>
        </w:rPr>
        <w:t xml:space="preserve"> We thank an anonymous referee for reminding us that the decision to disclose CSR activities may not be perfectly correlated with actual CSR activities. There is a possible scenario in which firms engage in CSR activities but never report them. We acknowledge this possibility, but within the scope of our data we are unable to explore this possibility more carefully. We note however that our sample is restricted to reporting firms only, limiting the influence to our analysis.</w:t>
      </w:r>
    </w:p>
  </w:footnote>
  <w:footnote w:id="9">
    <w:p w14:paraId="656A87B7" w14:textId="40B959F7" w:rsidR="00907DAC" w:rsidRPr="002C24A8" w:rsidRDefault="00907DAC">
      <w:pPr>
        <w:pStyle w:val="FootnoteText"/>
        <w:rPr>
          <w:lang w:val="en-US"/>
        </w:rPr>
      </w:pPr>
      <w:r w:rsidRPr="002C24A8">
        <w:rPr>
          <w:rStyle w:val="FootnoteReference"/>
          <w:lang w:val="en-US"/>
        </w:rPr>
        <w:footnoteRef/>
      </w:r>
      <w:r w:rsidRPr="002C24A8">
        <w:rPr>
          <w:lang w:val="en-US"/>
        </w:rPr>
        <w:t xml:space="preserve"> As discussed in the literature review, we recognize that this is not the only possible measure for CSP, but it has the distinct advantage of being consistently measured, which is an important pre-requisite for comparability. While different indicators might give rise to quantitative differences, we do not anticipate they would result in any qualitative challenge to our main findings.</w:t>
      </w:r>
    </w:p>
  </w:footnote>
  <w:footnote w:id="10">
    <w:p w14:paraId="2DD8A771" w14:textId="22E8E63A" w:rsidR="00907DAC" w:rsidRPr="002C24A8" w:rsidRDefault="00907DAC">
      <w:pPr>
        <w:pStyle w:val="FootnoteText"/>
        <w:rPr>
          <w:lang w:val="en-US"/>
        </w:rPr>
      </w:pPr>
      <w:r w:rsidRPr="002C24A8">
        <w:rPr>
          <w:rStyle w:val="FootnoteReference"/>
          <w:lang w:val="en-US"/>
        </w:rPr>
        <w:footnoteRef/>
      </w:r>
      <w:r w:rsidRPr="002C24A8">
        <w:rPr>
          <w:lang w:val="en-US"/>
        </w:rPr>
        <w:t xml:space="preserve"> Even though we have a relatively large sample 2880 observations we estimate a simple production function and in order to minimize the well-known dimensionality problem (Dyson et al., 2001 ; Wilson, 2018). </w:t>
      </w:r>
    </w:p>
  </w:footnote>
  <w:footnote w:id="11">
    <w:p w14:paraId="6B9C5BE9" w14:textId="77777777" w:rsidR="00907DAC" w:rsidRPr="002C24A8" w:rsidRDefault="00907DAC" w:rsidP="00FF0E79">
      <w:pPr>
        <w:pStyle w:val="FootnoteText"/>
        <w:jc w:val="both"/>
        <w:rPr>
          <w:lang w:val="en-US"/>
        </w:rPr>
      </w:pPr>
      <w:r w:rsidRPr="002C24A8">
        <w:rPr>
          <w:rStyle w:val="FootnoteReference"/>
          <w:lang w:val="en-US"/>
        </w:rPr>
        <w:footnoteRef/>
      </w:r>
      <w:r w:rsidRPr="002C24A8">
        <w:rPr>
          <w:lang w:val="en-US"/>
        </w:rPr>
        <w:t xml:space="preserve">Assuming free disposability and convexity of the production set (see, Shephard 1970) the measurement of efficiency can be obtained by linear programming estimators, known as data envelopment analysis-DEA estimators (Charnes et al. 1978). </w:t>
      </w:r>
    </w:p>
  </w:footnote>
  <w:footnote w:id="12">
    <w:p w14:paraId="687EECE2" w14:textId="77777777" w:rsidR="00907DAC" w:rsidRPr="002C24A8" w:rsidRDefault="00907DAC" w:rsidP="00FF0E79">
      <w:pPr>
        <w:pStyle w:val="FootnoteText"/>
        <w:rPr>
          <w:lang w:val="en-US"/>
        </w:rPr>
      </w:pPr>
      <w:r w:rsidRPr="002C24A8">
        <w:rPr>
          <w:rStyle w:val="FootnoteReference"/>
          <w:lang w:val="en-US"/>
        </w:rPr>
        <w:footnoteRef/>
      </w:r>
      <w:r w:rsidRPr="002C24A8">
        <w:rPr>
          <w:lang w:val="en-US"/>
        </w:rPr>
        <w:t>For the asymptotic properties of conditional measures see the study by Jeong et al. (2010).</w:t>
      </w:r>
    </w:p>
  </w:footnote>
  <w:footnote w:id="13">
    <w:p w14:paraId="68528206" w14:textId="29C92913" w:rsidR="00907DAC" w:rsidRPr="002C24A8" w:rsidRDefault="00907DAC">
      <w:pPr>
        <w:pStyle w:val="FootnoteText"/>
        <w:rPr>
          <w:lang w:val="en-US"/>
        </w:rPr>
      </w:pPr>
      <w:r w:rsidRPr="002C24A8">
        <w:rPr>
          <w:rStyle w:val="FootnoteReference"/>
          <w:lang w:val="en-US"/>
        </w:rPr>
        <w:footnoteRef/>
      </w:r>
      <w:r w:rsidRPr="002C24A8">
        <w:rPr>
          <w:lang w:val="en-US"/>
        </w:rPr>
        <w:t xml:space="preserve">Based on Simar and Wilson (2007, 2011) and Daraio et al. (2018), in our estimation we assume that the separability assumption does not hold.  </w:t>
      </w:r>
    </w:p>
  </w:footnote>
  <w:footnote w:id="14">
    <w:p w14:paraId="40531DE9" w14:textId="77777777" w:rsidR="00907DAC" w:rsidRPr="002C24A8" w:rsidRDefault="00907DAC" w:rsidP="00FF0E79">
      <w:pPr>
        <w:pStyle w:val="FootnoteText"/>
        <w:jc w:val="both"/>
        <w:rPr>
          <w:lang w:val="en-US"/>
        </w:rPr>
      </w:pPr>
      <w:r w:rsidRPr="002C24A8">
        <w:rPr>
          <w:rStyle w:val="FootnoteReference"/>
          <w:lang w:val="en-US"/>
        </w:rPr>
        <w:footnoteRef/>
      </w:r>
      <w:r w:rsidRPr="002C24A8">
        <w:rPr>
          <w:lang w:val="en-US"/>
        </w:rPr>
        <w:t>The calculation of the full and partial frontiers (both for the conditional and the unconditional measures) several LP programs were carried out using ‘FEAR’ which is an integrated program in ‘R’ language (Wilson 2008).</w:t>
      </w:r>
    </w:p>
  </w:footnote>
  <w:footnote w:id="15">
    <w:p w14:paraId="4FAF458A" w14:textId="77777777" w:rsidR="00907DAC" w:rsidRPr="002C24A8" w:rsidRDefault="00907DAC" w:rsidP="00FF0E79">
      <w:pPr>
        <w:pStyle w:val="FootnoteText"/>
        <w:jc w:val="both"/>
        <w:rPr>
          <w:lang w:val="en-US"/>
        </w:rPr>
      </w:pPr>
      <w:r w:rsidRPr="002C24A8">
        <w:rPr>
          <w:rStyle w:val="FootnoteReference"/>
          <w:lang w:val="en-US"/>
        </w:rPr>
        <w:footnoteRef/>
      </w:r>
      <w:r w:rsidRPr="002C24A8">
        <w:rPr>
          <w:lang w:val="en-US"/>
        </w:rPr>
        <w:t xml:space="preserve">This requires smoothing through appropriate bandwidths using Kernels with compact support. See the study by Bădin et al. (2010) for computational issues regarding the choice of the optimal bandwidth based on least squares cross-validation (LSCV) criterion (Hall et al. 2004; Li and Racine 2004, 2007).    </w:t>
      </w:r>
    </w:p>
  </w:footnote>
  <w:footnote w:id="16">
    <w:p w14:paraId="120BAD6E" w14:textId="77777777" w:rsidR="00907DAC" w:rsidRPr="002C24A8" w:rsidRDefault="00907DAC" w:rsidP="00FF0E79">
      <w:pPr>
        <w:pStyle w:val="FootnoteText"/>
        <w:jc w:val="both"/>
        <w:rPr>
          <w:lang w:val="en-US"/>
        </w:rPr>
      </w:pPr>
      <w:r w:rsidRPr="002C24A8">
        <w:rPr>
          <w:rStyle w:val="FootnoteReference"/>
          <w:lang w:val="en-US"/>
        </w:rPr>
        <w:footnoteRef/>
      </w:r>
      <w:r w:rsidRPr="002C24A8">
        <w:rPr>
          <w:lang w:val="en-US"/>
        </w:rPr>
        <w:t>The 'time' variable is discrete; therefore, discrete kernels have been used following Mastromarco and Simar (2015).</w:t>
      </w:r>
    </w:p>
  </w:footnote>
  <w:footnote w:id="17">
    <w:p w14:paraId="650916D2" w14:textId="77777777" w:rsidR="00907DAC" w:rsidRPr="002C24A8" w:rsidRDefault="00907DAC" w:rsidP="00B2684A">
      <w:pPr>
        <w:pStyle w:val="FootnoteText"/>
        <w:rPr>
          <w:lang w:val="en-US"/>
        </w:rPr>
      </w:pPr>
      <w:r w:rsidRPr="002C24A8">
        <w:rPr>
          <w:rStyle w:val="FootnoteReference"/>
          <w:lang w:val="en-US"/>
        </w:rPr>
        <w:footnoteRef/>
      </w:r>
      <w:r w:rsidRPr="002C24A8">
        <w:rPr>
          <w:lang w:val="en-US"/>
        </w:rPr>
        <w:t>According to Shao and Lin (2016) the estimated technological change reveals firms’ innovation capacity levels.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A6F08"/>
    <w:multiLevelType w:val="hybridMultilevel"/>
    <w:tmpl w:val="BA361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43102C"/>
    <w:multiLevelType w:val="hybridMultilevel"/>
    <w:tmpl w:val="DAD4A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211674"/>
    <w:multiLevelType w:val="hybridMultilevel"/>
    <w:tmpl w:val="3810163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6E0187"/>
    <w:multiLevelType w:val="hybridMultilevel"/>
    <w:tmpl w:val="7B9699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91A"/>
    <w:rsid w:val="00004E8F"/>
    <w:rsid w:val="000052B0"/>
    <w:rsid w:val="00006FB4"/>
    <w:rsid w:val="00017086"/>
    <w:rsid w:val="00024D76"/>
    <w:rsid w:val="0003261F"/>
    <w:rsid w:val="000347FE"/>
    <w:rsid w:val="00050265"/>
    <w:rsid w:val="000664EF"/>
    <w:rsid w:val="00076B77"/>
    <w:rsid w:val="000950AB"/>
    <w:rsid w:val="000B142E"/>
    <w:rsid w:val="000D629E"/>
    <w:rsid w:val="000E1DE5"/>
    <w:rsid w:val="000E3BB3"/>
    <w:rsid w:val="000E6C6E"/>
    <w:rsid w:val="000F50D8"/>
    <w:rsid w:val="000F7E2A"/>
    <w:rsid w:val="001018CF"/>
    <w:rsid w:val="00104F87"/>
    <w:rsid w:val="0010594E"/>
    <w:rsid w:val="00106316"/>
    <w:rsid w:val="001240B8"/>
    <w:rsid w:val="0012468F"/>
    <w:rsid w:val="00124A62"/>
    <w:rsid w:val="00141C57"/>
    <w:rsid w:val="00143B60"/>
    <w:rsid w:val="00146EEB"/>
    <w:rsid w:val="001575B0"/>
    <w:rsid w:val="00163BB9"/>
    <w:rsid w:val="00166F2A"/>
    <w:rsid w:val="00173488"/>
    <w:rsid w:val="00173B2C"/>
    <w:rsid w:val="001812EC"/>
    <w:rsid w:val="001847DD"/>
    <w:rsid w:val="0019528A"/>
    <w:rsid w:val="00196664"/>
    <w:rsid w:val="001A1384"/>
    <w:rsid w:val="001A1400"/>
    <w:rsid w:val="001A29F3"/>
    <w:rsid w:val="001B2B8F"/>
    <w:rsid w:val="001B4FCE"/>
    <w:rsid w:val="001B54D8"/>
    <w:rsid w:val="001D0913"/>
    <w:rsid w:val="001E1E78"/>
    <w:rsid w:val="001E6CF0"/>
    <w:rsid w:val="001E7C96"/>
    <w:rsid w:val="00202521"/>
    <w:rsid w:val="00206F9D"/>
    <w:rsid w:val="00207273"/>
    <w:rsid w:val="00211080"/>
    <w:rsid w:val="00211172"/>
    <w:rsid w:val="002176C4"/>
    <w:rsid w:val="002202ED"/>
    <w:rsid w:val="002225C8"/>
    <w:rsid w:val="002275B8"/>
    <w:rsid w:val="00242966"/>
    <w:rsid w:val="0024379C"/>
    <w:rsid w:val="002459DD"/>
    <w:rsid w:val="00245A7A"/>
    <w:rsid w:val="00255F20"/>
    <w:rsid w:val="00257BF1"/>
    <w:rsid w:val="00257FF9"/>
    <w:rsid w:val="00261553"/>
    <w:rsid w:val="002619AF"/>
    <w:rsid w:val="00262C8B"/>
    <w:rsid w:val="00262CB7"/>
    <w:rsid w:val="002636C4"/>
    <w:rsid w:val="0027744A"/>
    <w:rsid w:val="00277BC1"/>
    <w:rsid w:val="00287997"/>
    <w:rsid w:val="00287C6E"/>
    <w:rsid w:val="0029126A"/>
    <w:rsid w:val="00294878"/>
    <w:rsid w:val="002A2B43"/>
    <w:rsid w:val="002A4E6B"/>
    <w:rsid w:val="002B2030"/>
    <w:rsid w:val="002C24A8"/>
    <w:rsid w:val="002D2644"/>
    <w:rsid w:val="002D4D97"/>
    <w:rsid w:val="002F42D3"/>
    <w:rsid w:val="002F45F3"/>
    <w:rsid w:val="002F6C92"/>
    <w:rsid w:val="00303192"/>
    <w:rsid w:val="00305CE1"/>
    <w:rsid w:val="00306592"/>
    <w:rsid w:val="00311662"/>
    <w:rsid w:val="00314F71"/>
    <w:rsid w:val="00316FF3"/>
    <w:rsid w:val="0032569E"/>
    <w:rsid w:val="003267FC"/>
    <w:rsid w:val="003309B6"/>
    <w:rsid w:val="003371D1"/>
    <w:rsid w:val="003404D9"/>
    <w:rsid w:val="003449C1"/>
    <w:rsid w:val="003450E3"/>
    <w:rsid w:val="003457DC"/>
    <w:rsid w:val="00356115"/>
    <w:rsid w:val="0036030F"/>
    <w:rsid w:val="00360EBA"/>
    <w:rsid w:val="003642E6"/>
    <w:rsid w:val="00380E1F"/>
    <w:rsid w:val="00383CE8"/>
    <w:rsid w:val="003928FA"/>
    <w:rsid w:val="00393E06"/>
    <w:rsid w:val="00394194"/>
    <w:rsid w:val="003A618B"/>
    <w:rsid w:val="003B1EBC"/>
    <w:rsid w:val="003B4910"/>
    <w:rsid w:val="003B5822"/>
    <w:rsid w:val="003D3A65"/>
    <w:rsid w:val="003D428F"/>
    <w:rsid w:val="003F0360"/>
    <w:rsid w:val="003F2547"/>
    <w:rsid w:val="003F3E36"/>
    <w:rsid w:val="004060CF"/>
    <w:rsid w:val="00417407"/>
    <w:rsid w:val="00424643"/>
    <w:rsid w:val="00426F2E"/>
    <w:rsid w:val="004319A7"/>
    <w:rsid w:val="004445DB"/>
    <w:rsid w:val="004535D6"/>
    <w:rsid w:val="00462401"/>
    <w:rsid w:val="004628C2"/>
    <w:rsid w:val="00462D45"/>
    <w:rsid w:val="00464BB7"/>
    <w:rsid w:val="0046776E"/>
    <w:rsid w:val="00474457"/>
    <w:rsid w:val="00476DE7"/>
    <w:rsid w:val="00481BFC"/>
    <w:rsid w:val="00485CD7"/>
    <w:rsid w:val="00487359"/>
    <w:rsid w:val="00493EC3"/>
    <w:rsid w:val="0049421F"/>
    <w:rsid w:val="004A0CB3"/>
    <w:rsid w:val="004B17B8"/>
    <w:rsid w:val="004B475F"/>
    <w:rsid w:val="004B5125"/>
    <w:rsid w:val="004B6E96"/>
    <w:rsid w:val="004D571F"/>
    <w:rsid w:val="004D7EA5"/>
    <w:rsid w:val="004E15D5"/>
    <w:rsid w:val="004F31D9"/>
    <w:rsid w:val="004F37AC"/>
    <w:rsid w:val="004F401F"/>
    <w:rsid w:val="004F610F"/>
    <w:rsid w:val="00503CB1"/>
    <w:rsid w:val="00504A2E"/>
    <w:rsid w:val="00507FF1"/>
    <w:rsid w:val="00516A15"/>
    <w:rsid w:val="0052163F"/>
    <w:rsid w:val="00531410"/>
    <w:rsid w:val="0053291A"/>
    <w:rsid w:val="00536421"/>
    <w:rsid w:val="00544A73"/>
    <w:rsid w:val="00556389"/>
    <w:rsid w:val="00556C78"/>
    <w:rsid w:val="0056557C"/>
    <w:rsid w:val="005668B4"/>
    <w:rsid w:val="00584C3D"/>
    <w:rsid w:val="00586160"/>
    <w:rsid w:val="00593E51"/>
    <w:rsid w:val="00596663"/>
    <w:rsid w:val="00597C81"/>
    <w:rsid w:val="005B5C08"/>
    <w:rsid w:val="005C3672"/>
    <w:rsid w:val="005C4B8B"/>
    <w:rsid w:val="005C5360"/>
    <w:rsid w:val="005D0BEA"/>
    <w:rsid w:val="005D1C4B"/>
    <w:rsid w:val="005D568A"/>
    <w:rsid w:val="005E10EA"/>
    <w:rsid w:val="005F4432"/>
    <w:rsid w:val="005F6DD6"/>
    <w:rsid w:val="00604E1C"/>
    <w:rsid w:val="00611E77"/>
    <w:rsid w:val="00613933"/>
    <w:rsid w:val="006155E1"/>
    <w:rsid w:val="00635B7C"/>
    <w:rsid w:val="00637747"/>
    <w:rsid w:val="00637BFE"/>
    <w:rsid w:val="00641B52"/>
    <w:rsid w:val="006513E0"/>
    <w:rsid w:val="00663607"/>
    <w:rsid w:val="00663B1B"/>
    <w:rsid w:val="00677ECF"/>
    <w:rsid w:val="00681DE6"/>
    <w:rsid w:val="00685659"/>
    <w:rsid w:val="006960EE"/>
    <w:rsid w:val="006A47BF"/>
    <w:rsid w:val="006B7D57"/>
    <w:rsid w:val="006C3C5A"/>
    <w:rsid w:val="006C3E1E"/>
    <w:rsid w:val="006D243F"/>
    <w:rsid w:val="006D52D6"/>
    <w:rsid w:val="006D58C9"/>
    <w:rsid w:val="006D5FBC"/>
    <w:rsid w:val="006D719B"/>
    <w:rsid w:val="006E4CA4"/>
    <w:rsid w:val="006E6D86"/>
    <w:rsid w:val="006F3921"/>
    <w:rsid w:val="00704DBA"/>
    <w:rsid w:val="00706A49"/>
    <w:rsid w:val="00720501"/>
    <w:rsid w:val="007249AE"/>
    <w:rsid w:val="007272DC"/>
    <w:rsid w:val="0073295E"/>
    <w:rsid w:val="00735305"/>
    <w:rsid w:val="0074044E"/>
    <w:rsid w:val="00745F30"/>
    <w:rsid w:val="00747112"/>
    <w:rsid w:val="00747281"/>
    <w:rsid w:val="0075530E"/>
    <w:rsid w:val="007573D8"/>
    <w:rsid w:val="00760F64"/>
    <w:rsid w:val="007630BC"/>
    <w:rsid w:val="00771696"/>
    <w:rsid w:val="00776987"/>
    <w:rsid w:val="0077750D"/>
    <w:rsid w:val="007837FF"/>
    <w:rsid w:val="00786C02"/>
    <w:rsid w:val="00790390"/>
    <w:rsid w:val="007A18A8"/>
    <w:rsid w:val="007A3822"/>
    <w:rsid w:val="007A40CE"/>
    <w:rsid w:val="007A643C"/>
    <w:rsid w:val="007B20B6"/>
    <w:rsid w:val="007C567B"/>
    <w:rsid w:val="007D14F1"/>
    <w:rsid w:val="007D5CC3"/>
    <w:rsid w:val="007D67CE"/>
    <w:rsid w:val="007E3267"/>
    <w:rsid w:val="007F4FA0"/>
    <w:rsid w:val="008008F9"/>
    <w:rsid w:val="008013CC"/>
    <w:rsid w:val="00802AC0"/>
    <w:rsid w:val="00803B18"/>
    <w:rsid w:val="00813020"/>
    <w:rsid w:val="008148B3"/>
    <w:rsid w:val="00820B76"/>
    <w:rsid w:val="0082432E"/>
    <w:rsid w:val="0082470A"/>
    <w:rsid w:val="008338F8"/>
    <w:rsid w:val="008340DE"/>
    <w:rsid w:val="00836FA2"/>
    <w:rsid w:val="008408E1"/>
    <w:rsid w:val="00843FEF"/>
    <w:rsid w:val="008474D4"/>
    <w:rsid w:val="0086352D"/>
    <w:rsid w:val="008701CF"/>
    <w:rsid w:val="00871748"/>
    <w:rsid w:val="00874AAA"/>
    <w:rsid w:val="00895FBC"/>
    <w:rsid w:val="008A0430"/>
    <w:rsid w:val="008A4587"/>
    <w:rsid w:val="008A5F42"/>
    <w:rsid w:val="008C1F44"/>
    <w:rsid w:val="008C2A84"/>
    <w:rsid w:val="008C7169"/>
    <w:rsid w:val="008C7B43"/>
    <w:rsid w:val="008D51C8"/>
    <w:rsid w:val="008E67CD"/>
    <w:rsid w:val="008E6DE2"/>
    <w:rsid w:val="008F0D97"/>
    <w:rsid w:val="00900176"/>
    <w:rsid w:val="00900CE5"/>
    <w:rsid w:val="009073D0"/>
    <w:rsid w:val="00907DAC"/>
    <w:rsid w:val="00913AD5"/>
    <w:rsid w:val="0092613F"/>
    <w:rsid w:val="0093641A"/>
    <w:rsid w:val="009405EE"/>
    <w:rsid w:val="009501E8"/>
    <w:rsid w:val="00951363"/>
    <w:rsid w:val="00951A30"/>
    <w:rsid w:val="00952FC3"/>
    <w:rsid w:val="00954139"/>
    <w:rsid w:val="0095616C"/>
    <w:rsid w:val="0096227F"/>
    <w:rsid w:val="00970701"/>
    <w:rsid w:val="009772C4"/>
    <w:rsid w:val="00994104"/>
    <w:rsid w:val="00994DBF"/>
    <w:rsid w:val="0099775A"/>
    <w:rsid w:val="009A2891"/>
    <w:rsid w:val="009B286C"/>
    <w:rsid w:val="009B4908"/>
    <w:rsid w:val="009C4AA0"/>
    <w:rsid w:val="009E0A9B"/>
    <w:rsid w:val="009E0FC8"/>
    <w:rsid w:val="009E1CD6"/>
    <w:rsid w:val="009E266C"/>
    <w:rsid w:val="009E3CE4"/>
    <w:rsid w:val="009E4189"/>
    <w:rsid w:val="009E46E1"/>
    <w:rsid w:val="009F0FB5"/>
    <w:rsid w:val="009F6865"/>
    <w:rsid w:val="009F6C14"/>
    <w:rsid w:val="009F7C5A"/>
    <w:rsid w:val="00A00C7E"/>
    <w:rsid w:val="00A021F2"/>
    <w:rsid w:val="00A036E7"/>
    <w:rsid w:val="00A03779"/>
    <w:rsid w:val="00A23DDD"/>
    <w:rsid w:val="00A27B1A"/>
    <w:rsid w:val="00A31526"/>
    <w:rsid w:val="00A33C3A"/>
    <w:rsid w:val="00A34961"/>
    <w:rsid w:val="00A36D99"/>
    <w:rsid w:val="00A41368"/>
    <w:rsid w:val="00A467EF"/>
    <w:rsid w:val="00A5179F"/>
    <w:rsid w:val="00A5729D"/>
    <w:rsid w:val="00A57E59"/>
    <w:rsid w:val="00A6413B"/>
    <w:rsid w:val="00A6788E"/>
    <w:rsid w:val="00A73589"/>
    <w:rsid w:val="00A75D2C"/>
    <w:rsid w:val="00A8778E"/>
    <w:rsid w:val="00A953DD"/>
    <w:rsid w:val="00AA0B0E"/>
    <w:rsid w:val="00AA0E0C"/>
    <w:rsid w:val="00AA3187"/>
    <w:rsid w:val="00AA6B71"/>
    <w:rsid w:val="00AB04D7"/>
    <w:rsid w:val="00AB0A5B"/>
    <w:rsid w:val="00AB2F2D"/>
    <w:rsid w:val="00AB6135"/>
    <w:rsid w:val="00AC23B1"/>
    <w:rsid w:val="00AC3350"/>
    <w:rsid w:val="00AD042C"/>
    <w:rsid w:val="00AD1C27"/>
    <w:rsid w:val="00AD299B"/>
    <w:rsid w:val="00AD3975"/>
    <w:rsid w:val="00AE64E1"/>
    <w:rsid w:val="00AF19C0"/>
    <w:rsid w:val="00AF6452"/>
    <w:rsid w:val="00B01B19"/>
    <w:rsid w:val="00B01D81"/>
    <w:rsid w:val="00B0445D"/>
    <w:rsid w:val="00B10E1D"/>
    <w:rsid w:val="00B2684A"/>
    <w:rsid w:val="00B307A5"/>
    <w:rsid w:val="00B3339B"/>
    <w:rsid w:val="00B37FFC"/>
    <w:rsid w:val="00B42949"/>
    <w:rsid w:val="00B45A05"/>
    <w:rsid w:val="00B60AB0"/>
    <w:rsid w:val="00B740E6"/>
    <w:rsid w:val="00B8032A"/>
    <w:rsid w:val="00B8534A"/>
    <w:rsid w:val="00B933FE"/>
    <w:rsid w:val="00B9417B"/>
    <w:rsid w:val="00BA45E9"/>
    <w:rsid w:val="00BA6E28"/>
    <w:rsid w:val="00BB48CF"/>
    <w:rsid w:val="00BD3C3A"/>
    <w:rsid w:val="00BE4537"/>
    <w:rsid w:val="00BE7855"/>
    <w:rsid w:val="00C01FFA"/>
    <w:rsid w:val="00C0314B"/>
    <w:rsid w:val="00C07EDC"/>
    <w:rsid w:val="00C141BD"/>
    <w:rsid w:val="00C23F2A"/>
    <w:rsid w:val="00C252A2"/>
    <w:rsid w:val="00C4640A"/>
    <w:rsid w:val="00C67C4F"/>
    <w:rsid w:val="00C71718"/>
    <w:rsid w:val="00C729BA"/>
    <w:rsid w:val="00C81B6C"/>
    <w:rsid w:val="00C82A2A"/>
    <w:rsid w:val="00C97093"/>
    <w:rsid w:val="00CA0175"/>
    <w:rsid w:val="00CA7952"/>
    <w:rsid w:val="00CB1777"/>
    <w:rsid w:val="00CB5D95"/>
    <w:rsid w:val="00CB64AA"/>
    <w:rsid w:val="00CC40FD"/>
    <w:rsid w:val="00CC7610"/>
    <w:rsid w:val="00CD2A17"/>
    <w:rsid w:val="00CD3088"/>
    <w:rsid w:val="00CD6D8D"/>
    <w:rsid w:val="00CE6B18"/>
    <w:rsid w:val="00CF17D0"/>
    <w:rsid w:val="00CF6E86"/>
    <w:rsid w:val="00D064FB"/>
    <w:rsid w:val="00D11D96"/>
    <w:rsid w:val="00D17039"/>
    <w:rsid w:val="00D3047E"/>
    <w:rsid w:val="00D35A40"/>
    <w:rsid w:val="00D37A6C"/>
    <w:rsid w:val="00D41ADA"/>
    <w:rsid w:val="00D631B3"/>
    <w:rsid w:val="00D7484C"/>
    <w:rsid w:val="00D77680"/>
    <w:rsid w:val="00D91925"/>
    <w:rsid w:val="00D939DC"/>
    <w:rsid w:val="00DA6A46"/>
    <w:rsid w:val="00DB2A5A"/>
    <w:rsid w:val="00DB49C1"/>
    <w:rsid w:val="00DC72D1"/>
    <w:rsid w:val="00DD146F"/>
    <w:rsid w:val="00DD3D24"/>
    <w:rsid w:val="00DD4C18"/>
    <w:rsid w:val="00DE19BA"/>
    <w:rsid w:val="00DE5531"/>
    <w:rsid w:val="00DE5C10"/>
    <w:rsid w:val="00E07C4C"/>
    <w:rsid w:val="00E11D5D"/>
    <w:rsid w:val="00E13CB7"/>
    <w:rsid w:val="00E14805"/>
    <w:rsid w:val="00E14FAF"/>
    <w:rsid w:val="00E15846"/>
    <w:rsid w:val="00E164B7"/>
    <w:rsid w:val="00E170A1"/>
    <w:rsid w:val="00E236C7"/>
    <w:rsid w:val="00E2749E"/>
    <w:rsid w:val="00E35330"/>
    <w:rsid w:val="00E4324D"/>
    <w:rsid w:val="00E471C3"/>
    <w:rsid w:val="00E501E4"/>
    <w:rsid w:val="00E64D13"/>
    <w:rsid w:val="00E900D1"/>
    <w:rsid w:val="00E9191B"/>
    <w:rsid w:val="00E94D13"/>
    <w:rsid w:val="00EA4C6F"/>
    <w:rsid w:val="00EA7EDA"/>
    <w:rsid w:val="00EA7F22"/>
    <w:rsid w:val="00EC4E07"/>
    <w:rsid w:val="00EE2B57"/>
    <w:rsid w:val="00EE4CD5"/>
    <w:rsid w:val="00EF2296"/>
    <w:rsid w:val="00EF316A"/>
    <w:rsid w:val="00F06D5A"/>
    <w:rsid w:val="00F1252D"/>
    <w:rsid w:val="00F12B50"/>
    <w:rsid w:val="00F12CB8"/>
    <w:rsid w:val="00F1437D"/>
    <w:rsid w:val="00F222DD"/>
    <w:rsid w:val="00F3724B"/>
    <w:rsid w:val="00F428F3"/>
    <w:rsid w:val="00F44556"/>
    <w:rsid w:val="00F556ED"/>
    <w:rsid w:val="00F716A3"/>
    <w:rsid w:val="00F85EC4"/>
    <w:rsid w:val="00F919F4"/>
    <w:rsid w:val="00F92354"/>
    <w:rsid w:val="00F9404C"/>
    <w:rsid w:val="00FA30DD"/>
    <w:rsid w:val="00FA765C"/>
    <w:rsid w:val="00FB773D"/>
    <w:rsid w:val="00FC0D15"/>
    <w:rsid w:val="00FC7D5A"/>
    <w:rsid w:val="00FE41DF"/>
    <w:rsid w:val="00FE4390"/>
    <w:rsid w:val="00FE7251"/>
    <w:rsid w:val="00FF071F"/>
    <w:rsid w:val="00FF08A2"/>
    <w:rsid w:val="00FF0E79"/>
    <w:rsid w:val="00FF7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D32BC"/>
  <w15:chartTrackingRefBased/>
  <w15:docId w15:val="{AEFF17BF-644A-4EBF-9CE4-C78485F84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box-example">
    <w:name w:val="dbox-example"/>
    <w:basedOn w:val="DefaultParagraphFont"/>
    <w:rsid w:val="007B20B6"/>
  </w:style>
  <w:style w:type="paragraph" w:styleId="FootnoteText">
    <w:name w:val="footnote text"/>
    <w:aliases w:val="Char, Char"/>
    <w:basedOn w:val="Normal"/>
    <w:link w:val="FootnoteTextChar1"/>
    <w:semiHidden/>
    <w:rsid w:val="00FF0E79"/>
    <w:pPr>
      <w:spacing w:after="0" w:line="240" w:lineRule="auto"/>
    </w:pPr>
    <w:rPr>
      <w:rFonts w:ascii="Times New Roman" w:eastAsia="Times New Roman" w:hAnsi="Times New Roman" w:cs="Times New Roman"/>
      <w:sz w:val="20"/>
      <w:szCs w:val="20"/>
      <w:lang w:val="fr-FR" w:eastAsia="el-GR"/>
    </w:rPr>
  </w:style>
  <w:style w:type="character" w:customStyle="1" w:styleId="FootnoteTextChar">
    <w:name w:val="Footnote Text Char"/>
    <w:basedOn w:val="DefaultParagraphFont"/>
    <w:rsid w:val="00FF0E79"/>
    <w:rPr>
      <w:sz w:val="20"/>
      <w:szCs w:val="20"/>
    </w:rPr>
  </w:style>
  <w:style w:type="character" w:customStyle="1" w:styleId="FootnoteTextChar1">
    <w:name w:val="Footnote Text Char1"/>
    <w:aliases w:val="Char Char, Char Char"/>
    <w:link w:val="FootnoteText"/>
    <w:semiHidden/>
    <w:locked/>
    <w:rsid w:val="00FF0E79"/>
    <w:rPr>
      <w:rFonts w:ascii="Times New Roman" w:eastAsia="Times New Roman" w:hAnsi="Times New Roman" w:cs="Times New Roman"/>
      <w:sz w:val="20"/>
      <w:szCs w:val="20"/>
      <w:lang w:val="fr-FR" w:eastAsia="el-GR"/>
    </w:rPr>
  </w:style>
  <w:style w:type="character" w:styleId="FootnoteReference">
    <w:name w:val="footnote reference"/>
    <w:basedOn w:val="DefaultParagraphFont"/>
    <w:rsid w:val="00FF0E79"/>
    <w:rPr>
      <w:vertAlign w:val="superscript"/>
    </w:rPr>
  </w:style>
  <w:style w:type="character" w:styleId="PlaceholderText">
    <w:name w:val="Placeholder Text"/>
    <w:basedOn w:val="DefaultParagraphFont"/>
    <w:uiPriority w:val="99"/>
    <w:semiHidden/>
    <w:rsid w:val="00287C6E"/>
    <w:rPr>
      <w:color w:val="808080"/>
    </w:rPr>
  </w:style>
  <w:style w:type="table" w:styleId="TableGrid">
    <w:name w:val="Table Grid"/>
    <w:basedOn w:val="TableNormal"/>
    <w:uiPriority w:val="39"/>
    <w:rsid w:val="001E1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5CD7"/>
    <w:rPr>
      <w:color w:val="0563C1" w:themeColor="hyperlink"/>
      <w:u w:val="single"/>
    </w:rPr>
  </w:style>
  <w:style w:type="paragraph" w:styleId="Header">
    <w:name w:val="header"/>
    <w:basedOn w:val="Normal"/>
    <w:link w:val="HeaderChar"/>
    <w:uiPriority w:val="99"/>
    <w:unhideWhenUsed/>
    <w:rsid w:val="00D41ADA"/>
    <w:pPr>
      <w:tabs>
        <w:tab w:val="center" w:pos="4153"/>
        <w:tab w:val="right" w:pos="8306"/>
      </w:tabs>
      <w:spacing w:after="0" w:line="240" w:lineRule="auto"/>
    </w:pPr>
  </w:style>
  <w:style w:type="character" w:customStyle="1" w:styleId="HeaderChar">
    <w:name w:val="Header Char"/>
    <w:basedOn w:val="DefaultParagraphFont"/>
    <w:link w:val="Header"/>
    <w:uiPriority w:val="99"/>
    <w:rsid w:val="00D41ADA"/>
  </w:style>
  <w:style w:type="paragraph" w:styleId="Footer">
    <w:name w:val="footer"/>
    <w:basedOn w:val="Normal"/>
    <w:link w:val="FooterChar"/>
    <w:uiPriority w:val="99"/>
    <w:unhideWhenUsed/>
    <w:rsid w:val="00D41ADA"/>
    <w:pPr>
      <w:tabs>
        <w:tab w:val="center" w:pos="4153"/>
        <w:tab w:val="right" w:pos="8306"/>
      </w:tabs>
      <w:spacing w:after="0" w:line="240" w:lineRule="auto"/>
    </w:pPr>
  </w:style>
  <w:style w:type="character" w:customStyle="1" w:styleId="FooterChar">
    <w:name w:val="Footer Char"/>
    <w:basedOn w:val="DefaultParagraphFont"/>
    <w:link w:val="Footer"/>
    <w:uiPriority w:val="99"/>
    <w:rsid w:val="00D41ADA"/>
  </w:style>
  <w:style w:type="paragraph" w:styleId="BalloonText">
    <w:name w:val="Balloon Text"/>
    <w:basedOn w:val="Normal"/>
    <w:link w:val="BalloonTextChar"/>
    <w:uiPriority w:val="99"/>
    <w:semiHidden/>
    <w:unhideWhenUsed/>
    <w:rsid w:val="00D41A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ADA"/>
    <w:rPr>
      <w:rFonts w:ascii="Segoe UI" w:hAnsi="Segoe UI" w:cs="Segoe UI"/>
      <w:sz w:val="18"/>
      <w:szCs w:val="18"/>
    </w:rPr>
  </w:style>
  <w:style w:type="paragraph" w:styleId="ListParagraph">
    <w:name w:val="List Paragraph"/>
    <w:basedOn w:val="Normal"/>
    <w:uiPriority w:val="34"/>
    <w:qFormat/>
    <w:rsid w:val="00D631B3"/>
    <w:pPr>
      <w:ind w:left="720"/>
      <w:contextualSpacing/>
    </w:pPr>
  </w:style>
  <w:style w:type="character" w:styleId="CommentReference">
    <w:name w:val="annotation reference"/>
    <w:basedOn w:val="DefaultParagraphFont"/>
    <w:uiPriority w:val="99"/>
    <w:semiHidden/>
    <w:unhideWhenUsed/>
    <w:rsid w:val="00635B7C"/>
    <w:rPr>
      <w:sz w:val="16"/>
      <w:szCs w:val="16"/>
    </w:rPr>
  </w:style>
  <w:style w:type="paragraph" w:styleId="CommentText">
    <w:name w:val="annotation text"/>
    <w:basedOn w:val="Normal"/>
    <w:link w:val="CommentTextChar"/>
    <w:uiPriority w:val="99"/>
    <w:semiHidden/>
    <w:unhideWhenUsed/>
    <w:rsid w:val="00635B7C"/>
    <w:pPr>
      <w:spacing w:line="240" w:lineRule="auto"/>
    </w:pPr>
    <w:rPr>
      <w:sz w:val="20"/>
      <w:szCs w:val="20"/>
    </w:rPr>
  </w:style>
  <w:style w:type="character" w:customStyle="1" w:styleId="CommentTextChar">
    <w:name w:val="Comment Text Char"/>
    <w:basedOn w:val="DefaultParagraphFont"/>
    <w:link w:val="CommentText"/>
    <w:uiPriority w:val="99"/>
    <w:semiHidden/>
    <w:rsid w:val="00635B7C"/>
    <w:rPr>
      <w:sz w:val="20"/>
      <w:szCs w:val="20"/>
    </w:rPr>
  </w:style>
  <w:style w:type="paragraph" w:styleId="CommentSubject">
    <w:name w:val="annotation subject"/>
    <w:basedOn w:val="CommentText"/>
    <w:next w:val="CommentText"/>
    <w:link w:val="CommentSubjectChar"/>
    <w:uiPriority w:val="99"/>
    <w:semiHidden/>
    <w:unhideWhenUsed/>
    <w:rsid w:val="00635B7C"/>
    <w:rPr>
      <w:b/>
      <w:bCs/>
    </w:rPr>
  </w:style>
  <w:style w:type="character" w:customStyle="1" w:styleId="CommentSubjectChar">
    <w:name w:val="Comment Subject Char"/>
    <w:basedOn w:val="CommentTextChar"/>
    <w:link w:val="CommentSubject"/>
    <w:uiPriority w:val="99"/>
    <w:semiHidden/>
    <w:rsid w:val="00635B7C"/>
    <w:rPr>
      <w:b/>
      <w:bCs/>
      <w:sz w:val="20"/>
      <w:szCs w:val="20"/>
    </w:rPr>
  </w:style>
  <w:style w:type="character" w:customStyle="1" w:styleId="UnresolvedMention1">
    <w:name w:val="Unresolved Mention1"/>
    <w:basedOn w:val="DefaultParagraphFont"/>
    <w:uiPriority w:val="99"/>
    <w:semiHidden/>
    <w:unhideWhenUsed/>
    <w:rsid w:val="00163BB9"/>
    <w:rPr>
      <w:color w:val="808080"/>
      <w:shd w:val="clear" w:color="auto" w:fill="E6E6E6"/>
    </w:rPr>
  </w:style>
  <w:style w:type="paragraph" w:styleId="Revision">
    <w:name w:val="Revision"/>
    <w:hidden/>
    <w:uiPriority w:val="99"/>
    <w:semiHidden/>
    <w:rsid w:val="002176C4"/>
    <w:pPr>
      <w:spacing w:after="0" w:line="240" w:lineRule="auto"/>
    </w:pPr>
  </w:style>
  <w:style w:type="character" w:styleId="FollowedHyperlink">
    <w:name w:val="FollowedHyperlink"/>
    <w:basedOn w:val="DefaultParagraphFont"/>
    <w:uiPriority w:val="99"/>
    <w:semiHidden/>
    <w:unhideWhenUsed/>
    <w:rsid w:val="00D35A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046394">
      <w:bodyDiv w:val="1"/>
      <w:marLeft w:val="0"/>
      <w:marRight w:val="0"/>
      <w:marTop w:val="0"/>
      <w:marBottom w:val="0"/>
      <w:divBdr>
        <w:top w:val="none" w:sz="0" w:space="0" w:color="auto"/>
        <w:left w:val="none" w:sz="0" w:space="0" w:color="auto"/>
        <w:bottom w:val="none" w:sz="0" w:space="0" w:color="auto"/>
        <w:right w:val="none" w:sz="0" w:space="0" w:color="auto"/>
      </w:divBdr>
    </w:div>
    <w:div w:id="478808612">
      <w:bodyDiv w:val="1"/>
      <w:marLeft w:val="0"/>
      <w:marRight w:val="0"/>
      <w:marTop w:val="0"/>
      <w:marBottom w:val="0"/>
      <w:divBdr>
        <w:top w:val="none" w:sz="0" w:space="0" w:color="auto"/>
        <w:left w:val="none" w:sz="0" w:space="0" w:color="auto"/>
        <w:bottom w:val="none" w:sz="0" w:space="0" w:color="auto"/>
        <w:right w:val="none" w:sz="0" w:space="0" w:color="auto"/>
      </w:divBdr>
    </w:div>
    <w:div w:id="607349474">
      <w:bodyDiv w:val="1"/>
      <w:marLeft w:val="0"/>
      <w:marRight w:val="0"/>
      <w:marTop w:val="0"/>
      <w:marBottom w:val="0"/>
      <w:divBdr>
        <w:top w:val="none" w:sz="0" w:space="0" w:color="auto"/>
        <w:left w:val="none" w:sz="0" w:space="0" w:color="auto"/>
        <w:bottom w:val="none" w:sz="0" w:space="0" w:color="auto"/>
        <w:right w:val="none" w:sz="0" w:space="0" w:color="auto"/>
      </w:divBdr>
    </w:div>
    <w:div w:id="619608729">
      <w:bodyDiv w:val="1"/>
      <w:marLeft w:val="0"/>
      <w:marRight w:val="0"/>
      <w:marTop w:val="0"/>
      <w:marBottom w:val="0"/>
      <w:divBdr>
        <w:top w:val="none" w:sz="0" w:space="0" w:color="auto"/>
        <w:left w:val="none" w:sz="0" w:space="0" w:color="auto"/>
        <w:bottom w:val="none" w:sz="0" w:space="0" w:color="auto"/>
        <w:right w:val="none" w:sz="0" w:space="0" w:color="auto"/>
      </w:divBdr>
    </w:div>
    <w:div w:id="660735692">
      <w:bodyDiv w:val="1"/>
      <w:marLeft w:val="0"/>
      <w:marRight w:val="0"/>
      <w:marTop w:val="0"/>
      <w:marBottom w:val="0"/>
      <w:divBdr>
        <w:top w:val="none" w:sz="0" w:space="0" w:color="auto"/>
        <w:left w:val="none" w:sz="0" w:space="0" w:color="auto"/>
        <w:bottom w:val="none" w:sz="0" w:space="0" w:color="auto"/>
        <w:right w:val="none" w:sz="0" w:space="0" w:color="auto"/>
      </w:divBdr>
      <w:divsChild>
        <w:div w:id="1168711720">
          <w:marLeft w:val="0"/>
          <w:marRight w:val="0"/>
          <w:marTop w:val="0"/>
          <w:marBottom w:val="0"/>
          <w:divBdr>
            <w:top w:val="none" w:sz="0" w:space="0" w:color="auto"/>
            <w:left w:val="none" w:sz="0" w:space="0" w:color="auto"/>
            <w:bottom w:val="none" w:sz="0" w:space="0" w:color="auto"/>
            <w:right w:val="none" w:sz="0" w:space="0" w:color="auto"/>
          </w:divBdr>
        </w:div>
      </w:divsChild>
    </w:div>
    <w:div w:id="1864585988">
      <w:bodyDiv w:val="1"/>
      <w:marLeft w:val="0"/>
      <w:marRight w:val="0"/>
      <w:marTop w:val="0"/>
      <w:marBottom w:val="0"/>
      <w:divBdr>
        <w:top w:val="none" w:sz="0" w:space="0" w:color="auto"/>
        <w:left w:val="none" w:sz="0" w:space="0" w:color="auto"/>
        <w:bottom w:val="none" w:sz="0" w:space="0" w:color="auto"/>
        <w:right w:val="none" w:sz="0" w:space="0" w:color="auto"/>
      </w:divBdr>
      <w:divsChild>
        <w:div w:id="286550033">
          <w:marLeft w:val="0"/>
          <w:marRight w:val="0"/>
          <w:marTop w:val="0"/>
          <w:marBottom w:val="0"/>
          <w:divBdr>
            <w:top w:val="none" w:sz="0" w:space="0" w:color="auto"/>
            <w:left w:val="none" w:sz="0" w:space="0" w:color="auto"/>
            <w:bottom w:val="none" w:sz="0" w:space="0" w:color="auto"/>
            <w:right w:val="none" w:sz="0" w:space="0" w:color="auto"/>
          </w:divBdr>
        </w:div>
        <w:div w:id="1238440004">
          <w:marLeft w:val="0"/>
          <w:marRight w:val="0"/>
          <w:marTop w:val="0"/>
          <w:marBottom w:val="0"/>
          <w:divBdr>
            <w:top w:val="none" w:sz="0" w:space="0" w:color="auto"/>
            <w:left w:val="none" w:sz="0" w:space="0" w:color="auto"/>
            <w:bottom w:val="none" w:sz="0" w:space="0" w:color="auto"/>
            <w:right w:val="none" w:sz="0" w:space="0" w:color="auto"/>
          </w:divBdr>
        </w:div>
        <w:div w:id="1728336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7.wmf"/><Relationship Id="rId26" Type="http://schemas.openxmlformats.org/officeDocument/2006/relationships/oleObject" Target="embeddings/oleObject4.bin"/><Relationship Id="rId39" Type="http://schemas.openxmlformats.org/officeDocument/2006/relationships/hyperlink" Target="http://www.business.pitt.edu/faculty/papers/koch3.pdf" TargetMode="External"/><Relationship Id="rId21" Type="http://schemas.openxmlformats.org/officeDocument/2006/relationships/oleObject" Target="embeddings/oleObject2.bin"/><Relationship Id="rId34" Type="http://schemas.openxmlformats.org/officeDocument/2006/relationships/image" Target="media/image17.wmf"/><Relationship Id="rId42" Type="http://schemas.openxmlformats.org/officeDocument/2006/relationships/image" Target="media/image20.png"/><Relationship Id="rId47" Type="http://schemas.openxmlformats.org/officeDocument/2006/relationships/image" Target="media/image25.png"/><Relationship Id="rId50" Type="http://schemas.openxmlformats.org/officeDocument/2006/relationships/image" Target="media/image28.png"/><Relationship Id="rId55" Type="http://schemas.openxmlformats.org/officeDocument/2006/relationships/oleObject" Target="embeddings/oleObject9.bin"/><Relationship Id="rId63" Type="http://schemas.openxmlformats.org/officeDocument/2006/relationships/image" Target="media/image39.png"/><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s9nt@econ.uth.gr" TargetMode="External"/><Relationship Id="rId24" Type="http://schemas.openxmlformats.org/officeDocument/2006/relationships/oleObject" Target="embeddings/oleObject3.bin"/><Relationship Id="rId32" Type="http://schemas.openxmlformats.org/officeDocument/2006/relationships/oleObject" Target="embeddings/oleObject6.bin"/><Relationship Id="rId37" Type="http://schemas.openxmlformats.org/officeDocument/2006/relationships/image" Target="media/image19.wmf"/><Relationship Id="rId40" Type="http://schemas.openxmlformats.org/officeDocument/2006/relationships/hyperlink" Target="https://doi.org/10.1016/j.techfore.2018.07.026" TargetMode="External"/><Relationship Id="rId45" Type="http://schemas.openxmlformats.org/officeDocument/2006/relationships/image" Target="media/image23.png"/><Relationship Id="rId53" Type="http://schemas.openxmlformats.org/officeDocument/2006/relationships/oleObject" Target="embeddings/oleObject8.bin"/><Relationship Id="rId58" Type="http://schemas.openxmlformats.org/officeDocument/2006/relationships/image" Target="media/image34.png"/><Relationship Id="rId66" Type="http://schemas.openxmlformats.org/officeDocument/2006/relationships/image" Target="media/image42.png"/><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10.wmf"/><Relationship Id="rId28" Type="http://schemas.openxmlformats.org/officeDocument/2006/relationships/oleObject" Target="embeddings/oleObject5.bin"/><Relationship Id="rId36" Type="http://schemas.openxmlformats.org/officeDocument/2006/relationships/image" Target="media/image18.wmf"/><Relationship Id="rId49" Type="http://schemas.openxmlformats.org/officeDocument/2006/relationships/image" Target="media/image27.png"/><Relationship Id="rId57" Type="http://schemas.openxmlformats.org/officeDocument/2006/relationships/image" Target="media/image33.png"/><Relationship Id="rId61" Type="http://schemas.openxmlformats.org/officeDocument/2006/relationships/image" Target="media/image37.png"/><Relationship Id="rId10" Type="http://schemas.openxmlformats.org/officeDocument/2006/relationships/hyperlink" Target="mailto:M.S.Meyer@kent.ac.uk" TargetMode="External"/><Relationship Id="rId19" Type="http://schemas.openxmlformats.org/officeDocument/2006/relationships/oleObject" Target="embeddings/oleObject1.bin"/><Relationship Id="rId31" Type="http://schemas.openxmlformats.org/officeDocument/2006/relationships/image" Target="media/image15.wmf"/><Relationship Id="rId44" Type="http://schemas.openxmlformats.org/officeDocument/2006/relationships/image" Target="media/image22.png"/><Relationship Id="rId52" Type="http://schemas.openxmlformats.org/officeDocument/2006/relationships/image" Target="media/image30.wmf"/><Relationship Id="rId60" Type="http://schemas.openxmlformats.org/officeDocument/2006/relationships/image" Target="media/image36.png"/><Relationship Id="rId65" Type="http://schemas.openxmlformats.org/officeDocument/2006/relationships/image" Target="media/image41.png"/><Relationship Id="rId4" Type="http://schemas.openxmlformats.org/officeDocument/2006/relationships/settings" Target="settings.xml"/><Relationship Id="rId9" Type="http://schemas.openxmlformats.org/officeDocument/2006/relationships/hyperlink" Target="mailto:Roman.Matousek@nottingham.ac.uk" TargetMode="External"/><Relationship Id="rId14" Type="http://schemas.openxmlformats.org/officeDocument/2006/relationships/image" Target="media/image3.wmf"/><Relationship Id="rId22" Type="http://schemas.openxmlformats.org/officeDocument/2006/relationships/image" Target="media/image9.wmf"/><Relationship Id="rId27" Type="http://schemas.openxmlformats.org/officeDocument/2006/relationships/image" Target="media/image12.wmf"/><Relationship Id="rId30" Type="http://schemas.openxmlformats.org/officeDocument/2006/relationships/image" Target="media/image14.wmf"/><Relationship Id="rId35" Type="http://schemas.openxmlformats.org/officeDocument/2006/relationships/oleObject" Target="embeddings/oleObject7.bin"/><Relationship Id="rId43" Type="http://schemas.openxmlformats.org/officeDocument/2006/relationships/image" Target="media/image21.png"/><Relationship Id="rId48" Type="http://schemas.openxmlformats.org/officeDocument/2006/relationships/image" Target="media/image26.png"/><Relationship Id="rId56" Type="http://schemas.openxmlformats.org/officeDocument/2006/relationships/image" Target="media/image32.png"/><Relationship Id="rId64" Type="http://schemas.openxmlformats.org/officeDocument/2006/relationships/image" Target="media/image40.png"/><Relationship Id="rId69" Type="http://schemas.openxmlformats.org/officeDocument/2006/relationships/theme" Target="theme/theme1.xml"/><Relationship Id="rId8" Type="http://schemas.openxmlformats.org/officeDocument/2006/relationships/hyperlink" Target="mailto:david.broadstock@polyu.edu.hk" TargetMode="External"/><Relationship Id="rId51" Type="http://schemas.openxmlformats.org/officeDocument/2006/relationships/image" Target="media/image29.png"/><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6.wmf"/><Relationship Id="rId25" Type="http://schemas.openxmlformats.org/officeDocument/2006/relationships/image" Target="media/image11.wmf"/><Relationship Id="rId33" Type="http://schemas.openxmlformats.org/officeDocument/2006/relationships/image" Target="media/image16.wmf"/><Relationship Id="rId38" Type="http://schemas.openxmlformats.org/officeDocument/2006/relationships/hyperlink" Target="https://hbr.org/2014/06/dont-offer-employees-big-rewards-for-innovation" TargetMode="External"/><Relationship Id="rId46" Type="http://schemas.openxmlformats.org/officeDocument/2006/relationships/image" Target="media/image24.png"/><Relationship Id="rId59" Type="http://schemas.openxmlformats.org/officeDocument/2006/relationships/image" Target="media/image35.png"/><Relationship Id="rId67" Type="http://schemas.openxmlformats.org/officeDocument/2006/relationships/footer" Target="footer1.xml"/><Relationship Id="rId20" Type="http://schemas.openxmlformats.org/officeDocument/2006/relationships/image" Target="media/image8.wmf"/><Relationship Id="rId41" Type="http://schemas.openxmlformats.org/officeDocument/2006/relationships/hyperlink" Target="https://doi.org/10.1016/j.jbusres.2018.01.017" TargetMode="External"/><Relationship Id="rId54" Type="http://schemas.openxmlformats.org/officeDocument/2006/relationships/image" Target="media/image31.wmf"/><Relationship Id="rId62" Type="http://schemas.openxmlformats.org/officeDocument/2006/relationships/image" Target="media/image3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EB7EF-DD1A-4B7F-B3F8-0274315C1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11185</Words>
  <Characters>63755</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Martin Meyer</cp:lastModifiedBy>
  <cp:revision>2</cp:revision>
  <cp:lastPrinted>2018-09-28T17:35:00Z</cp:lastPrinted>
  <dcterms:created xsi:type="dcterms:W3CDTF">2019-07-23T19:05:00Z</dcterms:created>
  <dcterms:modified xsi:type="dcterms:W3CDTF">2019-07-23T19:05:00Z</dcterms:modified>
</cp:coreProperties>
</file>