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08BBB" w14:textId="77777777" w:rsidR="00ED7CA7" w:rsidRDefault="00ED7CA7" w:rsidP="0044704A">
      <w:pPr>
        <w:spacing w:line="480" w:lineRule="auto"/>
        <w:rPr>
          <w:b/>
          <w:bCs/>
          <w:color w:val="000000"/>
        </w:rPr>
      </w:pPr>
    </w:p>
    <w:p w14:paraId="2AB0617F" w14:textId="76D77FDC" w:rsidR="00331C04" w:rsidRDefault="00712643" w:rsidP="00D13866">
      <w:pPr>
        <w:jc w:val="center"/>
        <w:rPr>
          <w:b/>
          <w:bCs/>
          <w:color w:val="000000"/>
        </w:rPr>
      </w:pPr>
      <w:r w:rsidRPr="00A762C7">
        <w:rPr>
          <w:b/>
          <w:bCs/>
          <w:color w:val="000000"/>
        </w:rPr>
        <w:t>Transitional Justice an</w:t>
      </w:r>
      <w:r w:rsidR="00A516AD" w:rsidRPr="00A762C7">
        <w:rPr>
          <w:b/>
          <w:bCs/>
          <w:color w:val="000000"/>
        </w:rPr>
        <w:t xml:space="preserve">d </w:t>
      </w:r>
      <w:r w:rsidR="00D71AC3">
        <w:rPr>
          <w:rFonts w:eastAsia="Times New Roman"/>
          <w:b/>
          <w:color w:val="222222"/>
          <w:lang w:val="en-CA" w:eastAsia="en-CA"/>
        </w:rPr>
        <w:t>Acceptance of</w:t>
      </w:r>
      <w:r w:rsidR="00D71AC3" w:rsidRPr="00D71AC3">
        <w:rPr>
          <w:rFonts w:eastAsia="Times New Roman"/>
          <w:b/>
          <w:color w:val="222222"/>
          <w:lang w:val="en-CA" w:eastAsia="en-CA"/>
        </w:rPr>
        <w:t xml:space="preserve"> Cohabitation</w:t>
      </w:r>
      <w:r w:rsidR="00331C04">
        <w:rPr>
          <w:b/>
          <w:bCs/>
          <w:color w:val="000000"/>
        </w:rPr>
        <w:t>:</w:t>
      </w:r>
    </w:p>
    <w:p w14:paraId="051D374A" w14:textId="09A01BDC" w:rsidR="00B71CD0" w:rsidRPr="00AC3626" w:rsidRDefault="00DF5924" w:rsidP="00D13866">
      <w:pPr>
        <w:spacing w:line="480" w:lineRule="auto"/>
        <w:jc w:val="center"/>
        <w:rPr>
          <w:rFonts w:eastAsia="Times New Roman"/>
          <w:b/>
          <w:color w:val="222222"/>
          <w:lang w:val="en-CA" w:eastAsia="en-CA"/>
        </w:rPr>
      </w:pPr>
      <w:r>
        <w:rPr>
          <w:b/>
          <w:bCs/>
          <w:color w:val="000000"/>
        </w:rPr>
        <w:t xml:space="preserve">The </w:t>
      </w:r>
      <w:r w:rsidR="00331C04">
        <w:rPr>
          <w:b/>
          <w:bCs/>
          <w:color w:val="000000"/>
        </w:rPr>
        <w:t xml:space="preserve">Cypriot Communities, </w:t>
      </w:r>
      <w:r w:rsidR="00890688">
        <w:rPr>
          <w:b/>
          <w:bCs/>
          <w:color w:val="000000"/>
        </w:rPr>
        <w:t>Displaced Persons</w:t>
      </w:r>
      <w:r w:rsidR="00331C04">
        <w:rPr>
          <w:b/>
          <w:bCs/>
          <w:color w:val="000000"/>
        </w:rPr>
        <w:t xml:space="preserve"> and Settler</w:t>
      </w:r>
      <w:r w:rsidR="00D13866">
        <w:rPr>
          <w:b/>
          <w:bCs/>
          <w:color w:val="000000"/>
        </w:rPr>
        <w:t>/Migrant Attitudes</w:t>
      </w:r>
    </w:p>
    <w:p w14:paraId="066A252F" w14:textId="77777777" w:rsidR="00D13866" w:rsidRDefault="00D13866" w:rsidP="00A762C7">
      <w:pPr>
        <w:shd w:val="clear" w:color="auto" w:fill="FFFFFF"/>
        <w:spacing w:line="480" w:lineRule="auto"/>
        <w:contextualSpacing/>
        <w:rPr>
          <w:rFonts w:eastAsia="Times New Roman"/>
          <w:b/>
          <w:color w:val="222222"/>
          <w:lang w:val="en-CA" w:eastAsia="en-CA"/>
        </w:rPr>
      </w:pPr>
    </w:p>
    <w:p w14:paraId="4CDEC7C1" w14:textId="54136081" w:rsidR="00A762C7" w:rsidRPr="006F7A49" w:rsidRDefault="00A762C7" w:rsidP="00A762C7">
      <w:pPr>
        <w:shd w:val="clear" w:color="auto" w:fill="FFFFFF"/>
        <w:spacing w:line="480" w:lineRule="auto"/>
        <w:contextualSpacing/>
        <w:rPr>
          <w:rFonts w:eastAsia="Times New Roman"/>
          <w:b/>
          <w:color w:val="222222"/>
          <w:lang w:val="en-CA" w:eastAsia="en-CA"/>
        </w:rPr>
      </w:pPr>
      <w:r w:rsidRPr="006F7A49">
        <w:rPr>
          <w:rFonts w:eastAsia="Times New Roman"/>
          <w:b/>
          <w:color w:val="222222"/>
          <w:lang w:val="en-CA" w:eastAsia="en-CA"/>
        </w:rPr>
        <w:t>Abstract</w:t>
      </w:r>
      <w:bookmarkStart w:id="0" w:name="_GoBack"/>
      <w:bookmarkEnd w:id="0"/>
    </w:p>
    <w:p w14:paraId="19A227F5" w14:textId="65F82F2C" w:rsidR="00A762C7" w:rsidRPr="00D71AC3" w:rsidRDefault="00A762C7" w:rsidP="00A762C7">
      <w:pPr>
        <w:shd w:val="clear" w:color="auto" w:fill="FFFFFF"/>
        <w:spacing w:line="480" w:lineRule="auto"/>
        <w:contextualSpacing/>
        <w:rPr>
          <w:rFonts w:eastAsia="Times New Roman"/>
          <w:color w:val="222222"/>
          <w:lang w:val="en-CA" w:eastAsia="en-CA"/>
        </w:rPr>
      </w:pPr>
      <w:r w:rsidRPr="00A762C7">
        <w:rPr>
          <w:rFonts w:eastAsia="Times New Roman"/>
          <w:color w:val="222222"/>
          <w:lang w:val="en-CA" w:eastAsia="en-CA"/>
        </w:rPr>
        <w:t xml:space="preserve">This article draws on the case of Cyprus to initiate a discussion </w:t>
      </w:r>
      <w:r w:rsidR="00974AC4">
        <w:rPr>
          <w:rFonts w:eastAsia="Times New Roman"/>
          <w:color w:val="222222"/>
          <w:lang w:val="en-CA" w:eastAsia="en-CA"/>
        </w:rPr>
        <w:t>on</w:t>
      </w:r>
      <w:r w:rsidR="00C33809">
        <w:rPr>
          <w:rFonts w:eastAsia="Times New Roman"/>
          <w:color w:val="222222"/>
          <w:lang w:val="en-CA" w:eastAsia="en-CA"/>
        </w:rPr>
        <w:t xml:space="preserve"> the acceptance of</w:t>
      </w:r>
      <w:r w:rsidR="001C6A28">
        <w:rPr>
          <w:rFonts w:eastAsia="Times New Roman"/>
          <w:color w:val="222222"/>
          <w:lang w:val="en-CA" w:eastAsia="en-CA"/>
        </w:rPr>
        <w:t xml:space="preserve"> renewed cohabitation in post-conflict societies</w:t>
      </w:r>
      <w:r w:rsidR="004125E3">
        <w:rPr>
          <w:rFonts w:eastAsia="Times New Roman"/>
          <w:color w:val="222222"/>
          <w:lang w:val="en-CA" w:eastAsia="en-CA"/>
        </w:rPr>
        <w:t>. Besides focusing on the two main communities</w:t>
      </w:r>
      <w:r w:rsidR="001C6A28">
        <w:rPr>
          <w:rFonts w:eastAsia="Times New Roman"/>
          <w:color w:val="222222"/>
          <w:lang w:val="en-CA" w:eastAsia="en-CA"/>
        </w:rPr>
        <w:t xml:space="preserve"> on the island</w:t>
      </w:r>
      <w:r w:rsidR="004125E3">
        <w:rPr>
          <w:rFonts w:eastAsia="Times New Roman"/>
          <w:color w:val="222222"/>
          <w:lang w:val="en-CA" w:eastAsia="en-CA"/>
        </w:rPr>
        <w:t>, the article</w:t>
      </w:r>
      <w:r w:rsidR="004B34F5">
        <w:rPr>
          <w:rFonts w:eastAsia="Times New Roman"/>
          <w:color w:val="222222"/>
          <w:lang w:val="en-CA" w:eastAsia="en-CA"/>
        </w:rPr>
        <w:t xml:space="preserve"> also</w:t>
      </w:r>
      <w:r w:rsidR="004125E3">
        <w:rPr>
          <w:rFonts w:eastAsia="Times New Roman"/>
          <w:color w:val="222222"/>
          <w:lang w:val="en-CA" w:eastAsia="en-CA"/>
        </w:rPr>
        <w:t xml:space="preserve"> examines </w:t>
      </w:r>
      <w:r w:rsidR="004B34F5">
        <w:rPr>
          <w:rFonts w:eastAsia="Times New Roman"/>
          <w:color w:val="222222"/>
          <w:lang w:val="en-CA" w:eastAsia="en-CA"/>
        </w:rPr>
        <w:t xml:space="preserve">for the first time </w:t>
      </w:r>
      <w:r w:rsidR="004125E3">
        <w:rPr>
          <w:rFonts w:eastAsia="Times New Roman"/>
          <w:color w:val="222222"/>
          <w:lang w:val="en-CA" w:eastAsia="en-CA"/>
        </w:rPr>
        <w:t xml:space="preserve">the views </w:t>
      </w:r>
      <w:r w:rsidR="002F2241">
        <w:rPr>
          <w:rFonts w:eastAsia="Times New Roman"/>
          <w:color w:val="222222"/>
          <w:lang w:val="en-CA" w:eastAsia="en-CA"/>
        </w:rPr>
        <w:t xml:space="preserve">of </w:t>
      </w:r>
      <w:r w:rsidR="00890688">
        <w:rPr>
          <w:rFonts w:eastAsia="Times New Roman"/>
          <w:color w:val="222222"/>
          <w:lang w:val="en-CA" w:eastAsia="en-CA"/>
        </w:rPr>
        <w:t>the IDPs</w:t>
      </w:r>
      <w:r w:rsidR="002F2241">
        <w:rPr>
          <w:rFonts w:eastAsia="Times New Roman"/>
          <w:color w:val="222222"/>
          <w:lang w:val="en-CA" w:eastAsia="en-CA"/>
        </w:rPr>
        <w:t xml:space="preserve"> a</w:t>
      </w:r>
      <w:r w:rsidR="00D13866">
        <w:rPr>
          <w:rFonts w:eastAsia="Times New Roman"/>
          <w:color w:val="222222"/>
          <w:lang w:val="en-CA" w:eastAsia="en-CA"/>
        </w:rPr>
        <w:t>s well as</w:t>
      </w:r>
      <w:r w:rsidR="002F2241">
        <w:rPr>
          <w:rFonts w:eastAsia="Times New Roman"/>
          <w:color w:val="222222"/>
          <w:lang w:val="en-CA" w:eastAsia="en-CA"/>
        </w:rPr>
        <w:t xml:space="preserve"> the</w:t>
      </w:r>
      <w:r w:rsidR="00D13866">
        <w:rPr>
          <w:rFonts w:eastAsia="Times New Roman"/>
          <w:color w:val="222222"/>
          <w:lang w:val="en-CA" w:eastAsia="en-CA"/>
        </w:rPr>
        <w:t xml:space="preserve"> </w:t>
      </w:r>
      <w:r w:rsidR="002F2241">
        <w:rPr>
          <w:rFonts w:eastAsia="Times New Roman"/>
          <w:color w:val="222222"/>
          <w:lang w:val="en-CA" w:eastAsia="en-CA"/>
        </w:rPr>
        <w:t>settler</w:t>
      </w:r>
      <w:r w:rsidR="009A5FBB">
        <w:rPr>
          <w:rFonts w:eastAsia="Times New Roman"/>
          <w:color w:val="222222"/>
          <w:lang w:val="en-CA" w:eastAsia="en-CA"/>
        </w:rPr>
        <w:t>/migrant</w:t>
      </w:r>
      <w:r w:rsidR="00D13866">
        <w:rPr>
          <w:rFonts w:eastAsia="Times New Roman"/>
          <w:color w:val="222222"/>
          <w:lang w:val="en-CA" w:eastAsia="en-CA"/>
        </w:rPr>
        <w:t xml:space="preserve"> community</w:t>
      </w:r>
      <w:r w:rsidRPr="00A762C7">
        <w:rPr>
          <w:rFonts w:eastAsia="Times New Roman"/>
          <w:color w:val="222222"/>
          <w:lang w:val="en-CA" w:eastAsia="en-CA"/>
        </w:rPr>
        <w:t>. We identify variations in support for acceptance of renewed cohabitation across different population groups, looking at age, gender,</w:t>
      </w:r>
      <w:r w:rsidR="00C33809">
        <w:rPr>
          <w:rFonts w:eastAsia="Times New Roman"/>
          <w:color w:val="222222"/>
          <w:lang w:val="en-CA" w:eastAsia="en-CA"/>
        </w:rPr>
        <w:t xml:space="preserve"> </w:t>
      </w:r>
      <w:r w:rsidR="00AC3626">
        <w:rPr>
          <w:rFonts w:eastAsia="Times New Roman"/>
          <w:color w:val="222222"/>
          <w:lang w:val="en-CA" w:eastAsia="en-CA"/>
        </w:rPr>
        <w:t xml:space="preserve">income, </w:t>
      </w:r>
      <w:r w:rsidR="00C33809">
        <w:rPr>
          <w:rFonts w:eastAsia="Times New Roman"/>
          <w:color w:val="222222"/>
          <w:lang w:val="en-CA" w:eastAsia="en-CA"/>
        </w:rPr>
        <w:t>refugee</w:t>
      </w:r>
      <w:r w:rsidR="00974AC4">
        <w:rPr>
          <w:rFonts w:eastAsia="Times New Roman"/>
          <w:color w:val="222222"/>
          <w:lang w:val="en-CA" w:eastAsia="en-CA"/>
        </w:rPr>
        <w:t xml:space="preserve"> status,</w:t>
      </w:r>
      <w:r w:rsidRPr="00A762C7">
        <w:rPr>
          <w:rFonts w:eastAsia="Times New Roman"/>
          <w:color w:val="222222"/>
          <w:lang w:val="en-CA" w:eastAsia="en-CA"/>
        </w:rPr>
        <w:t xml:space="preserve"> </w:t>
      </w:r>
      <w:r w:rsidR="00C33809">
        <w:rPr>
          <w:rFonts w:eastAsia="Times New Roman"/>
          <w:color w:val="222222"/>
          <w:lang w:val="en-CA" w:eastAsia="en-CA"/>
        </w:rPr>
        <w:t>contact and past victimization</w:t>
      </w:r>
      <w:r w:rsidRPr="00A762C7">
        <w:rPr>
          <w:rFonts w:eastAsia="Times New Roman"/>
          <w:color w:val="222222"/>
          <w:lang w:val="en-CA" w:eastAsia="en-CA"/>
        </w:rPr>
        <w:t xml:space="preserve"> within each group. In Study 1, we consider Greek Cypriot attitudes to the Turkish settler</w:t>
      </w:r>
      <w:r w:rsidR="004125E3">
        <w:rPr>
          <w:rFonts w:eastAsia="Times New Roman"/>
          <w:color w:val="222222"/>
          <w:lang w:val="en-CA" w:eastAsia="en-CA"/>
        </w:rPr>
        <w:t>/migrant</w:t>
      </w:r>
      <w:r w:rsidRPr="00A762C7">
        <w:rPr>
          <w:rFonts w:eastAsia="Times New Roman"/>
          <w:color w:val="222222"/>
          <w:lang w:val="en-CA" w:eastAsia="en-CA"/>
        </w:rPr>
        <w:t xml:space="preserve"> community and juxtapose those with attitudes to indigenous Turkish Cypriots. In Study</w:t>
      </w:r>
      <w:r w:rsidR="00D71AC3">
        <w:rPr>
          <w:rFonts w:eastAsia="Times New Roman"/>
          <w:color w:val="222222"/>
          <w:lang w:val="en-CA" w:eastAsia="en-CA"/>
        </w:rPr>
        <w:t xml:space="preserve"> 2, we compare Turkish Cypriots and</w:t>
      </w:r>
      <w:r w:rsidR="004125E3">
        <w:rPr>
          <w:rFonts w:eastAsia="Times New Roman"/>
          <w:color w:val="222222"/>
          <w:lang w:val="en-CA" w:eastAsia="en-CA"/>
        </w:rPr>
        <w:t xml:space="preserve"> settlers</w:t>
      </w:r>
      <w:r w:rsidRPr="00A762C7">
        <w:rPr>
          <w:rFonts w:eastAsia="Times New Roman"/>
          <w:color w:val="222222"/>
          <w:lang w:val="en-CA" w:eastAsia="en-CA"/>
        </w:rPr>
        <w:t xml:space="preserve"> aiming to evaluate their attitudes towards Greek Cypriots. Contrary to the dominant narratives, individual victimization</w:t>
      </w:r>
      <w:r w:rsidR="007513E4">
        <w:rPr>
          <w:rFonts w:eastAsia="Times New Roman"/>
          <w:color w:val="222222"/>
          <w:lang w:val="en-CA" w:eastAsia="en-CA"/>
        </w:rPr>
        <w:t>, except a tendency related to the IDP status,</w:t>
      </w:r>
      <w:r w:rsidRPr="00A762C7">
        <w:rPr>
          <w:rFonts w:eastAsia="Times New Roman"/>
          <w:color w:val="222222"/>
          <w:lang w:val="en-CA" w:eastAsia="en-CA"/>
        </w:rPr>
        <w:t xml:space="preserve"> does not account for variations in acceptance of cohabitation</w:t>
      </w:r>
      <w:r w:rsidR="00C33809">
        <w:rPr>
          <w:rFonts w:eastAsia="Times New Roman"/>
          <w:color w:val="222222"/>
          <w:lang w:val="en-CA" w:eastAsia="en-CA"/>
        </w:rPr>
        <w:t xml:space="preserve">; our findings suggest </w:t>
      </w:r>
      <w:r w:rsidR="00D71AC3">
        <w:rPr>
          <w:rFonts w:eastAsia="Times New Roman"/>
          <w:color w:val="222222"/>
          <w:lang w:val="en-CA" w:eastAsia="en-CA"/>
        </w:rPr>
        <w:t>that those who support pea</w:t>
      </w:r>
      <w:r w:rsidR="00C33809">
        <w:rPr>
          <w:rFonts w:eastAsia="Times New Roman"/>
          <w:color w:val="222222"/>
          <w:lang w:val="en-CA" w:eastAsia="en-CA"/>
        </w:rPr>
        <w:t>ce amnesties are more likely to</w:t>
      </w:r>
      <w:r w:rsidR="004125E3">
        <w:rPr>
          <w:rFonts w:eastAsia="Times New Roman"/>
          <w:color w:val="222222"/>
          <w:lang w:val="en-CA" w:eastAsia="en-CA"/>
        </w:rPr>
        <w:t xml:space="preserve"> </w:t>
      </w:r>
      <w:r w:rsidR="00D71AC3">
        <w:rPr>
          <w:rFonts w:eastAsia="Times New Roman"/>
          <w:color w:val="222222"/>
          <w:lang w:val="en-CA" w:eastAsia="en-CA"/>
        </w:rPr>
        <w:t xml:space="preserve">demonstrate tolerance towards outgroup members </w:t>
      </w:r>
      <w:r w:rsidR="001C6A28">
        <w:rPr>
          <w:rFonts w:eastAsia="Times New Roman"/>
          <w:color w:val="222222"/>
          <w:lang w:val="en-CA" w:eastAsia="en-CA"/>
        </w:rPr>
        <w:t>while</w:t>
      </w:r>
      <w:r w:rsidR="00D71AC3">
        <w:rPr>
          <w:rFonts w:eastAsia="Times New Roman"/>
          <w:color w:val="222222"/>
          <w:lang w:val="en-CA" w:eastAsia="en-CA"/>
        </w:rPr>
        <w:t xml:space="preserve"> </w:t>
      </w:r>
      <w:r w:rsidR="001C6A28">
        <w:rPr>
          <w:rFonts w:eastAsia="Times New Roman"/>
          <w:color w:val="222222"/>
          <w:lang w:val="en-CA" w:eastAsia="en-CA"/>
        </w:rPr>
        <w:t>highlighting</w:t>
      </w:r>
      <w:r w:rsidR="00D71AC3">
        <w:rPr>
          <w:rFonts w:eastAsia="Times New Roman"/>
          <w:color w:val="222222"/>
          <w:lang w:val="en-CA" w:eastAsia="en-CA"/>
        </w:rPr>
        <w:t xml:space="preserve"> </w:t>
      </w:r>
      <w:r w:rsidRPr="00A762C7">
        <w:rPr>
          <w:rFonts w:eastAsia="Times New Roman"/>
          <w:color w:val="222222"/>
          <w:lang w:val="en-CA" w:eastAsia="en-CA"/>
        </w:rPr>
        <w:t xml:space="preserve">quality </w:t>
      </w:r>
      <w:r w:rsidR="00D71AC3">
        <w:rPr>
          <w:rFonts w:eastAsia="Times New Roman"/>
          <w:color w:val="222222"/>
          <w:lang w:val="en-CA" w:eastAsia="en-CA"/>
        </w:rPr>
        <w:t xml:space="preserve">of intergroup </w:t>
      </w:r>
      <w:r w:rsidR="00D71AC3" w:rsidRPr="009A5FBB">
        <w:rPr>
          <w:rFonts w:eastAsia="Times New Roman"/>
          <w:i/>
          <w:color w:val="222222"/>
          <w:lang w:val="en-CA" w:eastAsia="en-CA"/>
        </w:rPr>
        <w:t xml:space="preserve">contact </w:t>
      </w:r>
      <w:r w:rsidR="00D71AC3">
        <w:rPr>
          <w:rFonts w:eastAsia="Times New Roman"/>
          <w:color w:val="222222"/>
          <w:lang w:val="en-CA" w:eastAsia="en-CA"/>
        </w:rPr>
        <w:t>as</w:t>
      </w:r>
      <w:r w:rsidRPr="00A762C7">
        <w:rPr>
          <w:rFonts w:eastAsia="Times New Roman"/>
          <w:color w:val="222222"/>
          <w:lang w:val="en-CA" w:eastAsia="en-CA"/>
        </w:rPr>
        <w:t xml:space="preserve"> a key </w:t>
      </w:r>
      <w:r w:rsidR="00D7321D">
        <w:rPr>
          <w:rFonts w:eastAsia="Times New Roman"/>
          <w:color w:val="222222"/>
          <w:lang w:val="en-CA" w:eastAsia="en-CA"/>
        </w:rPr>
        <w:t xml:space="preserve">causal mechanism </w:t>
      </w:r>
      <w:r w:rsidR="00974AC4">
        <w:rPr>
          <w:rFonts w:eastAsia="Times New Roman"/>
          <w:color w:val="222222"/>
          <w:lang w:val="en-CA" w:eastAsia="en-CA"/>
        </w:rPr>
        <w:t>in mitigating inter-group intolerance</w:t>
      </w:r>
      <w:r w:rsidRPr="00A762C7">
        <w:rPr>
          <w:rFonts w:eastAsia="Times New Roman"/>
          <w:color w:val="222222"/>
          <w:lang w:val="en-CA" w:eastAsia="en-CA"/>
        </w:rPr>
        <w:t xml:space="preserve">. </w:t>
      </w:r>
      <w:r w:rsidR="00D71AC3" w:rsidRPr="00D71AC3">
        <w:rPr>
          <w:rFonts w:eastAsia="Times New Roman"/>
          <w:color w:val="222222"/>
          <w:lang w:val="en-CA" w:eastAsia="en-CA"/>
        </w:rPr>
        <w:t xml:space="preserve"> </w:t>
      </w:r>
    </w:p>
    <w:p w14:paraId="7CE3AA9B" w14:textId="77777777" w:rsidR="00B71CD0" w:rsidRPr="00974AC4" w:rsidRDefault="00B71CD0" w:rsidP="001E48EF">
      <w:pPr>
        <w:spacing w:line="480" w:lineRule="auto"/>
        <w:rPr>
          <w:bCs/>
          <w:i/>
          <w:color w:val="000000"/>
          <w:lang w:val="en-CA"/>
        </w:rPr>
      </w:pPr>
    </w:p>
    <w:p w14:paraId="4514FCE3" w14:textId="383E7172" w:rsidR="001E48EF" w:rsidRPr="00A762C7" w:rsidRDefault="001E48EF" w:rsidP="001E48EF">
      <w:pPr>
        <w:spacing w:line="480" w:lineRule="auto"/>
        <w:rPr>
          <w:color w:val="000000"/>
        </w:rPr>
      </w:pPr>
      <w:r w:rsidRPr="00A762C7">
        <w:rPr>
          <w:bCs/>
          <w:i/>
          <w:color w:val="000000"/>
        </w:rPr>
        <w:t>Keywords:</w:t>
      </w:r>
      <w:r w:rsidRPr="00A762C7">
        <w:rPr>
          <w:bCs/>
          <w:color w:val="000000"/>
        </w:rPr>
        <w:t xml:space="preserve"> Transitional Justice, Intergroup Contact, Internally Displaced Persons</w:t>
      </w:r>
      <w:r w:rsidR="0085032C" w:rsidRPr="00A762C7">
        <w:rPr>
          <w:bCs/>
          <w:color w:val="000000"/>
        </w:rPr>
        <w:t>, Forced migration</w:t>
      </w:r>
      <w:r w:rsidR="00D45EF2" w:rsidRPr="00A762C7">
        <w:rPr>
          <w:bCs/>
          <w:color w:val="000000"/>
        </w:rPr>
        <w:t>,</w:t>
      </w:r>
      <w:r w:rsidR="009A5FBB">
        <w:rPr>
          <w:bCs/>
          <w:color w:val="000000"/>
        </w:rPr>
        <w:t xml:space="preserve"> </w:t>
      </w:r>
      <w:r w:rsidR="00D45EF2" w:rsidRPr="00A762C7">
        <w:rPr>
          <w:bCs/>
          <w:color w:val="000000"/>
        </w:rPr>
        <w:t>Cyprus Issue</w:t>
      </w:r>
    </w:p>
    <w:p w14:paraId="51365E9D" w14:textId="36ABB930" w:rsidR="00DD669C" w:rsidRDefault="00DD669C" w:rsidP="00712643">
      <w:pPr>
        <w:spacing w:line="480" w:lineRule="auto"/>
        <w:rPr>
          <w:color w:val="000000"/>
        </w:rPr>
      </w:pPr>
      <w:r w:rsidRPr="00A762C7">
        <w:rPr>
          <w:color w:val="000000"/>
        </w:rPr>
        <w:t> </w:t>
      </w:r>
    </w:p>
    <w:p w14:paraId="74EC4345" w14:textId="26DDB04B" w:rsidR="009A5FBB" w:rsidRDefault="009A5FBB" w:rsidP="00712643">
      <w:pPr>
        <w:spacing w:line="480" w:lineRule="auto"/>
        <w:rPr>
          <w:color w:val="000000"/>
        </w:rPr>
      </w:pPr>
    </w:p>
    <w:p w14:paraId="21C0FB66" w14:textId="6CEAAB50" w:rsidR="009A5FBB" w:rsidRDefault="009A5FBB" w:rsidP="00712643">
      <w:pPr>
        <w:spacing w:line="480" w:lineRule="auto"/>
        <w:rPr>
          <w:color w:val="000000"/>
        </w:rPr>
      </w:pPr>
    </w:p>
    <w:p w14:paraId="01BB1D51" w14:textId="02606CA5" w:rsidR="00D33E97" w:rsidRDefault="00D33E97" w:rsidP="00712643">
      <w:pPr>
        <w:spacing w:line="480" w:lineRule="auto"/>
        <w:rPr>
          <w:color w:val="000000"/>
        </w:rPr>
      </w:pPr>
    </w:p>
    <w:p w14:paraId="48349C9B" w14:textId="77777777" w:rsidR="00D33E97" w:rsidRPr="00A762C7" w:rsidRDefault="00D33E97" w:rsidP="00712643">
      <w:pPr>
        <w:spacing w:line="480" w:lineRule="auto"/>
        <w:rPr>
          <w:color w:val="000000"/>
        </w:rPr>
      </w:pPr>
    </w:p>
    <w:p w14:paraId="2DD8982F" w14:textId="77777777" w:rsidR="00DD669C" w:rsidRPr="00A762C7" w:rsidRDefault="005D1940" w:rsidP="00066F49">
      <w:pPr>
        <w:spacing w:line="480" w:lineRule="auto"/>
        <w:rPr>
          <w:b/>
        </w:rPr>
      </w:pPr>
      <w:r w:rsidRPr="00A762C7">
        <w:rPr>
          <w:b/>
        </w:rPr>
        <w:t>Introduction</w:t>
      </w:r>
    </w:p>
    <w:p w14:paraId="66784486" w14:textId="2568CCA8" w:rsidR="00CC4709" w:rsidRDefault="006F7A49" w:rsidP="00D173A2">
      <w:pPr>
        <w:spacing w:line="480" w:lineRule="auto"/>
        <w:jc w:val="both"/>
        <w:rPr>
          <w:bCs/>
          <w:color w:val="000000"/>
        </w:rPr>
      </w:pPr>
      <w:r>
        <w:rPr>
          <w:bCs/>
          <w:color w:val="000000"/>
        </w:rPr>
        <w:t xml:space="preserve">The major </w:t>
      </w:r>
      <w:r w:rsidR="00CE76AF">
        <w:rPr>
          <w:bCs/>
          <w:color w:val="000000"/>
        </w:rPr>
        <w:t>innovation</w:t>
      </w:r>
      <w:r>
        <w:rPr>
          <w:bCs/>
          <w:color w:val="000000"/>
        </w:rPr>
        <w:t xml:space="preserve"> in this article is </w:t>
      </w:r>
      <w:r w:rsidR="00AC3626">
        <w:rPr>
          <w:bCs/>
          <w:color w:val="000000"/>
        </w:rPr>
        <w:t xml:space="preserve">the focus on </w:t>
      </w:r>
      <w:r>
        <w:rPr>
          <w:bCs/>
          <w:color w:val="000000"/>
        </w:rPr>
        <w:t xml:space="preserve">specific </w:t>
      </w:r>
      <w:r w:rsidR="00AC3626">
        <w:rPr>
          <w:bCs/>
          <w:color w:val="000000"/>
        </w:rPr>
        <w:t xml:space="preserve">population </w:t>
      </w:r>
      <w:r w:rsidR="00AD2791">
        <w:rPr>
          <w:bCs/>
          <w:color w:val="000000"/>
        </w:rPr>
        <w:t xml:space="preserve">of </w:t>
      </w:r>
      <w:r w:rsidR="009F5A3D">
        <w:rPr>
          <w:bCs/>
          <w:color w:val="000000"/>
        </w:rPr>
        <w:t>sub-</w:t>
      </w:r>
      <w:r>
        <w:rPr>
          <w:bCs/>
          <w:color w:val="000000"/>
        </w:rPr>
        <w:t>groups</w:t>
      </w:r>
      <w:r w:rsidR="00331C04">
        <w:rPr>
          <w:bCs/>
          <w:color w:val="000000"/>
        </w:rPr>
        <w:t xml:space="preserve"> in Cyprus</w:t>
      </w:r>
      <w:r w:rsidR="00AD2791">
        <w:rPr>
          <w:bCs/>
          <w:color w:val="000000"/>
        </w:rPr>
        <w:t>,</w:t>
      </w:r>
      <w:r>
        <w:rPr>
          <w:bCs/>
          <w:color w:val="000000"/>
        </w:rPr>
        <w:t xml:space="preserve"> </w:t>
      </w:r>
      <w:r w:rsidR="00331C04">
        <w:rPr>
          <w:bCs/>
          <w:color w:val="000000"/>
        </w:rPr>
        <w:t>namely the</w:t>
      </w:r>
      <w:r w:rsidR="00AC3626">
        <w:rPr>
          <w:bCs/>
          <w:color w:val="000000"/>
        </w:rPr>
        <w:t xml:space="preserve"> </w:t>
      </w:r>
      <w:r w:rsidR="00331C04">
        <w:rPr>
          <w:bCs/>
          <w:color w:val="000000"/>
        </w:rPr>
        <w:t>post-1974 settlers/migrants</w:t>
      </w:r>
      <w:r w:rsidR="00BC09F7">
        <w:rPr>
          <w:bCs/>
          <w:color w:val="000000"/>
        </w:rPr>
        <w:t xml:space="preserve"> </w:t>
      </w:r>
      <w:r w:rsidR="00331C04">
        <w:rPr>
          <w:bCs/>
          <w:color w:val="000000"/>
        </w:rPr>
        <w:t xml:space="preserve">and the 1963-1974 </w:t>
      </w:r>
      <w:r w:rsidR="00BC09F7">
        <w:rPr>
          <w:bCs/>
          <w:color w:val="000000"/>
        </w:rPr>
        <w:t>victims of ethnic cleansing</w:t>
      </w:r>
      <w:r w:rsidR="00331C04">
        <w:rPr>
          <w:bCs/>
          <w:color w:val="000000"/>
        </w:rPr>
        <w:t xml:space="preserve"> (i.e. the </w:t>
      </w:r>
      <w:r w:rsidR="00AD2791">
        <w:rPr>
          <w:bCs/>
          <w:color w:val="000000"/>
        </w:rPr>
        <w:t>Internally Displaced Persons (</w:t>
      </w:r>
      <w:r w:rsidR="00331C04">
        <w:rPr>
          <w:bCs/>
          <w:color w:val="000000"/>
        </w:rPr>
        <w:t>IDPs)</w:t>
      </w:r>
      <w:r w:rsidR="00147C0E">
        <w:rPr>
          <w:bCs/>
          <w:color w:val="000000"/>
        </w:rPr>
        <w:t>)</w:t>
      </w:r>
      <w:r w:rsidR="00331C04">
        <w:rPr>
          <w:bCs/>
          <w:color w:val="000000"/>
        </w:rPr>
        <w:t xml:space="preserve"> </w:t>
      </w:r>
      <w:r w:rsidR="00986CAA">
        <w:rPr>
          <w:bCs/>
          <w:color w:val="000000"/>
        </w:rPr>
        <w:t>analys</w:t>
      </w:r>
      <w:r w:rsidR="008A7C34">
        <w:rPr>
          <w:bCs/>
          <w:color w:val="000000"/>
        </w:rPr>
        <w:t>ing</w:t>
      </w:r>
      <w:r w:rsidR="0018780C">
        <w:rPr>
          <w:bCs/>
          <w:color w:val="000000"/>
        </w:rPr>
        <w:t xml:space="preserve"> </w:t>
      </w:r>
      <w:r w:rsidR="00331C04">
        <w:rPr>
          <w:bCs/>
          <w:color w:val="000000"/>
        </w:rPr>
        <w:t>their</w:t>
      </w:r>
      <w:r w:rsidR="001C6A28">
        <w:rPr>
          <w:bCs/>
          <w:color w:val="000000"/>
        </w:rPr>
        <w:t xml:space="preserve"> </w:t>
      </w:r>
      <w:r w:rsidR="0018780C">
        <w:rPr>
          <w:bCs/>
          <w:color w:val="000000"/>
        </w:rPr>
        <w:t>perceptions</w:t>
      </w:r>
      <w:r w:rsidR="00331C04">
        <w:rPr>
          <w:bCs/>
          <w:color w:val="000000"/>
        </w:rPr>
        <w:t xml:space="preserve"> of others</w:t>
      </w:r>
      <w:r w:rsidR="00AD2791">
        <w:rPr>
          <w:bCs/>
          <w:color w:val="000000"/>
        </w:rPr>
        <w:t>,</w:t>
      </w:r>
      <w:r w:rsidR="0018780C">
        <w:rPr>
          <w:bCs/>
          <w:color w:val="000000"/>
        </w:rPr>
        <w:t xml:space="preserve"> as well as</w:t>
      </w:r>
      <w:r w:rsidR="001C6A28">
        <w:rPr>
          <w:bCs/>
          <w:color w:val="000000"/>
        </w:rPr>
        <w:t xml:space="preserve"> how</w:t>
      </w:r>
      <w:r w:rsidR="00331C04">
        <w:rPr>
          <w:bCs/>
          <w:color w:val="000000"/>
        </w:rPr>
        <w:t xml:space="preserve"> they are being viewed b</w:t>
      </w:r>
      <w:r w:rsidR="00986CAA">
        <w:rPr>
          <w:bCs/>
          <w:color w:val="000000"/>
        </w:rPr>
        <w:t>y members of the other communities</w:t>
      </w:r>
      <w:r w:rsidR="00331C04">
        <w:rPr>
          <w:bCs/>
          <w:color w:val="000000"/>
        </w:rPr>
        <w:t xml:space="preserve">. </w:t>
      </w:r>
      <w:r w:rsidR="009A5FBB" w:rsidRPr="00A762C7">
        <w:rPr>
          <w:bCs/>
          <w:color w:val="000000"/>
        </w:rPr>
        <w:t>Departing from t</w:t>
      </w:r>
      <w:r w:rsidR="009A5FBB">
        <w:rPr>
          <w:bCs/>
          <w:color w:val="000000"/>
        </w:rPr>
        <w:t>his</w:t>
      </w:r>
      <w:r w:rsidR="009A5FBB" w:rsidRPr="00A762C7">
        <w:rPr>
          <w:bCs/>
          <w:color w:val="000000"/>
        </w:rPr>
        <w:t xml:space="preserve"> special issue’s focus on ‘long-d</w:t>
      </w:r>
      <w:r w:rsidR="009A5FBB">
        <w:rPr>
          <w:bCs/>
          <w:color w:val="000000"/>
        </w:rPr>
        <w:t xml:space="preserve">istance’ diasporas, we </w:t>
      </w:r>
      <w:r w:rsidR="009A305E">
        <w:rPr>
          <w:bCs/>
          <w:color w:val="000000"/>
        </w:rPr>
        <w:t xml:space="preserve">also </w:t>
      </w:r>
      <w:r w:rsidR="009A5FBB">
        <w:rPr>
          <w:bCs/>
          <w:color w:val="000000"/>
        </w:rPr>
        <w:t>introduce</w:t>
      </w:r>
      <w:r w:rsidR="009A5FBB" w:rsidRPr="00A762C7">
        <w:rPr>
          <w:bCs/>
          <w:color w:val="000000"/>
        </w:rPr>
        <w:t xml:space="preserve"> a case of a settler</w:t>
      </w:r>
      <w:r w:rsidR="009A5FBB">
        <w:rPr>
          <w:bCs/>
          <w:color w:val="000000"/>
        </w:rPr>
        <w:t xml:space="preserve"> community</w:t>
      </w:r>
      <w:r w:rsidR="009A5FBB" w:rsidRPr="00A762C7">
        <w:rPr>
          <w:bCs/>
          <w:color w:val="000000"/>
        </w:rPr>
        <w:t xml:space="preserve"> that is</w:t>
      </w:r>
      <w:r w:rsidR="009A305E">
        <w:rPr>
          <w:bCs/>
          <w:color w:val="000000"/>
        </w:rPr>
        <w:t xml:space="preserve"> instead</w:t>
      </w:r>
      <w:r w:rsidR="009A5FBB" w:rsidRPr="00A762C7">
        <w:rPr>
          <w:bCs/>
          <w:color w:val="000000"/>
        </w:rPr>
        <w:t xml:space="preserve"> </w:t>
      </w:r>
      <w:r w:rsidR="009A305E">
        <w:rPr>
          <w:bCs/>
          <w:color w:val="000000"/>
        </w:rPr>
        <w:t>‘</w:t>
      </w:r>
      <w:r w:rsidR="009A5FBB" w:rsidRPr="00A762C7">
        <w:rPr>
          <w:bCs/>
          <w:color w:val="000000"/>
        </w:rPr>
        <w:t xml:space="preserve">adjacent to </w:t>
      </w:r>
      <w:r w:rsidR="009A305E">
        <w:rPr>
          <w:bCs/>
          <w:color w:val="000000"/>
        </w:rPr>
        <w:t>its</w:t>
      </w:r>
      <w:r w:rsidR="009A5FBB" w:rsidRPr="00A762C7">
        <w:rPr>
          <w:bCs/>
          <w:color w:val="000000"/>
        </w:rPr>
        <w:t xml:space="preserve"> kin-state territory</w:t>
      </w:r>
      <w:r w:rsidR="009A305E">
        <w:rPr>
          <w:bCs/>
          <w:color w:val="000000"/>
        </w:rPr>
        <w:t>’</w:t>
      </w:r>
      <w:r w:rsidR="009A5FBB">
        <w:rPr>
          <w:bCs/>
          <w:color w:val="000000"/>
        </w:rPr>
        <w:t xml:space="preserve">. </w:t>
      </w:r>
      <w:r w:rsidR="00D93C19">
        <w:t>Despite decades-long negotiations on these issues</w:t>
      </w:r>
      <w:r w:rsidR="00D93C19" w:rsidRPr="00A762C7">
        <w:t>, it has never been empirically tested whether Greek Cypriots, including those internally displaced since 1974, would be willing to live as neighbours with Turkish</w:t>
      </w:r>
      <w:r w:rsidR="00D93C19">
        <w:t xml:space="preserve"> Cypriots as well as</w:t>
      </w:r>
      <w:r w:rsidR="00D93C19" w:rsidRPr="00A762C7">
        <w:t xml:space="preserve"> settlers.</w:t>
      </w:r>
      <w:r w:rsidR="00D93C19">
        <w:t xml:space="preserve"> To address this gap, </w:t>
      </w:r>
      <w:r w:rsidR="00D93C19">
        <w:rPr>
          <w:bCs/>
          <w:color w:val="000000"/>
        </w:rPr>
        <w:t>we</w:t>
      </w:r>
      <w:r w:rsidR="00331C04">
        <w:rPr>
          <w:bCs/>
          <w:color w:val="000000"/>
        </w:rPr>
        <w:t xml:space="preserve"> utilize</w:t>
      </w:r>
      <w:r w:rsidR="001C6A28">
        <w:rPr>
          <w:bCs/>
          <w:color w:val="000000"/>
        </w:rPr>
        <w:t xml:space="preserve"> t</w:t>
      </w:r>
      <w:r w:rsidR="00933B02">
        <w:rPr>
          <w:bCs/>
          <w:color w:val="000000"/>
        </w:rPr>
        <w:t>wo</w:t>
      </w:r>
      <w:r w:rsidR="001C6A28">
        <w:rPr>
          <w:bCs/>
          <w:color w:val="000000"/>
        </w:rPr>
        <w:t xml:space="preserve"> </w:t>
      </w:r>
      <w:r w:rsidR="00933B02">
        <w:rPr>
          <w:bCs/>
          <w:color w:val="000000"/>
        </w:rPr>
        <w:t>surveys in the Gre</w:t>
      </w:r>
      <w:r>
        <w:rPr>
          <w:bCs/>
          <w:color w:val="000000"/>
        </w:rPr>
        <w:t xml:space="preserve">ek </w:t>
      </w:r>
      <w:r w:rsidR="0016169E">
        <w:rPr>
          <w:bCs/>
          <w:color w:val="000000"/>
        </w:rPr>
        <w:t xml:space="preserve">Cypriot </w:t>
      </w:r>
      <w:r>
        <w:rPr>
          <w:bCs/>
          <w:color w:val="000000"/>
        </w:rPr>
        <w:t>and Turkish Cypriot communities</w:t>
      </w:r>
      <w:r w:rsidR="00331C04">
        <w:rPr>
          <w:bCs/>
          <w:color w:val="000000"/>
        </w:rPr>
        <w:t xml:space="preserve"> drawing insights from the transitional justice and forced migration literatures. </w:t>
      </w:r>
      <w:r w:rsidR="00CC4709">
        <w:rPr>
          <w:bCs/>
          <w:color w:val="000000"/>
        </w:rPr>
        <w:t>As argued elsewhere</w:t>
      </w:r>
      <w:r w:rsidR="00890A50">
        <w:rPr>
          <w:bCs/>
          <w:color w:val="000000"/>
        </w:rPr>
        <w:t xml:space="preserve"> (Kovras, 2017</w:t>
      </w:r>
      <w:r w:rsidR="00CC4709">
        <w:rPr>
          <w:bCs/>
          <w:color w:val="000000"/>
        </w:rPr>
        <w:t>:5</w:t>
      </w:r>
      <w:r w:rsidR="00F174D6">
        <w:rPr>
          <w:bCs/>
          <w:color w:val="000000"/>
        </w:rPr>
        <w:t>; Hall at al. 2018</w:t>
      </w:r>
      <w:r w:rsidR="00CC4709">
        <w:rPr>
          <w:bCs/>
          <w:color w:val="000000"/>
        </w:rPr>
        <w:t>)</w:t>
      </w:r>
      <w:r w:rsidR="00D33E97">
        <w:rPr>
          <w:bCs/>
          <w:color w:val="000000"/>
        </w:rPr>
        <w:t>,</w:t>
      </w:r>
      <w:r w:rsidR="00CC4709">
        <w:rPr>
          <w:bCs/>
          <w:color w:val="000000"/>
        </w:rPr>
        <w:t xml:space="preserve"> the mainstream literature</w:t>
      </w:r>
      <w:r w:rsidR="00F174D6">
        <w:rPr>
          <w:bCs/>
          <w:color w:val="000000"/>
        </w:rPr>
        <w:t xml:space="preserve"> on transitional justice</w:t>
      </w:r>
      <w:r w:rsidR="00CC4709">
        <w:rPr>
          <w:bCs/>
          <w:color w:val="000000"/>
        </w:rPr>
        <w:t xml:space="preserve"> has so far maintained a narrow scope, often treating </w:t>
      </w:r>
      <w:r w:rsidR="00F174D6">
        <w:rPr>
          <w:bCs/>
          <w:color w:val="000000"/>
        </w:rPr>
        <w:t>different</w:t>
      </w:r>
      <w:r w:rsidR="00CC4709">
        <w:rPr>
          <w:bCs/>
          <w:color w:val="000000"/>
        </w:rPr>
        <w:t xml:space="preserve"> victims’ groups as homogenous</w:t>
      </w:r>
      <w:r w:rsidR="00AD2791">
        <w:rPr>
          <w:bCs/>
          <w:color w:val="000000"/>
        </w:rPr>
        <w:t>,</w:t>
      </w:r>
      <w:r w:rsidR="00CC4709">
        <w:rPr>
          <w:bCs/>
          <w:color w:val="000000"/>
        </w:rPr>
        <w:t xml:space="preserve"> assuming uniform transitional justice preferences. Focusing on various demographic groups in Cyprus, our analysis aims to address this gap in the academic and policy literature.  </w:t>
      </w:r>
    </w:p>
    <w:p w14:paraId="090FE01D" w14:textId="60277043" w:rsidR="00BC09F7" w:rsidRPr="00DF5924" w:rsidRDefault="00F174D6" w:rsidP="00DF5924">
      <w:pPr>
        <w:spacing w:line="480" w:lineRule="auto"/>
        <w:ind w:firstLine="567"/>
        <w:jc w:val="both"/>
        <w:rPr>
          <w:color w:val="000000"/>
        </w:rPr>
      </w:pPr>
      <w:r>
        <w:rPr>
          <w:color w:val="000000"/>
        </w:rPr>
        <w:t>Following the Turkish invasion of Cyprus in</w:t>
      </w:r>
      <w:r w:rsidR="008A7C34">
        <w:rPr>
          <w:color w:val="000000"/>
        </w:rPr>
        <w:t xml:space="preserve"> 1974</w:t>
      </w:r>
      <w:r w:rsidR="00986CAA">
        <w:rPr>
          <w:color w:val="000000"/>
        </w:rPr>
        <w:t>,</w:t>
      </w:r>
      <w:r w:rsidR="008A7C34" w:rsidRPr="00A17A4D">
        <w:rPr>
          <w:color w:val="000000"/>
        </w:rPr>
        <w:t xml:space="preserve"> approximately 162,000 Greek Cypriots fled their cities and villages in the north, while around 45,000 Turkish Cypriots </w:t>
      </w:r>
      <w:r w:rsidR="008A7C34">
        <w:rPr>
          <w:color w:val="000000"/>
        </w:rPr>
        <w:t>living in the s</w:t>
      </w:r>
      <w:r w:rsidR="008A7C34" w:rsidRPr="00A17A4D">
        <w:rPr>
          <w:color w:val="000000"/>
        </w:rPr>
        <w:t>outh moved to the n</w:t>
      </w:r>
      <w:r w:rsidR="008A7C34">
        <w:rPr>
          <w:color w:val="000000"/>
        </w:rPr>
        <w:t xml:space="preserve">orth. These figures do not include earlier displacements </w:t>
      </w:r>
      <w:r w:rsidR="00986CAA">
        <w:rPr>
          <w:color w:val="000000"/>
        </w:rPr>
        <w:t xml:space="preserve">particularly of Turkish Cypriots since 1963 and </w:t>
      </w:r>
      <w:r w:rsidR="00DF5924">
        <w:rPr>
          <w:color w:val="000000"/>
        </w:rPr>
        <w:t xml:space="preserve">another 21,000 Greek Cypriots mainly from the Karpass Peninsula who fled despite the signing of the </w:t>
      </w:r>
      <w:r w:rsidR="00D93C19">
        <w:rPr>
          <w:color w:val="000000"/>
        </w:rPr>
        <w:t xml:space="preserve">August 1975 </w:t>
      </w:r>
      <w:r w:rsidR="00DF5924">
        <w:rPr>
          <w:color w:val="000000"/>
        </w:rPr>
        <w:t xml:space="preserve">Third Vienna Agreement aiming to protect those enclaved </w:t>
      </w:r>
      <w:r w:rsidR="00D93C19">
        <w:rPr>
          <w:color w:val="000000"/>
        </w:rPr>
        <w:t>during the war</w:t>
      </w:r>
      <w:r w:rsidR="00986CAA">
        <w:rPr>
          <w:color w:val="000000"/>
        </w:rPr>
        <w:t xml:space="preserve"> (Demetriou 2018</w:t>
      </w:r>
      <w:r w:rsidR="00DD462C">
        <w:rPr>
          <w:color w:val="000000"/>
        </w:rPr>
        <w:t>; Patrick 1976)</w:t>
      </w:r>
      <w:r w:rsidR="00986CAA">
        <w:rPr>
          <w:color w:val="000000"/>
        </w:rPr>
        <w:t xml:space="preserve">. </w:t>
      </w:r>
      <w:r w:rsidR="00986CAA">
        <w:rPr>
          <w:bCs/>
          <w:color w:val="000000"/>
        </w:rPr>
        <w:t>Meanwhile,</w:t>
      </w:r>
      <w:r w:rsidR="006F7A49">
        <w:rPr>
          <w:bCs/>
          <w:color w:val="000000"/>
        </w:rPr>
        <w:t xml:space="preserve"> </w:t>
      </w:r>
      <w:r w:rsidR="00F962B1" w:rsidRPr="00A762C7">
        <w:t xml:space="preserve">Turkish settlers </w:t>
      </w:r>
      <w:r w:rsidR="00986CAA">
        <w:t>were encouraged to</w:t>
      </w:r>
      <w:r w:rsidR="00F962B1" w:rsidRPr="00A762C7">
        <w:t xml:space="preserve"> inhabit the occupied </w:t>
      </w:r>
      <w:r w:rsidR="00986CAA">
        <w:t xml:space="preserve">northern part of Cyprus </w:t>
      </w:r>
      <w:r w:rsidR="00D45EF2" w:rsidRPr="00A762C7">
        <w:t>(</w:t>
      </w:r>
      <w:r w:rsidR="00F962B1" w:rsidRPr="00A762C7">
        <w:t>Sonan, Vural</w:t>
      </w:r>
      <w:r w:rsidR="00D45EF2" w:rsidRPr="00A762C7">
        <w:t>, and</w:t>
      </w:r>
      <w:r w:rsidR="00F962B1" w:rsidRPr="00A762C7">
        <w:t xml:space="preserve"> Ekenoglou, 2015).</w:t>
      </w:r>
      <w:r w:rsidR="00BC09F7" w:rsidRPr="00BC09F7">
        <w:t xml:space="preserve"> </w:t>
      </w:r>
      <w:r w:rsidR="00D93C19">
        <w:t xml:space="preserve">Further complicating the dispute, post-1974 settlers who constitute about </w:t>
      </w:r>
      <w:r w:rsidR="00D93C19">
        <w:lastRenderedPageBreak/>
        <w:t>one third of the electorate in the north (</w:t>
      </w:r>
      <w:r w:rsidR="00D93C19" w:rsidRPr="00A762C7">
        <w:t>Hatay 2005</w:t>
      </w:r>
      <w:r w:rsidR="00D93C19">
        <w:t xml:space="preserve">) as well as </w:t>
      </w:r>
      <w:r w:rsidR="00986CAA">
        <w:t>Turki</w:t>
      </w:r>
      <w:r w:rsidR="0002180A">
        <w:t>sh Cypriots displaced from the s</w:t>
      </w:r>
      <w:r w:rsidR="00986CAA">
        <w:t xml:space="preserve">outh </w:t>
      </w:r>
      <w:r w:rsidR="001C6A28">
        <w:t xml:space="preserve">took properties belonging </w:t>
      </w:r>
      <w:r w:rsidR="008E3CDD">
        <w:t xml:space="preserve">to </w:t>
      </w:r>
      <w:r w:rsidR="00BC09F7">
        <w:t>Greek Cypriot IDPs</w:t>
      </w:r>
      <w:r w:rsidR="00D93C19">
        <w:t>.</w:t>
      </w:r>
      <w:r w:rsidR="00D93C19">
        <w:rPr>
          <w:rStyle w:val="FootnoteReference"/>
        </w:rPr>
        <w:footnoteReference w:id="1"/>
      </w:r>
      <w:r w:rsidR="00BC09F7">
        <w:t xml:space="preserve"> </w:t>
      </w:r>
    </w:p>
    <w:p w14:paraId="45399BE7" w14:textId="7565EFA5" w:rsidR="0018780C" w:rsidRDefault="008E3CDD" w:rsidP="002F2241">
      <w:pPr>
        <w:spacing w:line="480" w:lineRule="auto"/>
        <w:ind w:firstLine="567"/>
        <w:jc w:val="both"/>
        <w:rPr>
          <w:color w:val="000000"/>
        </w:rPr>
      </w:pPr>
      <w:r>
        <w:t>Although</w:t>
      </w:r>
      <w:r w:rsidR="00BC09F7">
        <w:t xml:space="preserve"> in the decades that followed</w:t>
      </w:r>
      <w:r w:rsidR="00986CAA">
        <w:t xml:space="preserve"> the 1974 partition</w:t>
      </w:r>
      <w:r>
        <w:t xml:space="preserve"> both communities have attempted to</w:t>
      </w:r>
      <w:r w:rsidR="00BC09F7">
        <w:t xml:space="preserve"> develop </w:t>
      </w:r>
      <w:r>
        <w:t>reconciliation</w:t>
      </w:r>
      <w:r w:rsidR="00BC09F7">
        <w:t xml:space="preserve"> narratives</w:t>
      </w:r>
      <w:r>
        <w:t xml:space="preserve">, </w:t>
      </w:r>
      <w:r w:rsidR="005228CE">
        <w:t>their</w:t>
      </w:r>
      <w:r>
        <w:t xml:space="preserve"> perceptions</w:t>
      </w:r>
      <w:r w:rsidR="005228CE">
        <w:rPr>
          <w:color w:val="000000"/>
        </w:rPr>
        <w:t xml:space="preserve"> have diverged across preferred solutions</w:t>
      </w:r>
      <w:r>
        <w:rPr>
          <w:color w:val="000000"/>
        </w:rPr>
        <w:t>. While</w:t>
      </w:r>
      <w:r w:rsidRPr="00A17A4D">
        <w:rPr>
          <w:color w:val="000000"/>
        </w:rPr>
        <w:t xml:space="preserve"> Greek Cypriots ha</w:t>
      </w:r>
      <w:r>
        <w:rPr>
          <w:color w:val="000000"/>
        </w:rPr>
        <w:t>d</w:t>
      </w:r>
      <w:r w:rsidRPr="00A17A4D">
        <w:rPr>
          <w:color w:val="000000"/>
        </w:rPr>
        <w:t xml:space="preserve"> a great</w:t>
      </w:r>
      <w:r>
        <w:rPr>
          <w:color w:val="000000"/>
        </w:rPr>
        <w:t>er</w:t>
      </w:r>
      <w:r w:rsidRPr="00A17A4D">
        <w:rPr>
          <w:color w:val="000000"/>
        </w:rPr>
        <w:t xml:space="preserve"> tendency to sp</w:t>
      </w:r>
      <w:r>
        <w:rPr>
          <w:color w:val="000000"/>
        </w:rPr>
        <w:t>eak about return,</w:t>
      </w:r>
      <w:r w:rsidRPr="00A17A4D">
        <w:rPr>
          <w:color w:val="000000"/>
        </w:rPr>
        <w:t xml:space="preserve"> Turkish Cypriots defend</w:t>
      </w:r>
      <w:r w:rsidR="00BC09F7">
        <w:rPr>
          <w:color w:val="000000"/>
        </w:rPr>
        <w:t xml:space="preserve">ed </w:t>
      </w:r>
      <w:r w:rsidRPr="00A17A4D">
        <w:rPr>
          <w:color w:val="000000"/>
        </w:rPr>
        <w:t xml:space="preserve">the </w:t>
      </w:r>
      <w:r>
        <w:rPr>
          <w:color w:val="000000"/>
        </w:rPr>
        <w:t>post-1974</w:t>
      </w:r>
      <w:r w:rsidRPr="00A17A4D">
        <w:rPr>
          <w:color w:val="000000"/>
        </w:rPr>
        <w:t xml:space="preserve"> realities</w:t>
      </w:r>
      <w:r>
        <w:rPr>
          <w:color w:val="000000"/>
        </w:rPr>
        <w:t xml:space="preserve"> and </w:t>
      </w:r>
      <w:r w:rsidRPr="00A17A4D">
        <w:rPr>
          <w:color w:val="000000"/>
        </w:rPr>
        <w:t xml:space="preserve">demographic </w:t>
      </w:r>
      <w:r>
        <w:rPr>
          <w:color w:val="000000"/>
        </w:rPr>
        <w:t>changes</w:t>
      </w:r>
      <w:r w:rsidRPr="00A17A4D">
        <w:rPr>
          <w:color w:val="000000"/>
        </w:rPr>
        <w:t xml:space="preserve"> in the northern part of the island.</w:t>
      </w:r>
      <w:r>
        <w:rPr>
          <w:color w:val="000000"/>
        </w:rPr>
        <w:t xml:space="preserve"> </w:t>
      </w:r>
      <w:r w:rsidR="002F2241">
        <w:rPr>
          <w:color w:val="000000"/>
        </w:rPr>
        <w:t xml:space="preserve">Besides the specific processes available to actors in Cyprus, we argue that the findings largely reflect the ‘clustered discourses on transitional justice’ </w:t>
      </w:r>
      <w:r w:rsidR="00D7321D">
        <w:rPr>
          <w:color w:val="000000"/>
        </w:rPr>
        <w:t>(Orjuela 2018</w:t>
      </w:r>
      <w:r w:rsidR="009141C4">
        <w:rPr>
          <w:color w:val="000000"/>
        </w:rPr>
        <w:t xml:space="preserve">) </w:t>
      </w:r>
      <w:r w:rsidR="002F2241">
        <w:rPr>
          <w:color w:val="000000"/>
        </w:rPr>
        <w:t xml:space="preserve">around which each community has rallied </w:t>
      </w:r>
      <w:r w:rsidR="00147C0E">
        <w:rPr>
          <w:color w:val="000000"/>
        </w:rPr>
        <w:t>during the</w:t>
      </w:r>
      <w:r w:rsidR="002F2241">
        <w:rPr>
          <w:color w:val="000000"/>
        </w:rPr>
        <w:t xml:space="preserve"> </w:t>
      </w:r>
      <w:r w:rsidR="00147C0E">
        <w:rPr>
          <w:color w:val="000000"/>
        </w:rPr>
        <w:t>l</w:t>
      </w:r>
      <w:r w:rsidR="002F2241">
        <w:rPr>
          <w:color w:val="000000"/>
        </w:rPr>
        <w:t>ast half century.</w:t>
      </w:r>
      <w:r w:rsidR="002F2241">
        <w:rPr>
          <w:rStyle w:val="FootnoteReference"/>
          <w:color w:val="000000"/>
        </w:rPr>
        <w:footnoteReference w:id="2"/>
      </w:r>
      <w:r w:rsidR="002F2241">
        <w:rPr>
          <w:color w:val="000000"/>
        </w:rPr>
        <w:t xml:space="preserve"> </w:t>
      </w:r>
      <w:r>
        <w:rPr>
          <w:color w:val="000000"/>
        </w:rPr>
        <w:t xml:space="preserve">For these reasons, Cyprus provides an ideal </w:t>
      </w:r>
      <w:r w:rsidR="00147C0E">
        <w:rPr>
          <w:color w:val="000000"/>
        </w:rPr>
        <w:t>case to</w:t>
      </w:r>
      <w:r>
        <w:rPr>
          <w:color w:val="000000"/>
        </w:rPr>
        <w:t xml:space="preserve"> integrat</w:t>
      </w:r>
      <w:r w:rsidR="00147C0E">
        <w:rPr>
          <w:color w:val="000000"/>
        </w:rPr>
        <w:t>e</w:t>
      </w:r>
      <w:r>
        <w:rPr>
          <w:color w:val="000000"/>
        </w:rPr>
        <w:t xml:space="preserve"> the forced migration and transitional justice literatures that so far </w:t>
      </w:r>
      <w:r w:rsidR="00147C0E">
        <w:rPr>
          <w:color w:val="000000"/>
        </w:rPr>
        <w:t xml:space="preserve">have </w:t>
      </w:r>
      <w:r w:rsidR="00BC09F7">
        <w:rPr>
          <w:color w:val="000000"/>
        </w:rPr>
        <w:t xml:space="preserve">failed to </w:t>
      </w:r>
      <w:r w:rsidR="002F2241">
        <w:rPr>
          <w:color w:val="000000"/>
        </w:rPr>
        <w:t>share insights in addressing intractable conflicts</w:t>
      </w:r>
      <w:r>
        <w:rPr>
          <w:color w:val="000000"/>
        </w:rPr>
        <w:t xml:space="preserve">. </w:t>
      </w:r>
    </w:p>
    <w:p w14:paraId="6953132C" w14:textId="15052755" w:rsidR="00F962B1" w:rsidRPr="008E6E9E" w:rsidRDefault="008E3CDD" w:rsidP="00DD4307">
      <w:pPr>
        <w:spacing w:line="480" w:lineRule="auto"/>
        <w:ind w:firstLine="567"/>
        <w:jc w:val="both"/>
      </w:pPr>
      <w:r>
        <w:t>Cyprus also</w:t>
      </w:r>
      <w:r w:rsidR="00147C0E">
        <w:t xml:space="preserve"> has</w:t>
      </w:r>
      <w:r>
        <w:t xml:space="preserve"> the potential to pave the way for the resolution of such conflicts</w:t>
      </w:r>
      <w:r w:rsidR="00F174D6">
        <w:t xml:space="preserve"> as well as offer insights as to</w:t>
      </w:r>
      <w:r w:rsidR="00DD4307">
        <w:t xml:space="preserve"> how </w:t>
      </w:r>
      <w:r w:rsidR="00DD4307" w:rsidRPr="00A762C7">
        <w:rPr>
          <w:bCs/>
          <w:color w:val="000000"/>
        </w:rPr>
        <w:t xml:space="preserve">intergroup contact </w:t>
      </w:r>
      <w:r w:rsidR="00DD4307">
        <w:rPr>
          <w:bCs/>
          <w:color w:val="000000"/>
        </w:rPr>
        <w:t>could</w:t>
      </w:r>
      <w:r w:rsidR="007513E4">
        <w:rPr>
          <w:bCs/>
          <w:color w:val="000000"/>
        </w:rPr>
        <w:t xml:space="preserve"> facilitate</w:t>
      </w:r>
      <w:r w:rsidR="00DD4307" w:rsidRPr="00A762C7">
        <w:rPr>
          <w:bCs/>
          <w:color w:val="000000"/>
        </w:rPr>
        <w:t xml:space="preserve"> </w:t>
      </w:r>
      <w:r w:rsidR="00DD4307">
        <w:rPr>
          <w:bCs/>
          <w:color w:val="000000"/>
        </w:rPr>
        <w:t xml:space="preserve">the </w:t>
      </w:r>
      <w:r w:rsidR="00DD4307" w:rsidRPr="00A762C7">
        <w:rPr>
          <w:bCs/>
          <w:color w:val="000000"/>
        </w:rPr>
        <w:t xml:space="preserve">acceptance </w:t>
      </w:r>
      <w:r w:rsidR="00D80E36">
        <w:t>of cohabitation</w:t>
      </w:r>
      <w:r w:rsidR="00DD4307" w:rsidRPr="00A762C7">
        <w:rPr>
          <w:bCs/>
          <w:color w:val="000000"/>
        </w:rPr>
        <w:t>.</w:t>
      </w:r>
      <w:r w:rsidR="00DD4307">
        <w:t xml:space="preserve"> </w:t>
      </w:r>
      <w:r w:rsidR="00F962B1" w:rsidRPr="00A762C7">
        <w:t>During the 2015-2017</w:t>
      </w:r>
      <w:r w:rsidR="00486AC4">
        <w:t xml:space="preserve"> round of negotiations between the leaders of the two communities in Cyprus</w:t>
      </w:r>
      <w:r w:rsidR="00F962B1" w:rsidRPr="00A762C7">
        <w:t xml:space="preserve">, there </w:t>
      </w:r>
      <w:r w:rsidR="00D80E36">
        <w:t>have been few</w:t>
      </w:r>
      <w:r w:rsidR="00F962B1" w:rsidRPr="00A762C7">
        <w:t xml:space="preserve"> positive</w:t>
      </w:r>
      <w:r w:rsidR="00D80E36">
        <w:t xml:space="preserve"> convergences</w:t>
      </w:r>
      <w:r w:rsidR="002F2241">
        <w:t xml:space="preserve">. For one thing, the leaders </w:t>
      </w:r>
      <w:r w:rsidR="00D80E36">
        <w:t xml:space="preserve">have effectively </w:t>
      </w:r>
      <w:r w:rsidR="002F2241">
        <w:t>agree</w:t>
      </w:r>
      <w:r w:rsidR="00147C0E">
        <w:t>d</w:t>
      </w:r>
      <w:r w:rsidR="002F2241">
        <w:t xml:space="preserve"> that</w:t>
      </w:r>
      <w:r w:rsidR="00F962B1" w:rsidRPr="00A762C7">
        <w:t xml:space="preserve"> most of the settlers from Turkey who have already been granted citizenship by the internationally non-recognized Turkish Republic of Northern Cyprus (TRNC) would automatically become citizens of a reunited Cyprus. </w:t>
      </w:r>
      <w:r w:rsidR="00BC09F7">
        <w:t xml:space="preserve">Although the property </w:t>
      </w:r>
      <w:r w:rsidR="00D80E36">
        <w:t>issues of those displaced</w:t>
      </w:r>
      <w:r w:rsidR="00BC09F7">
        <w:t xml:space="preserve"> is still left unresolved, t</w:t>
      </w:r>
      <w:r>
        <w:t>he</w:t>
      </w:r>
      <w:r w:rsidR="008E6E9E">
        <w:t xml:space="preserve"> leaders have also agreed to remove restrictions on population movements</w:t>
      </w:r>
      <w:r w:rsidR="009141C4">
        <w:t>,</w:t>
      </w:r>
      <w:r w:rsidR="008E6E9E">
        <w:t xml:space="preserve"> thereby enabling IDPs returning home. Unsurprising, the</w:t>
      </w:r>
      <w:r w:rsidR="002F2241">
        <w:t xml:space="preserve"> proposed</w:t>
      </w:r>
      <w:r w:rsidR="008E6E9E">
        <w:t xml:space="preserve"> naturalization of settlers </w:t>
      </w:r>
      <w:r w:rsidR="00F962B1" w:rsidRPr="00A762C7">
        <w:t xml:space="preserve">has been fiercely debated in the Greek Cypriot public sphere </w:t>
      </w:r>
      <w:r w:rsidR="004E670C" w:rsidRPr="00A762C7">
        <w:t>by</w:t>
      </w:r>
      <w:r w:rsidR="00D173A2" w:rsidRPr="00A762C7">
        <w:t xml:space="preserve"> </w:t>
      </w:r>
      <w:r w:rsidR="008E6E9E">
        <w:t xml:space="preserve">political </w:t>
      </w:r>
      <w:r w:rsidR="00D173A2" w:rsidRPr="00A762C7">
        <w:t>parti</w:t>
      </w:r>
      <w:r w:rsidR="00FA476A" w:rsidRPr="00A762C7">
        <w:t>es opposing</w:t>
      </w:r>
      <w:r w:rsidR="00D173A2" w:rsidRPr="00A762C7">
        <w:t xml:space="preserve"> a settlement</w:t>
      </w:r>
      <w:r w:rsidR="00BC09F7">
        <w:t xml:space="preserve"> while Turkish Cypriots fear the return of Greek Cypriot </w:t>
      </w:r>
      <w:r w:rsidR="00BC09F7">
        <w:lastRenderedPageBreak/>
        <w:t>IDPs</w:t>
      </w:r>
      <w:r w:rsidR="00F962B1" w:rsidRPr="00A762C7">
        <w:t xml:space="preserve">. Given the convergence of the leaders and the aim of reaching sustainable peace in Cyprus versus </w:t>
      </w:r>
      <w:r w:rsidR="00FA476A" w:rsidRPr="00A762C7">
        <w:t>ongoing opposition to the peace settlement</w:t>
      </w:r>
      <w:r w:rsidR="00F962B1" w:rsidRPr="00A762C7">
        <w:t>, it is important to explore the levels of acceptance of living together with the ‘other’.</w:t>
      </w:r>
      <w:r w:rsidR="008E6E9E">
        <w:t xml:space="preserve"> Unlike other divided societies such as Lebanon or Northern Ireland, cohabitation in Cyprus will take a voluntary form </w:t>
      </w:r>
      <w:r w:rsidR="00D80E36">
        <w:t xml:space="preserve">(i.e. </w:t>
      </w:r>
      <w:r w:rsidR="008E6E9E">
        <w:t>after decades of an almost complete separation of the two communities</w:t>
      </w:r>
      <w:r w:rsidR="00D80E36">
        <w:t xml:space="preserve"> those returning back to their homes will do so if they wish to cohabitate with the other community)</w:t>
      </w:r>
      <w:r w:rsidR="008E6E9E">
        <w:t>.</w:t>
      </w:r>
      <w:r w:rsidR="00F962B1" w:rsidRPr="00A762C7">
        <w:t xml:space="preserve"> To this end, </w:t>
      </w:r>
      <w:r w:rsidR="008E6E9E">
        <w:t xml:space="preserve">return migration will play a key role in the reconciliation of </w:t>
      </w:r>
      <w:r w:rsidR="0002180A">
        <w:t xml:space="preserve">the </w:t>
      </w:r>
      <w:r w:rsidR="008E6E9E">
        <w:t>two communities</w:t>
      </w:r>
      <w:r w:rsidR="002F2241">
        <w:t xml:space="preserve"> </w:t>
      </w:r>
      <w:r w:rsidR="002F2241" w:rsidRPr="008C7184">
        <w:t>(see Hall et al. 2018)</w:t>
      </w:r>
      <w:r w:rsidR="008E6E9E" w:rsidRPr="008C7184">
        <w:t xml:space="preserve"> </w:t>
      </w:r>
      <w:r w:rsidR="00BC09F7" w:rsidRPr="008C7184">
        <w:t>or alternatively trigger new tensions, if the peace process lacks incentives for cooperation</w:t>
      </w:r>
      <w:r w:rsidR="002F2241" w:rsidRPr="008C7184">
        <w:t xml:space="preserve"> </w:t>
      </w:r>
      <w:r w:rsidR="00890A50" w:rsidRPr="008C7184">
        <w:t>(Lischer, 2015</w:t>
      </w:r>
      <w:r w:rsidR="002F2241" w:rsidRPr="008C7184">
        <w:t>)</w:t>
      </w:r>
      <w:r w:rsidR="00BC09F7" w:rsidRPr="008C7184">
        <w:t>.</w:t>
      </w:r>
      <w:r w:rsidR="00BC09F7">
        <w:t xml:space="preserve"> </w:t>
      </w:r>
      <w:r w:rsidR="008E6E9E">
        <w:t xml:space="preserve">To </w:t>
      </w:r>
      <w:r w:rsidR="00BC09F7">
        <w:t xml:space="preserve">better </w:t>
      </w:r>
      <w:r w:rsidR="008E6E9E">
        <w:t xml:space="preserve">understand these dynamics, </w:t>
      </w:r>
      <w:r w:rsidR="00BC09F7">
        <w:t>we</w:t>
      </w:r>
      <w:r w:rsidR="004E670C" w:rsidRPr="00A762C7">
        <w:t xml:space="preserve"> </w:t>
      </w:r>
      <w:r w:rsidR="00F962B1" w:rsidRPr="00A762C7">
        <w:t xml:space="preserve">probe the attitudes of Greek Cypriots, including those displaced by the war, and Turkish Cypriots, including Turkish settlers, to cohabitation. </w:t>
      </w:r>
    </w:p>
    <w:p w14:paraId="33135F7E" w14:textId="634EBC7E" w:rsidR="00FA476A" w:rsidRPr="00A762C7" w:rsidRDefault="00F962B1" w:rsidP="00FA476A">
      <w:pPr>
        <w:spacing w:line="480" w:lineRule="auto"/>
        <w:ind w:firstLine="567"/>
        <w:jc w:val="both"/>
      </w:pPr>
      <w:r w:rsidRPr="00A762C7">
        <w:rPr>
          <w:bCs/>
          <w:color w:val="000000"/>
        </w:rPr>
        <w:t>Settlers in contested territories</w:t>
      </w:r>
      <w:r w:rsidR="00D45EF2" w:rsidRPr="00A762C7">
        <w:rPr>
          <w:bCs/>
          <w:color w:val="000000"/>
        </w:rPr>
        <w:t>,</w:t>
      </w:r>
      <w:r w:rsidRPr="00A762C7">
        <w:rPr>
          <w:bCs/>
          <w:color w:val="000000"/>
        </w:rPr>
        <w:t xml:space="preserve"> in this case of Cyprus</w:t>
      </w:r>
      <w:r w:rsidR="00D45EF2" w:rsidRPr="00A762C7">
        <w:rPr>
          <w:bCs/>
          <w:color w:val="000000"/>
        </w:rPr>
        <w:t>,</w:t>
      </w:r>
      <w:r w:rsidRPr="00A762C7">
        <w:rPr>
          <w:bCs/>
          <w:color w:val="000000"/>
        </w:rPr>
        <w:t xml:space="preserve"> are discussed here as a diaspora adjacent to kin-state territories (</w:t>
      </w:r>
      <w:r w:rsidR="00D45EF2" w:rsidRPr="00A762C7">
        <w:rPr>
          <w:bCs/>
          <w:color w:val="000000"/>
        </w:rPr>
        <w:t xml:space="preserve">Brubaker </w:t>
      </w:r>
      <w:r w:rsidR="000C09DF">
        <w:rPr>
          <w:bCs/>
          <w:color w:val="000000"/>
        </w:rPr>
        <w:t>1996; Salehyan 2007, Cederman</w:t>
      </w:r>
      <w:r w:rsidRPr="00A762C7">
        <w:rPr>
          <w:bCs/>
          <w:color w:val="000000"/>
        </w:rPr>
        <w:t xml:space="preserve"> et al. 2</w:t>
      </w:r>
      <w:r w:rsidR="00D45EF2" w:rsidRPr="00A762C7">
        <w:rPr>
          <w:bCs/>
          <w:color w:val="000000"/>
        </w:rPr>
        <w:t xml:space="preserve">013; Koinova </w:t>
      </w:r>
      <w:r w:rsidRPr="00A762C7">
        <w:rPr>
          <w:bCs/>
          <w:color w:val="000000"/>
        </w:rPr>
        <w:t xml:space="preserve">2017) </w:t>
      </w:r>
      <w:r w:rsidR="00DD4307">
        <w:rPr>
          <w:bCs/>
          <w:color w:val="000000"/>
        </w:rPr>
        <w:t xml:space="preserve">focusing particularly on </w:t>
      </w:r>
      <w:r w:rsidRPr="00A762C7">
        <w:rPr>
          <w:bCs/>
          <w:color w:val="000000"/>
        </w:rPr>
        <w:t xml:space="preserve">efforts to </w:t>
      </w:r>
      <w:r w:rsidR="00FA476A" w:rsidRPr="00A762C7">
        <w:rPr>
          <w:bCs/>
          <w:color w:val="000000"/>
        </w:rPr>
        <w:t xml:space="preserve">mediate </w:t>
      </w:r>
      <w:r w:rsidR="0081274E" w:rsidRPr="00A762C7">
        <w:rPr>
          <w:bCs/>
          <w:color w:val="000000"/>
        </w:rPr>
        <w:t xml:space="preserve">peace and </w:t>
      </w:r>
      <w:r w:rsidRPr="00A762C7">
        <w:rPr>
          <w:bCs/>
          <w:color w:val="000000"/>
        </w:rPr>
        <w:t>transitional justice mechanisms.</w:t>
      </w:r>
      <w:r w:rsidR="00D173A2" w:rsidRPr="00A762C7">
        <w:t xml:space="preserve"> </w:t>
      </w:r>
      <w:r w:rsidRPr="00A762C7">
        <w:t xml:space="preserve">Despite the widespread </w:t>
      </w:r>
      <w:r w:rsidR="00DD4307">
        <w:t xml:space="preserve">public perception </w:t>
      </w:r>
      <w:r w:rsidRPr="00A762C7">
        <w:t xml:space="preserve"> that Greek Cypriot public opinion is largely opposed to the presence of Turkish settlers, it has never been empirically tested whether Greek Cypriots, including those internally displaced since 1974, would be willing to live as neighbours with Turkish settlers.</w:t>
      </w:r>
      <w:r w:rsidR="00D173A2" w:rsidRPr="00A762C7">
        <w:t xml:space="preserve"> </w:t>
      </w:r>
      <w:r w:rsidR="00532F48" w:rsidRPr="00A762C7">
        <w:t xml:space="preserve">Nor, for that matter, do we know what Turkish Cypriots </w:t>
      </w:r>
      <w:r w:rsidR="004E670C" w:rsidRPr="00A762C7">
        <w:t>and settlers themselves think of Greek Cypriots returning back to their ancestral lands.</w:t>
      </w:r>
      <w:r w:rsidR="00532F48" w:rsidRPr="00A762C7">
        <w:t xml:space="preserve"> </w:t>
      </w:r>
      <w:r w:rsidR="00EF141A" w:rsidRPr="00A762C7">
        <w:t xml:space="preserve">Settler politics are </w:t>
      </w:r>
      <w:r w:rsidR="00F55130" w:rsidRPr="00A762C7">
        <w:t>not</w:t>
      </w:r>
      <w:r w:rsidR="00EF141A" w:rsidRPr="00A762C7">
        <w:t xml:space="preserve"> unique to the Cyprus conflict</w:t>
      </w:r>
      <w:r w:rsidR="00DB1A9D" w:rsidRPr="00A762C7">
        <w:t>,</w:t>
      </w:r>
      <w:r w:rsidR="00EF141A" w:rsidRPr="00A762C7">
        <w:t xml:space="preserve"> and as argued elsewhere</w:t>
      </w:r>
      <w:r w:rsidR="00DB1A9D" w:rsidRPr="00A762C7">
        <w:t>,</w:t>
      </w:r>
      <w:r w:rsidR="00EF141A" w:rsidRPr="00A762C7">
        <w:t xml:space="preserve"> </w:t>
      </w:r>
      <w:r w:rsidR="0054172E" w:rsidRPr="00A762C7">
        <w:t>they have presented significant</w:t>
      </w:r>
      <w:r w:rsidR="00EF141A" w:rsidRPr="00A762C7">
        <w:t xml:space="preserve"> </w:t>
      </w:r>
      <w:r w:rsidR="0054172E" w:rsidRPr="00A762C7">
        <w:t>challenges in peace processes around the world</w:t>
      </w:r>
      <w:r w:rsidR="003624AF" w:rsidRPr="00A762C7">
        <w:t>.</w:t>
      </w:r>
      <w:r w:rsidR="0054172E" w:rsidRPr="00A762C7">
        <w:t xml:space="preserve"> </w:t>
      </w:r>
      <w:r w:rsidR="003624AF" w:rsidRPr="00A762C7">
        <w:t xml:space="preserve">For instance, in the West Bank, the Mindanao islands in the Philippines, </w:t>
      </w:r>
      <w:r w:rsidR="00F55130" w:rsidRPr="00A762C7">
        <w:t xml:space="preserve">and </w:t>
      </w:r>
      <w:r w:rsidR="003624AF" w:rsidRPr="00A762C7">
        <w:t>Tibet</w:t>
      </w:r>
      <w:r w:rsidR="00F55130" w:rsidRPr="00A762C7">
        <w:t>,</w:t>
      </w:r>
      <w:r w:rsidR="003624AF" w:rsidRPr="00A762C7">
        <w:t xml:space="preserve"> settler politics evolved</w:t>
      </w:r>
      <w:r w:rsidR="0054172E" w:rsidRPr="00A762C7">
        <w:t xml:space="preserve"> </w:t>
      </w:r>
      <w:r w:rsidR="00F55130" w:rsidRPr="00A762C7">
        <w:t xml:space="preserve">to </w:t>
      </w:r>
      <w:r w:rsidR="0054172E" w:rsidRPr="00A762C7">
        <w:t xml:space="preserve">the detriment of </w:t>
      </w:r>
      <w:r w:rsidR="00DD4307">
        <w:t>native</w:t>
      </w:r>
      <w:r w:rsidR="0054172E" w:rsidRPr="00A762C7">
        <w:t xml:space="preserve"> populations</w:t>
      </w:r>
      <w:r w:rsidR="00F55130" w:rsidRPr="00A762C7">
        <w:t>, resulting in</w:t>
      </w:r>
      <w:r w:rsidR="00477359" w:rsidRPr="00A762C7">
        <w:t xml:space="preserve"> violent conflict and resistance</w:t>
      </w:r>
      <w:r w:rsidR="00FA476A" w:rsidRPr="00A762C7">
        <w:t xml:space="preserve"> (</w:t>
      </w:r>
      <w:r w:rsidR="000C09DF">
        <w:t>Co-author</w:t>
      </w:r>
      <w:r w:rsidR="00C32CF6" w:rsidRPr="00A762C7">
        <w:t xml:space="preserve"> and </w:t>
      </w:r>
      <w:r w:rsidR="00477F36" w:rsidRPr="00A762C7">
        <w:t>Author B</w:t>
      </w:r>
      <w:r w:rsidR="00FA476A" w:rsidRPr="00A762C7">
        <w:t xml:space="preserve"> 2015). </w:t>
      </w:r>
      <w:r w:rsidR="00EF141A" w:rsidRPr="00A762C7">
        <w:t xml:space="preserve">While </w:t>
      </w:r>
      <w:r w:rsidR="00C46EF8" w:rsidRPr="00A762C7">
        <w:rPr>
          <w:bCs/>
          <w:color w:val="000000"/>
        </w:rPr>
        <w:t xml:space="preserve">settler and migration studies </w:t>
      </w:r>
      <w:r w:rsidR="009373EF" w:rsidRPr="00A762C7">
        <w:rPr>
          <w:bCs/>
          <w:color w:val="000000"/>
        </w:rPr>
        <w:t xml:space="preserve">offer specific categorizations, causal arguments and prescriptions </w:t>
      </w:r>
      <w:r w:rsidR="0054172E" w:rsidRPr="00A762C7">
        <w:rPr>
          <w:bCs/>
          <w:color w:val="000000"/>
        </w:rPr>
        <w:t>(</w:t>
      </w:r>
      <w:r w:rsidR="00C32CF6" w:rsidRPr="00A762C7">
        <w:rPr>
          <w:bCs/>
          <w:color w:val="000000"/>
        </w:rPr>
        <w:t>Lustick</w:t>
      </w:r>
      <w:r w:rsidR="00D9493C" w:rsidRPr="00A762C7">
        <w:rPr>
          <w:bCs/>
          <w:color w:val="000000"/>
        </w:rPr>
        <w:t xml:space="preserve"> 1985</w:t>
      </w:r>
      <w:r w:rsidR="00C32CF6" w:rsidRPr="00A762C7">
        <w:rPr>
          <w:bCs/>
          <w:color w:val="000000"/>
        </w:rPr>
        <w:t xml:space="preserve">; Laitin </w:t>
      </w:r>
      <w:r w:rsidR="0054172E" w:rsidRPr="00A762C7">
        <w:rPr>
          <w:bCs/>
          <w:color w:val="000000"/>
        </w:rPr>
        <w:t>1998</w:t>
      </w:r>
      <w:r w:rsidR="008D4714" w:rsidRPr="00A762C7">
        <w:rPr>
          <w:bCs/>
          <w:color w:val="000000"/>
        </w:rPr>
        <w:t>)</w:t>
      </w:r>
      <w:r w:rsidR="00EF141A" w:rsidRPr="00A762C7">
        <w:rPr>
          <w:bCs/>
          <w:color w:val="000000"/>
        </w:rPr>
        <w:t>,</w:t>
      </w:r>
      <w:r w:rsidR="009373EF" w:rsidRPr="00A762C7">
        <w:rPr>
          <w:bCs/>
          <w:color w:val="000000"/>
        </w:rPr>
        <w:t xml:space="preserve"> </w:t>
      </w:r>
      <w:r w:rsidR="00C46EF8" w:rsidRPr="00A762C7">
        <w:rPr>
          <w:bCs/>
          <w:color w:val="000000"/>
        </w:rPr>
        <w:t xml:space="preserve">only a handful have </w:t>
      </w:r>
      <w:r w:rsidR="00DB1A9D" w:rsidRPr="00A762C7">
        <w:rPr>
          <w:bCs/>
          <w:color w:val="000000"/>
        </w:rPr>
        <w:t xml:space="preserve">empirically </w:t>
      </w:r>
      <w:r w:rsidR="009373EF" w:rsidRPr="00A762C7">
        <w:rPr>
          <w:bCs/>
          <w:color w:val="000000"/>
        </w:rPr>
        <w:t>test</w:t>
      </w:r>
      <w:r w:rsidR="00F55130" w:rsidRPr="00A762C7">
        <w:rPr>
          <w:bCs/>
          <w:color w:val="000000"/>
        </w:rPr>
        <w:t>ed</w:t>
      </w:r>
      <w:r w:rsidR="009373EF" w:rsidRPr="00A762C7">
        <w:rPr>
          <w:bCs/>
          <w:color w:val="000000"/>
        </w:rPr>
        <w:t xml:space="preserve"> related normative claims</w:t>
      </w:r>
      <w:r w:rsidR="00EF141A" w:rsidRPr="00A762C7">
        <w:rPr>
          <w:bCs/>
          <w:color w:val="000000"/>
        </w:rPr>
        <w:t xml:space="preserve">. </w:t>
      </w:r>
      <w:r w:rsidR="00EF141A" w:rsidRPr="00A762C7">
        <w:rPr>
          <w:bCs/>
          <w:color w:val="000000"/>
        </w:rPr>
        <w:lastRenderedPageBreak/>
        <w:t>This is</w:t>
      </w:r>
      <w:r w:rsidR="00C46EF8" w:rsidRPr="00A762C7">
        <w:rPr>
          <w:bCs/>
          <w:color w:val="000000"/>
        </w:rPr>
        <w:t xml:space="preserve"> partly due to the absence of reliable survey data from affected communities</w:t>
      </w:r>
      <w:r w:rsidR="00F55130" w:rsidRPr="00A762C7">
        <w:rPr>
          <w:bCs/>
          <w:color w:val="000000"/>
        </w:rPr>
        <w:t>,</w:t>
      </w:r>
      <w:r w:rsidR="00C46EF8" w:rsidRPr="00A762C7">
        <w:rPr>
          <w:bCs/>
          <w:color w:val="000000"/>
        </w:rPr>
        <w:t xml:space="preserve"> including displaced persons, settlers and the general population</w:t>
      </w:r>
      <w:r w:rsidR="008D4714" w:rsidRPr="00A762C7">
        <w:rPr>
          <w:bCs/>
          <w:color w:val="000000"/>
        </w:rPr>
        <w:t xml:space="preserve">, </w:t>
      </w:r>
      <w:r w:rsidR="00F55130" w:rsidRPr="00A762C7">
        <w:rPr>
          <w:bCs/>
          <w:color w:val="000000"/>
        </w:rPr>
        <w:t>especially</w:t>
      </w:r>
      <w:r w:rsidR="0054172E" w:rsidRPr="00A762C7">
        <w:rPr>
          <w:bCs/>
          <w:color w:val="000000"/>
        </w:rPr>
        <w:t xml:space="preserve"> survey</w:t>
      </w:r>
      <w:r w:rsidR="00F55130" w:rsidRPr="00A762C7">
        <w:rPr>
          <w:bCs/>
          <w:color w:val="000000"/>
        </w:rPr>
        <w:t>s</w:t>
      </w:r>
      <w:r w:rsidR="0054172E" w:rsidRPr="00A762C7">
        <w:rPr>
          <w:bCs/>
          <w:color w:val="000000"/>
        </w:rPr>
        <w:t xml:space="preserve"> addressing transitional justice and reconciliation mechanisms</w:t>
      </w:r>
      <w:r w:rsidR="00C46EF8" w:rsidRPr="00A762C7">
        <w:rPr>
          <w:bCs/>
          <w:color w:val="000000"/>
        </w:rPr>
        <w:t>.</w:t>
      </w:r>
      <w:r w:rsidR="00C14AE1" w:rsidRPr="00A762C7">
        <w:rPr>
          <w:bCs/>
          <w:color w:val="000000"/>
        </w:rPr>
        <w:t xml:space="preserve"> </w:t>
      </w:r>
      <w:r w:rsidR="00A64AB7" w:rsidRPr="00A762C7">
        <w:rPr>
          <w:bCs/>
          <w:color w:val="000000"/>
        </w:rPr>
        <w:t xml:space="preserve">We address this gap using new survey data collected from Greek </w:t>
      </w:r>
      <w:r w:rsidR="00C32CF6" w:rsidRPr="00A762C7">
        <w:rPr>
          <w:bCs/>
          <w:color w:val="000000"/>
        </w:rPr>
        <w:t xml:space="preserve">Cypriots </w:t>
      </w:r>
      <w:r w:rsidR="00A64AB7" w:rsidRPr="00A762C7">
        <w:rPr>
          <w:bCs/>
          <w:color w:val="000000"/>
        </w:rPr>
        <w:t>and Turkish Cypriots of voting age, asking a series of questions targeted at the possibility of cohabitation in the event of a possible settlement.</w:t>
      </w:r>
    </w:p>
    <w:p w14:paraId="09433CD1" w14:textId="0869C886" w:rsidR="002A1E0E" w:rsidRPr="00A762C7" w:rsidRDefault="00A64AB7" w:rsidP="00C32CF6">
      <w:pPr>
        <w:spacing w:line="480" w:lineRule="auto"/>
        <w:ind w:firstLine="567"/>
        <w:jc w:val="both"/>
        <w:rPr>
          <w:bCs/>
          <w:color w:val="000000"/>
        </w:rPr>
      </w:pPr>
      <w:r w:rsidRPr="00A762C7">
        <w:rPr>
          <w:bCs/>
          <w:color w:val="000000"/>
        </w:rPr>
        <w:t>We identify variations in support for acceptance of renewed cohabitation across different population groups, looking at age, gender</w:t>
      </w:r>
      <w:r w:rsidR="00C32CF6" w:rsidRPr="00A762C7">
        <w:rPr>
          <w:bCs/>
          <w:color w:val="000000"/>
        </w:rPr>
        <w:t>, educational level</w:t>
      </w:r>
      <w:r w:rsidRPr="00A762C7">
        <w:rPr>
          <w:bCs/>
          <w:color w:val="000000"/>
        </w:rPr>
        <w:t xml:space="preserve"> and victimization status within each group. In </w:t>
      </w:r>
      <w:r w:rsidR="0037480A" w:rsidRPr="00A762C7">
        <w:rPr>
          <w:bCs/>
          <w:color w:val="000000"/>
        </w:rPr>
        <w:t>S</w:t>
      </w:r>
      <w:r w:rsidRPr="00A762C7">
        <w:rPr>
          <w:bCs/>
          <w:color w:val="000000"/>
        </w:rPr>
        <w:t>tudy 1, we consider Greek Cypriot attitudes to the Turkish settler community and juxtapose those with attitudes to indigenous Turkish Cypriots</w:t>
      </w:r>
      <w:r w:rsidR="00C32CF6" w:rsidRPr="00A762C7">
        <w:rPr>
          <w:bCs/>
          <w:color w:val="000000"/>
        </w:rPr>
        <w:t xml:space="preserve">. </w:t>
      </w:r>
      <w:r w:rsidR="0037480A" w:rsidRPr="00A762C7">
        <w:rPr>
          <w:bCs/>
          <w:color w:val="000000"/>
        </w:rPr>
        <w:t>In S</w:t>
      </w:r>
      <w:r w:rsidRPr="00A762C7">
        <w:rPr>
          <w:bCs/>
          <w:color w:val="000000"/>
        </w:rPr>
        <w:t>tudy 2, we examine various groups of Turkish Cypriots, including settlers in Cyprus, and evaluate their attitudes to cohabitation with Greek Cypriots. The findings support the quality of intergroup contact as a factor facilitating acceptance of cohabitation. Contrary to th</w:t>
      </w:r>
      <w:r w:rsidR="00B71CD0" w:rsidRPr="00A762C7">
        <w:rPr>
          <w:bCs/>
          <w:color w:val="000000"/>
        </w:rPr>
        <w:t>e predominant belief</w:t>
      </w:r>
      <w:r w:rsidR="0020478E" w:rsidRPr="00A762C7">
        <w:rPr>
          <w:bCs/>
          <w:color w:val="000000"/>
        </w:rPr>
        <w:t>s in both communities</w:t>
      </w:r>
      <w:r w:rsidRPr="00A762C7">
        <w:rPr>
          <w:bCs/>
          <w:color w:val="000000"/>
        </w:rPr>
        <w:t xml:space="preserve">, individual victimization resulting </w:t>
      </w:r>
      <w:r w:rsidR="0020478E" w:rsidRPr="00A762C7">
        <w:rPr>
          <w:bCs/>
          <w:color w:val="000000"/>
        </w:rPr>
        <w:t xml:space="preserve">from the 1963-1974 conflicts, </w:t>
      </w:r>
      <w:r w:rsidR="00486AC4">
        <w:rPr>
          <w:bCs/>
          <w:color w:val="000000"/>
        </w:rPr>
        <w:t xml:space="preserve">with the exception of a trend related to the IDP status, </w:t>
      </w:r>
      <w:r w:rsidRPr="00A762C7">
        <w:rPr>
          <w:bCs/>
          <w:color w:val="000000"/>
        </w:rPr>
        <w:t xml:space="preserve">does not account for variations in acceptance of cohabitation. Based on the findings, we </w:t>
      </w:r>
      <w:r w:rsidR="00150032" w:rsidRPr="00A762C7">
        <w:rPr>
          <w:bCs/>
          <w:color w:val="000000"/>
        </w:rPr>
        <w:t>also discuss the potential impact of</w:t>
      </w:r>
      <w:r w:rsidRPr="00A762C7">
        <w:rPr>
          <w:bCs/>
          <w:color w:val="000000"/>
        </w:rPr>
        <w:t xml:space="preserve"> </w:t>
      </w:r>
      <w:r w:rsidR="000C09DF">
        <w:rPr>
          <w:bCs/>
          <w:color w:val="000000"/>
        </w:rPr>
        <w:t>transitional justice interventions and intergroup contact</w:t>
      </w:r>
      <w:r w:rsidRPr="00A762C7">
        <w:rPr>
          <w:bCs/>
          <w:color w:val="000000"/>
        </w:rPr>
        <w:t xml:space="preserve"> </w:t>
      </w:r>
      <w:r w:rsidR="00A11759">
        <w:rPr>
          <w:bCs/>
          <w:color w:val="000000"/>
        </w:rPr>
        <w:t>while indicating how our work could influence future surveys</w:t>
      </w:r>
      <w:r w:rsidRPr="00A762C7">
        <w:rPr>
          <w:bCs/>
          <w:color w:val="000000"/>
        </w:rPr>
        <w:t xml:space="preserve"> </w:t>
      </w:r>
      <w:r w:rsidR="00A11759">
        <w:rPr>
          <w:bCs/>
          <w:color w:val="000000"/>
        </w:rPr>
        <w:t xml:space="preserve">aiming to better understand and influence cohabitation </w:t>
      </w:r>
      <w:r w:rsidRPr="00A762C7">
        <w:rPr>
          <w:bCs/>
          <w:color w:val="000000"/>
        </w:rPr>
        <w:t xml:space="preserve">and </w:t>
      </w:r>
      <w:r w:rsidR="00A11759">
        <w:rPr>
          <w:bCs/>
          <w:color w:val="000000"/>
        </w:rPr>
        <w:t xml:space="preserve">sustainable </w:t>
      </w:r>
      <w:r w:rsidRPr="00A762C7">
        <w:rPr>
          <w:bCs/>
          <w:color w:val="000000"/>
        </w:rPr>
        <w:t>peace.</w:t>
      </w:r>
      <w:r w:rsidR="00DD462C">
        <w:rPr>
          <w:bCs/>
          <w:color w:val="000000"/>
        </w:rPr>
        <w:t xml:space="preserve"> </w:t>
      </w:r>
    </w:p>
    <w:p w14:paraId="4B6AB580" w14:textId="77777777" w:rsidR="00643735" w:rsidRPr="00A762C7" w:rsidRDefault="00643735" w:rsidP="00FD67E7">
      <w:pPr>
        <w:spacing w:line="480" w:lineRule="auto"/>
        <w:jc w:val="both"/>
        <w:rPr>
          <w:b/>
        </w:rPr>
      </w:pPr>
    </w:p>
    <w:p w14:paraId="57C1C119" w14:textId="77777777" w:rsidR="00C81A3B" w:rsidRPr="00A762C7" w:rsidRDefault="00C81A3B" w:rsidP="00066F49">
      <w:pPr>
        <w:spacing w:line="480" w:lineRule="auto"/>
        <w:rPr>
          <w:b/>
        </w:rPr>
      </w:pPr>
      <w:r w:rsidRPr="00A762C7">
        <w:rPr>
          <w:b/>
        </w:rPr>
        <w:t>S</w:t>
      </w:r>
      <w:r w:rsidR="0009276A" w:rsidRPr="00A762C7">
        <w:rPr>
          <w:b/>
        </w:rPr>
        <w:t>t</w:t>
      </w:r>
      <w:r w:rsidRPr="00A762C7">
        <w:rPr>
          <w:b/>
        </w:rPr>
        <w:t>udy 1</w:t>
      </w:r>
    </w:p>
    <w:p w14:paraId="3F19AE81" w14:textId="77777777" w:rsidR="00415CBD" w:rsidRPr="00A762C7" w:rsidRDefault="009B0F71" w:rsidP="009409A1">
      <w:pPr>
        <w:spacing w:line="480" w:lineRule="auto"/>
        <w:jc w:val="both"/>
      </w:pPr>
      <w:r w:rsidRPr="00A762C7">
        <w:t xml:space="preserve">Research </w:t>
      </w:r>
      <w:r w:rsidR="00415CBD" w:rsidRPr="00A762C7">
        <w:t xml:space="preserve">Methods </w:t>
      </w:r>
    </w:p>
    <w:p w14:paraId="57485D35" w14:textId="77777777" w:rsidR="00E9550F" w:rsidRPr="00A762C7" w:rsidRDefault="00E9550F" w:rsidP="009409A1">
      <w:pPr>
        <w:pStyle w:val="p"/>
        <w:spacing w:line="480" w:lineRule="auto"/>
        <w:ind w:firstLine="0"/>
        <w:jc w:val="both"/>
        <w:rPr>
          <w:lang w:val="en-GB"/>
        </w:rPr>
      </w:pPr>
      <w:r w:rsidRPr="00A762C7">
        <w:rPr>
          <w:lang w:val="en-GB"/>
        </w:rPr>
        <w:t>Sample</w:t>
      </w:r>
    </w:p>
    <w:p w14:paraId="0E2CAC00" w14:textId="1E27E1B7" w:rsidR="000C2C69" w:rsidRPr="00A762C7" w:rsidRDefault="00E9550F" w:rsidP="009409A1">
      <w:pPr>
        <w:pStyle w:val="p"/>
        <w:spacing w:line="480" w:lineRule="auto"/>
        <w:ind w:firstLine="0"/>
        <w:jc w:val="both"/>
        <w:rPr>
          <w:lang w:val="en-GB"/>
        </w:rPr>
      </w:pPr>
      <w:r w:rsidRPr="00A762C7">
        <w:rPr>
          <w:lang w:val="en-GB"/>
        </w:rPr>
        <w:t xml:space="preserve">The study was conducted </w:t>
      </w:r>
      <w:r w:rsidR="00F20964" w:rsidRPr="00A762C7">
        <w:rPr>
          <w:lang w:val="en-GB"/>
        </w:rPr>
        <w:t xml:space="preserve">by the University Centre for Field Studies of the University of Cyprus in Nicosia, Cyprus, </w:t>
      </w:r>
      <w:r w:rsidRPr="00A762C7">
        <w:rPr>
          <w:lang w:val="en-GB"/>
        </w:rPr>
        <w:t xml:space="preserve">through telephone interviews </w:t>
      </w:r>
      <w:r w:rsidR="00670A61" w:rsidRPr="00A762C7">
        <w:rPr>
          <w:lang w:val="en-GB"/>
        </w:rPr>
        <w:t>using</w:t>
      </w:r>
      <w:r w:rsidRPr="00A762C7">
        <w:rPr>
          <w:lang w:val="en-GB"/>
        </w:rPr>
        <w:t xml:space="preserve"> </w:t>
      </w:r>
      <w:r w:rsidR="001E0C1D" w:rsidRPr="00A762C7">
        <w:rPr>
          <w:lang w:val="en-GB"/>
        </w:rPr>
        <w:t xml:space="preserve">the </w:t>
      </w:r>
      <w:r w:rsidRPr="00A762C7">
        <w:rPr>
          <w:lang w:val="en-GB"/>
        </w:rPr>
        <w:t>NIPO/CATI program</w:t>
      </w:r>
      <w:r w:rsidR="008D6E3A">
        <w:rPr>
          <w:lang w:val="en-GB"/>
        </w:rPr>
        <w:t xml:space="preserve"> randomly selected from a </w:t>
      </w:r>
      <w:r w:rsidR="00752189">
        <w:rPr>
          <w:lang w:val="en-GB"/>
        </w:rPr>
        <w:t xml:space="preserve">directory </w:t>
      </w:r>
      <w:r w:rsidR="00DE07D3" w:rsidRPr="00A762C7">
        <w:rPr>
          <w:lang w:val="en-GB"/>
        </w:rPr>
        <w:t>and ran from</w:t>
      </w:r>
      <w:r w:rsidRPr="00A762C7">
        <w:rPr>
          <w:lang w:val="en-GB"/>
        </w:rPr>
        <w:t xml:space="preserve"> 29 February </w:t>
      </w:r>
      <w:r w:rsidR="00670A61" w:rsidRPr="00A762C7">
        <w:rPr>
          <w:lang w:val="en-GB"/>
        </w:rPr>
        <w:t xml:space="preserve">2016 </w:t>
      </w:r>
      <w:r w:rsidR="00DE07D3" w:rsidRPr="00A762C7">
        <w:rPr>
          <w:lang w:val="en-GB"/>
        </w:rPr>
        <w:t>to</w:t>
      </w:r>
      <w:r w:rsidRPr="00A762C7">
        <w:rPr>
          <w:lang w:val="en-GB"/>
        </w:rPr>
        <w:t xml:space="preserve"> 22 March 2016. Participants </w:t>
      </w:r>
      <w:r w:rsidR="00DE07D3" w:rsidRPr="00A762C7">
        <w:rPr>
          <w:lang w:val="en-GB"/>
        </w:rPr>
        <w:t>came</w:t>
      </w:r>
      <w:r w:rsidRPr="00A762C7">
        <w:rPr>
          <w:lang w:val="en-GB"/>
        </w:rPr>
        <w:t xml:space="preserve"> from both urban and rural areas in each district of </w:t>
      </w:r>
      <w:r w:rsidR="00670A61" w:rsidRPr="00A762C7">
        <w:rPr>
          <w:lang w:val="en-GB"/>
        </w:rPr>
        <w:t xml:space="preserve">the </w:t>
      </w:r>
      <w:r w:rsidRPr="00A762C7">
        <w:rPr>
          <w:lang w:val="en-GB"/>
        </w:rPr>
        <w:t>Republic of Cyprus (</w:t>
      </w:r>
      <w:r w:rsidR="00F20964" w:rsidRPr="00A762C7">
        <w:rPr>
          <w:lang w:val="en-GB"/>
        </w:rPr>
        <w:t xml:space="preserve">Greek Cypriot </w:t>
      </w:r>
      <w:r w:rsidR="00F20964" w:rsidRPr="00A762C7">
        <w:rPr>
          <w:lang w:val="en-GB"/>
        </w:rPr>
        <w:lastRenderedPageBreak/>
        <w:t>community</w:t>
      </w:r>
      <w:r w:rsidRPr="00A762C7">
        <w:rPr>
          <w:lang w:val="en-GB"/>
        </w:rPr>
        <w:t xml:space="preserve">). Eligible </w:t>
      </w:r>
      <w:r w:rsidR="00F20964" w:rsidRPr="00A762C7">
        <w:rPr>
          <w:lang w:val="en-GB"/>
        </w:rPr>
        <w:t xml:space="preserve">participants </w:t>
      </w:r>
      <w:r w:rsidR="00DE07D3" w:rsidRPr="00A762C7">
        <w:rPr>
          <w:lang w:val="en-GB"/>
        </w:rPr>
        <w:t xml:space="preserve">were </w:t>
      </w:r>
      <w:r w:rsidRPr="00A762C7">
        <w:rPr>
          <w:lang w:val="en-GB"/>
        </w:rPr>
        <w:t xml:space="preserve">over 18 years old with voting rights. The total sample </w:t>
      </w:r>
      <w:r w:rsidR="00DE07D3" w:rsidRPr="00A762C7">
        <w:rPr>
          <w:lang w:val="en-GB"/>
        </w:rPr>
        <w:t>included</w:t>
      </w:r>
      <w:r w:rsidRPr="00A762C7">
        <w:rPr>
          <w:lang w:val="en-GB"/>
        </w:rPr>
        <w:t xml:space="preserve"> 1605 participants.  The findings </w:t>
      </w:r>
      <w:r w:rsidR="00DE07D3" w:rsidRPr="00A762C7">
        <w:rPr>
          <w:lang w:val="en-GB"/>
        </w:rPr>
        <w:t>in this section are for the</w:t>
      </w:r>
      <w:r w:rsidRPr="00A762C7">
        <w:rPr>
          <w:lang w:val="en-GB"/>
        </w:rPr>
        <w:t xml:space="preserve"> Greek Cypriot sample only. </w:t>
      </w:r>
    </w:p>
    <w:p w14:paraId="62CF2522" w14:textId="77777777" w:rsidR="004E7E0E" w:rsidRPr="00A762C7" w:rsidRDefault="004E7E0E" w:rsidP="009409A1">
      <w:pPr>
        <w:pStyle w:val="p"/>
        <w:spacing w:line="480" w:lineRule="auto"/>
        <w:jc w:val="both"/>
        <w:rPr>
          <w:lang w:val="en-GB"/>
        </w:rPr>
      </w:pPr>
    </w:p>
    <w:p w14:paraId="3FD07ED7" w14:textId="77777777" w:rsidR="000C2C69" w:rsidRPr="00A762C7" w:rsidRDefault="004E7E0E" w:rsidP="009409A1">
      <w:pPr>
        <w:pStyle w:val="p"/>
        <w:spacing w:line="480" w:lineRule="auto"/>
        <w:ind w:firstLine="0"/>
        <w:jc w:val="both"/>
        <w:rPr>
          <w:lang w:val="en-GB"/>
        </w:rPr>
      </w:pPr>
      <w:r w:rsidRPr="00A762C7">
        <w:rPr>
          <w:lang w:val="en-GB"/>
        </w:rPr>
        <w:t>Questionnaire</w:t>
      </w:r>
    </w:p>
    <w:p w14:paraId="3C9ED0C0" w14:textId="2F7F8435" w:rsidR="00F20964" w:rsidRPr="00A762C7" w:rsidRDefault="004E7E0E" w:rsidP="009409A1">
      <w:pPr>
        <w:pStyle w:val="p"/>
        <w:spacing w:line="480" w:lineRule="auto"/>
        <w:ind w:firstLine="709"/>
        <w:jc w:val="both"/>
        <w:rPr>
          <w:lang w:val="en-GB"/>
        </w:rPr>
      </w:pPr>
      <w:r w:rsidRPr="00A762C7">
        <w:rPr>
          <w:lang w:val="en-GB"/>
        </w:rPr>
        <w:t xml:space="preserve">The questionnaire took about 20 minutes to complete and consisted of </w:t>
      </w:r>
      <w:r w:rsidR="001E2B46" w:rsidRPr="00A762C7">
        <w:rPr>
          <w:lang w:val="en-GB"/>
        </w:rPr>
        <w:t>five parts: A)</w:t>
      </w:r>
      <w:r w:rsidRPr="00A762C7">
        <w:rPr>
          <w:lang w:val="en-GB"/>
        </w:rPr>
        <w:t xml:space="preserve"> demographic questions (gender, age, </w:t>
      </w:r>
      <w:r w:rsidR="002B5140">
        <w:rPr>
          <w:lang w:val="en-GB"/>
        </w:rPr>
        <w:t>IDP</w:t>
      </w:r>
      <w:r w:rsidRPr="00A762C7">
        <w:rPr>
          <w:lang w:val="en-GB"/>
        </w:rPr>
        <w:t xml:space="preserve"> status, place of residence in terms of district and area</w:t>
      </w:r>
      <w:r w:rsidR="00CF37B0" w:rsidRPr="00A762C7">
        <w:rPr>
          <w:lang w:val="en-GB"/>
        </w:rPr>
        <w:t xml:space="preserve"> [rural or urban]</w:t>
      </w:r>
      <w:r w:rsidR="00456C76" w:rsidRPr="00A762C7">
        <w:rPr>
          <w:lang w:val="en-GB"/>
        </w:rPr>
        <w:t>, educational level</w:t>
      </w:r>
      <w:r w:rsidR="00DE07D3" w:rsidRPr="00A762C7">
        <w:rPr>
          <w:lang w:val="en-GB"/>
        </w:rPr>
        <w:t xml:space="preserve">); </w:t>
      </w:r>
      <w:r w:rsidR="00456C76" w:rsidRPr="00A762C7">
        <w:rPr>
          <w:lang w:val="en-GB"/>
        </w:rPr>
        <w:t xml:space="preserve">B) </w:t>
      </w:r>
      <w:r w:rsidR="00CF37B0" w:rsidRPr="00A762C7">
        <w:rPr>
          <w:lang w:val="en-GB"/>
        </w:rPr>
        <w:t xml:space="preserve">socio-political questions </w:t>
      </w:r>
      <w:r w:rsidR="00DE07D3" w:rsidRPr="00A762C7">
        <w:rPr>
          <w:lang w:val="en-GB"/>
        </w:rPr>
        <w:t>on</w:t>
      </w:r>
      <w:r w:rsidR="00E743C8" w:rsidRPr="00A762C7">
        <w:rPr>
          <w:lang w:val="en-GB"/>
        </w:rPr>
        <w:t xml:space="preserve"> accepting</w:t>
      </w:r>
      <w:r w:rsidR="00CF37B0" w:rsidRPr="00A762C7">
        <w:rPr>
          <w:lang w:val="en-GB"/>
        </w:rPr>
        <w:t xml:space="preserve"> a neighbo</w:t>
      </w:r>
      <w:r w:rsidR="00DE07D3" w:rsidRPr="00A762C7">
        <w:rPr>
          <w:lang w:val="en-GB"/>
        </w:rPr>
        <w:t>u</w:t>
      </w:r>
      <w:r w:rsidR="00CF37B0" w:rsidRPr="00A762C7">
        <w:rPr>
          <w:lang w:val="en-GB"/>
        </w:rPr>
        <w:t xml:space="preserve">r from </w:t>
      </w:r>
      <w:r w:rsidR="00DE07D3" w:rsidRPr="00A762C7">
        <w:rPr>
          <w:lang w:val="en-GB"/>
        </w:rPr>
        <w:t xml:space="preserve">a </w:t>
      </w:r>
      <w:r w:rsidR="00CF37B0" w:rsidRPr="00A762C7">
        <w:rPr>
          <w:lang w:val="en-GB"/>
        </w:rPr>
        <w:t>different outgroup,</w:t>
      </w:r>
      <w:r w:rsidR="00456C76" w:rsidRPr="00A762C7">
        <w:rPr>
          <w:lang w:val="en-GB"/>
        </w:rPr>
        <w:t xml:space="preserve"> and relations with other displaced people</w:t>
      </w:r>
      <w:r w:rsidR="00DE07D3" w:rsidRPr="00A762C7">
        <w:rPr>
          <w:lang w:val="en-GB"/>
        </w:rPr>
        <w:t>;</w:t>
      </w:r>
      <w:r w:rsidR="00456C76" w:rsidRPr="00A762C7">
        <w:rPr>
          <w:lang w:val="en-GB"/>
        </w:rPr>
        <w:t xml:space="preserve"> C)</w:t>
      </w:r>
      <w:r w:rsidR="00CF37B0" w:rsidRPr="00A762C7">
        <w:rPr>
          <w:lang w:val="en-GB"/>
        </w:rPr>
        <w:t xml:space="preserve"> questions </w:t>
      </w:r>
      <w:r w:rsidR="00DE07D3" w:rsidRPr="00A762C7">
        <w:rPr>
          <w:lang w:val="en-GB"/>
        </w:rPr>
        <w:t>on</w:t>
      </w:r>
      <w:r w:rsidR="00CF37B0" w:rsidRPr="00A762C7">
        <w:rPr>
          <w:lang w:val="en-GB"/>
        </w:rPr>
        <w:t xml:space="preserve"> views of transitional justice options</w:t>
      </w:r>
      <w:r w:rsidR="00DE07D3" w:rsidRPr="00A762C7">
        <w:rPr>
          <w:lang w:val="en-GB"/>
        </w:rPr>
        <w:t>;</w:t>
      </w:r>
      <w:r w:rsidR="00CF37B0" w:rsidRPr="00A762C7">
        <w:rPr>
          <w:lang w:val="en-GB"/>
        </w:rPr>
        <w:t xml:space="preserve"> </w:t>
      </w:r>
      <w:r w:rsidR="00456C76" w:rsidRPr="00A762C7">
        <w:rPr>
          <w:lang w:val="en-GB"/>
        </w:rPr>
        <w:t xml:space="preserve">D) </w:t>
      </w:r>
      <w:r w:rsidR="00CF37B0" w:rsidRPr="00A762C7">
        <w:rPr>
          <w:lang w:val="en-GB"/>
        </w:rPr>
        <w:t>questions in binary form asking about war</w:t>
      </w:r>
      <w:r w:rsidR="00DE07D3" w:rsidRPr="00A762C7">
        <w:rPr>
          <w:lang w:val="en-GB"/>
        </w:rPr>
        <w:t>-</w:t>
      </w:r>
      <w:r w:rsidR="00CF37B0" w:rsidRPr="00A762C7">
        <w:rPr>
          <w:lang w:val="en-GB"/>
        </w:rPr>
        <w:t xml:space="preserve">related trauma. </w:t>
      </w:r>
      <w:r w:rsidR="00AC3E47" w:rsidRPr="00A762C7">
        <w:rPr>
          <w:lang w:val="en-GB"/>
        </w:rPr>
        <w:t>P</w:t>
      </w:r>
      <w:r w:rsidR="00CF37B0" w:rsidRPr="00A762C7">
        <w:rPr>
          <w:lang w:val="en-GB"/>
        </w:rPr>
        <w:t xml:space="preserve">articipants who </w:t>
      </w:r>
      <w:r w:rsidR="00DE07D3" w:rsidRPr="00A762C7">
        <w:rPr>
          <w:lang w:val="en-GB"/>
        </w:rPr>
        <w:t xml:space="preserve">had </w:t>
      </w:r>
      <w:r w:rsidR="00CF37B0" w:rsidRPr="00A762C7">
        <w:rPr>
          <w:lang w:val="en-GB"/>
        </w:rPr>
        <w:t xml:space="preserve">either </w:t>
      </w:r>
      <w:r w:rsidR="00F20964" w:rsidRPr="00A762C7">
        <w:rPr>
          <w:lang w:val="en-GB"/>
        </w:rPr>
        <w:t>personally</w:t>
      </w:r>
      <w:r w:rsidR="00CF37B0" w:rsidRPr="00A762C7">
        <w:rPr>
          <w:lang w:val="en-GB"/>
        </w:rPr>
        <w:t xml:space="preserve"> experienced displacement or whose </w:t>
      </w:r>
      <w:r w:rsidR="00FD0C24" w:rsidRPr="00A762C7">
        <w:rPr>
          <w:lang w:val="en-GB"/>
        </w:rPr>
        <w:t>parent</w:t>
      </w:r>
      <w:r w:rsidR="00DE07D3" w:rsidRPr="00A762C7">
        <w:rPr>
          <w:lang w:val="en-GB"/>
        </w:rPr>
        <w:t>s were</w:t>
      </w:r>
      <w:r w:rsidR="00FD0C24" w:rsidRPr="00A762C7">
        <w:rPr>
          <w:lang w:val="en-GB"/>
        </w:rPr>
        <w:t xml:space="preserve"> </w:t>
      </w:r>
      <w:r w:rsidR="00F20964" w:rsidRPr="00A762C7">
        <w:rPr>
          <w:lang w:val="en-GB"/>
        </w:rPr>
        <w:t>IDPs</w:t>
      </w:r>
      <w:r w:rsidR="00CF37B0" w:rsidRPr="00A762C7">
        <w:rPr>
          <w:lang w:val="en-GB"/>
        </w:rPr>
        <w:t xml:space="preserve"> were asked to complete an a</w:t>
      </w:r>
      <w:r w:rsidR="00F20964" w:rsidRPr="00A762C7">
        <w:rPr>
          <w:lang w:val="en-GB"/>
        </w:rPr>
        <w:t>dditional set of questions capturing their return intentions and level of direct and indirect intergro</w:t>
      </w:r>
      <w:r w:rsidR="00E743C8" w:rsidRPr="00A762C7">
        <w:rPr>
          <w:lang w:val="en-GB"/>
        </w:rPr>
        <w:t>up contact with Turkish Cypriots</w:t>
      </w:r>
      <w:r w:rsidR="00F20964" w:rsidRPr="00A762C7">
        <w:rPr>
          <w:lang w:val="en-GB"/>
        </w:rPr>
        <w:t xml:space="preserve">. A list of the variables and their description </w:t>
      </w:r>
      <w:r w:rsidR="00DE07D3" w:rsidRPr="00A762C7">
        <w:rPr>
          <w:lang w:val="en-GB"/>
        </w:rPr>
        <w:t>is</w:t>
      </w:r>
      <w:r w:rsidR="00F20964" w:rsidRPr="00A762C7">
        <w:rPr>
          <w:lang w:val="en-GB"/>
        </w:rPr>
        <w:t xml:space="preserve"> in Appendix </w:t>
      </w:r>
      <w:r w:rsidR="00BD0A20">
        <w:rPr>
          <w:lang w:val="en-GB"/>
        </w:rPr>
        <w:t>I in Supplementary material</w:t>
      </w:r>
      <w:r w:rsidR="00F20964" w:rsidRPr="00A762C7">
        <w:rPr>
          <w:lang w:val="en-GB"/>
        </w:rPr>
        <w:t>.</w:t>
      </w:r>
    </w:p>
    <w:p w14:paraId="35D46FDD" w14:textId="53D675FB" w:rsidR="004E7E0E" w:rsidRPr="00A762C7" w:rsidRDefault="00F20964" w:rsidP="00066F49">
      <w:pPr>
        <w:pStyle w:val="p"/>
        <w:spacing w:line="480" w:lineRule="auto"/>
        <w:ind w:firstLine="0"/>
        <w:rPr>
          <w:lang w:val="en-GB"/>
        </w:rPr>
      </w:pPr>
      <w:r w:rsidRPr="00A762C7">
        <w:rPr>
          <w:lang w:val="en-GB"/>
        </w:rPr>
        <w:t xml:space="preserve"> </w:t>
      </w:r>
    </w:p>
    <w:p w14:paraId="31D435D9" w14:textId="77777777" w:rsidR="000C2C69" w:rsidRPr="00A762C7" w:rsidRDefault="000C2C69" w:rsidP="00210D9E">
      <w:pPr>
        <w:pStyle w:val="p"/>
        <w:spacing w:line="480" w:lineRule="auto"/>
        <w:ind w:firstLine="0"/>
        <w:jc w:val="both"/>
        <w:rPr>
          <w:b/>
          <w:lang w:val="en-GB"/>
        </w:rPr>
      </w:pPr>
      <w:r w:rsidRPr="00A762C7">
        <w:rPr>
          <w:b/>
          <w:lang w:val="en-GB"/>
        </w:rPr>
        <w:t>Results</w:t>
      </w:r>
    </w:p>
    <w:p w14:paraId="35228107" w14:textId="58BC72F9" w:rsidR="00C26081" w:rsidRPr="00A762C7" w:rsidRDefault="002544DC" w:rsidP="00210D9E">
      <w:pPr>
        <w:pStyle w:val="p"/>
        <w:spacing w:line="480" w:lineRule="auto"/>
        <w:ind w:firstLine="709"/>
        <w:jc w:val="both"/>
        <w:rPr>
          <w:lang w:val="en-GB"/>
        </w:rPr>
      </w:pPr>
      <w:r w:rsidRPr="00A762C7">
        <w:rPr>
          <w:lang w:val="en-GB"/>
        </w:rPr>
        <w:t>Our examination of the position of Greek Cypriots (hereafter GCs) regarding acceptance of a Turkish Cypriot (TC) or a Turkish settler (TS) as a close neighbo</w:t>
      </w:r>
      <w:r w:rsidR="00DE07D3" w:rsidRPr="00A762C7">
        <w:rPr>
          <w:lang w:val="en-GB"/>
        </w:rPr>
        <w:t>u</w:t>
      </w:r>
      <w:r w:rsidRPr="00A762C7">
        <w:rPr>
          <w:lang w:val="en-GB"/>
        </w:rPr>
        <w:t xml:space="preserve">r </w:t>
      </w:r>
      <w:r w:rsidR="00BA057A" w:rsidRPr="00A762C7">
        <w:rPr>
          <w:lang w:val="en-GB"/>
        </w:rPr>
        <w:t xml:space="preserve">confirms </w:t>
      </w:r>
      <w:r w:rsidRPr="00A762C7">
        <w:rPr>
          <w:lang w:val="en-GB"/>
        </w:rPr>
        <w:t xml:space="preserve">the expectation that GCs strongly prefer TCs to TSs. A </w:t>
      </w:r>
      <w:r w:rsidR="00BA057A" w:rsidRPr="00A762C7">
        <w:rPr>
          <w:lang w:val="en-GB"/>
        </w:rPr>
        <w:t xml:space="preserve">slight </w:t>
      </w:r>
      <w:r w:rsidRPr="00A762C7">
        <w:rPr>
          <w:lang w:val="en-GB"/>
        </w:rPr>
        <w:t>majority (56.6%) would certainly or probably accept a Turkish Cypriot as a close neighbo</w:t>
      </w:r>
      <w:r w:rsidR="00DE07D3" w:rsidRPr="00A762C7">
        <w:rPr>
          <w:lang w:val="en-GB"/>
        </w:rPr>
        <w:t>u</w:t>
      </w:r>
      <w:r w:rsidRPr="00A762C7">
        <w:rPr>
          <w:lang w:val="en-GB"/>
        </w:rPr>
        <w:t>r</w:t>
      </w:r>
      <w:r w:rsidR="00BA057A" w:rsidRPr="00A762C7">
        <w:rPr>
          <w:lang w:val="en-GB"/>
        </w:rPr>
        <w:t xml:space="preserve">, </w:t>
      </w:r>
      <w:r w:rsidR="00C5208A">
        <w:rPr>
          <w:lang w:val="en-GB"/>
        </w:rPr>
        <w:t>but only</w:t>
      </w:r>
      <w:r w:rsidR="00BA057A" w:rsidRPr="00A762C7">
        <w:rPr>
          <w:lang w:val="en-GB"/>
        </w:rPr>
        <w:t xml:space="preserve"> a</w:t>
      </w:r>
      <w:r w:rsidR="0026180E" w:rsidRPr="00A762C7">
        <w:rPr>
          <w:lang w:val="en-GB"/>
        </w:rPr>
        <w:t xml:space="preserve"> small minority (11.1%)</w:t>
      </w:r>
      <w:r w:rsidRPr="00A762C7">
        <w:rPr>
          <w:lang w:val="en-GB"/>
        </w:rPr>
        <w:t xml:space="preserve"> would probably or certainly accept a TS as close neighbo</w:t>
      </w:r>
      <w:r w:rsidR="00DE07D3" w:rsidRPr="00A762C7">
        <w:rPr>
          <w:lang w:val="en-GB"/>
        </w:rPr>
        <w:t>u</w:t>
      </w:r>
      <w:r w:rsidRPr="00A762C7">
        <w:rPr>
          <w:lang w:val="en-GB"/>
        </w:rPr>
        <w:t>r. The</w:t>
      </w:r>
      <w:r w:rsidR="00DE07D3" w:rsidRPr="00A762C7">
        <w:rPr>
          <w:lang w:val="en-GB"/>
        </w:rPr>
        <w:t xml:space="preserve"> position of</w:t>
      </w:r>
      <w:r w:rsidRPr="00A762C7">
        <w:rPr>
          <w:lang w:val="en-GB"/>
        </w:rPr>
        <w:t xml:space="preserve"> internally displaced GCs </w:t>
      </w:r>
      <w:r w:rsidR="00BA057A" w:rsidRPr="00A762C7">
        <w:rPr>
          <w:lang w:val="en-GB"/>
        </w:rPr>
        <w:t>i</w:t>
      </w:r>
      <w:r w:rsidR="00DE07D3" w:rsidRPr="00A762C7">
        <w:rPr>
          <w:lang w:val="en-GB"/>
        </w:rPr>
        <w:t xml:space="preserve">s </w:t>
      </w:r>
      <w:r w:rsidRPr="00A762C7">
        <w:rPr>
          <w:lang w:val="en-GB"/>
        </w:rPr>
        <w:t>similar</w:t>
      </w:r>
      <w:r w:rsidR="00DE07D3" w:rsidRPr="00A762C7">
        <w:rPr>
          <w:lang w:val="en-GB"/>
        </w:rPr>
        <w:t>;</w:t>
      </w:r>
      <w:r w:rsidRPr="00A762C7">
        <w:rPr>
          <w:lang w:val="en-GB"/>
        </w:rPr>
        <w:t xml:space="preserve"> </w:t>
      </w:r>
      <w:r w:rsidR="00DE07D3" w:rsidRPr="00A762C7">
        <w:rPr>
          <w:lang w:val="en-GB"/>
        </w:rPr>
        <w:t xml:space="preserve">whereas </w:t>
      </w:r>
      <w:r w:rsidRPr="00A762C7">
        <w:rPr>
          <w:lang w:val="en-GB"/>
        </w:rPr>
        <w:t>56.7% would probably or certainly support a TC as neighbo</w:t>
      </w:r>
      <w:r w:rsidR="00DE07D3" w:rsidRPr="00A762C7">
        <w:rPr>
          <w:lang w:val="en-GB"/>
        </w:rPr>
        <w:t>u</w:t>
      </w:r>
      <w:r w:rsidRPr="00A762C7">
        <w:rPr>
          <w:lang w:val="en-GB"/>
        </w:rPr>
        <w:t>r</w:t>
      </w:r>
      <w:r w:rsidR="00DE07D3" w:rsidRPr="00A762C7">
        <w:rPr>
          <w:lang w:val="en-GB"/>
        </w:rPr>
        <w:t>, o</w:t>
      </w:r>
      <w:r w:rsidR="0026180E" w:rsidRPr="00A762C7">
        <w:rPr>
          <w:lang w:val="en-GB"/>
        </w:rPr>
        <w:t xml:space="preserve">nly 10.6 % </w:t>
      </w:r>
      <w:r w:rsidRPr="00A762C7">
        <w:rPr>
          <w:lang w:val="en-GB"/>
        </w:rPr>
        <w:t xml:space="preserve">would probably or certainly accept a Turkish settler.  </w:t>
      </w:r>
    </w:p>
    <w:p w14:paraId="2EFEDF9B" w14:textId="22ABAC54" w:rsidR="00E84D95" w:rsidRDefault="00DE07D3" w:rsidP="00210D9E">
      <w:pPr>
        <w:spacing w:line="480" w:lineRule="auto"/>
        <w:ind w:firstLine="709"/>
        <w:jc w:val="both"/>
      </w:pPr>
      <w:r w:rsidRPr="00A762C7">
        <w:t>Using</w:t>
      </w:r>
      <w:r w:rsidR="00C26081" w:rsidRPr="00A762C7">
        <w:t xml:space="preserve"> </w:t>
      </w:r>
      <w:r w:rsidRPr="00A762C7">
        <w:t>hierarchical binary logistic regression, we</w:t>
      </w:r>
      <w:r w:rsidR="002544DC" w:rsidRPr="00A762C7">
        <w:t xml:space="preserve"> divide</w:t>
      </w:r>
      <w:r w:rsidR="002B5140">
        <w:t>d</w:t>
      </w:r>
      <w:r w:rsidR="002544DC" w:rsidRPr="00A762C7">
        <w:t xml:space="preserve"> the predictor variables into three sets: respondents’ structural location</w:t>
      </w:r>
      <w:r w:rsidR="00DD4307">
        <w:t>/demographic profile</w:t>
      </w:r>
      <w:r w:rsidR="002544DC" w:rsidRPr="00A762C7">
        <w:t xml:space="preserve"> (age, gender, education, etc.), war-time experiences (personal victimization and family member(s)’ victimization)</w:t>
      </w:r>
      <w:r w:rsidR="00322757" w:rsidRPr="00A762C7">
        <w:t>,</w:t>
      </w:r>
      <w:r w:rsidR="002544DC" w:rsidRPr="00A762C7">
        <w:t xml:space="preserve"> </w:t>
      </w:r>
      <w:r w:rsidR="002544DC" w:rsidRPr="00A762C7">
        <w:lastRenderedPageBreak/>
        <w:t>percept</w:t>
      </w:r>
      <w:r w:rsidR="00E84D95">
        <w:t xml:space="preserve">ion of justice </w:t>
      </w:r>
      <w:r w:rsidR="006A3555">
        <w:t xml:space="preserve">(see Appendix 1) </w:t>
      </w:r>
      <w:r w:rsidR="00E84D95">
        <w:t xml:space="preserve">covering measures from all three major transitional justice </w:t>
      </w:r>
      <w:r w:rsidR="006A3555">
        <w:t>schools</w:t>
      </w:r>
      <w:r w:rsidR="00E84D95">
        <w:t xml:space="preserve"> (trials, truth</w:t>
      </w:r>
      <w:r w:rsidR="00ED09E0">
        <w:t>,</w:t>
      </w:r>
      <w:r w:rsidR="00E84D95">
        <w:t xml:space="preserve"> and amnesty; see Kovras, 2014, p.4)</w:t>
      </w:r>
      <w:r w:rsidR="002544DC" w:rsidRPr="00A762C7">
        <w:t xml:space="preserve">. </w:t>
      </w:r>
    </w:p>
    <w:p w14:paraId="07BCB00E" w14:textId="707CB405" w:rsidR="002544DC" w:rsidRPr="00A762C7" w:rsidRDefault="002544DC" w:rsidP="00210D9E">
      <w:pPr>
        <w:spacing w:line="480" w:lineRule="auto"/>
        <w:ind w:firstLine="709"/>
        <w:jc w:val="both"/>
      </w:pPr>
      <w:r w:rsidRPr="00A762C7">
        <w:t xml:space="preserve">While the direction of causality is </w:t>
      </w:r>
      <w:r w:rsidR="00322757" w:rsidRPr="00A762C7">
        <w:t xml:space="preserve">generally </w:t>
      </w:r>
      <w:r w:rsidRPr="00A762C7">
        <w:t xml:space="preserve">straightforward </w:t>
      </w:r>
      <w:r w:rsidR="00322757" w:rsidRPr="00A762C7">
        <w:t>when studying the impact</w:t>
      </w:r>
      <w:r w:rsidRPr="00A762C7">
        <w:t xml:space="preserve"> of structural variables</w:t>
      </w:r>
      <w:r w:rsidR="00A31DEF">
        <w:t xml:space="preserve"> on dependent variables</w:t>
      </w:r>
      <w:r w:rsidRPr="00A762C7">
        <w:t xml:space="preserve">, the relationship between the acceptance of ethnic </w:t>
      </w:r>
      <w:r w:rsidR="00322757" w:rsidRPr="00A762C7">
        <w:t xml:space="preserve">others </w:t>
      </w:r>
      <w:r w:rsidRPr="00A762C7">
        <w:t xml:space="preserve">and </w:t>
      </w:r>
      <w:r w:rsidR="00322757" w:rsidRPr="00A762C7">
        <w:t xml:space="preserve">the </w:t>
      </w:r>
      <w:r w:rsidRPr="00A762C7">
        <w:t>ideological profile of the respondent can be more complex. It makes little sense to assume the respondent’s structural position (gender, age, etc</w:t>
      </w:r>
      <w:r w:rsidR="00591C92" w:rsidRPr="00A762C7">
        <w:t>.</w:t>
      </w:r>
      <w:r w:rsidRPr="00A762C7">
        <w:t xml:space="preserve">) is caused by his/her level of acceptance of </w:t>
      </w:r>
      <w:r w:rsidR="00322757" w:rsidRPr="00A762C7">
        <w:t>an ethnic other</w:t>
      </w:r>
      <w:r w:rsidRPr="00A762C7">
        <w:t>, but it is plausible t</w:t>
      </w:r>
      <w:r w:rsidR="00591C92" w:rsidRPr="00A762C7">
        <w:t xml:space="preserve">hat, for example, </w:t>
      </w:r>
      <w:r w:rsidRPr="00A762C7">
        <w:t>a very strong level of rejection could lead the respondent to prefer retributive to restorative justice. Panel data could disentangle these causal complexities, but they are not available in this case. This issue must be taken into account wh</w:t>
      </w:r>
      <w:r w:rsidR="0026180E" w:rsidRPr="00A762C7">
        <w:t>en interpreting the findings of</w:t>
      </w:r>
      <w:r w:rsidRPr="00A762C7">
        <w:t xml:space="preserve"> models </w:t>
      </w:r>
      <w:r w:rsidR="00322757" w:rsidRPr="00A762C7">
        <w:t>with</w:t>
      </w:r>
      <w:r w:rsidRPr="00A762C7">
        <w:t xml:space="preserve"> both structural and ideological variables</w:t>
      </w:r>
      <w:r w:rsidR="00322757" w:rsidRPr="00A762C7">
        <w:t xml:space="preserve"> (f</w:t>
      </w:r>
      <w:r w:rsidRPr="00A762C7">
        <w:t xml:space="preserve">or </w:t>
      </w:r>
      <w:r w:rsidR="00322757" w:rsidRPr="00A762C7">
        <w:t xml:space="preserve">a </w:t>
      </w:r>
      <w:r w:rsidRPr="00A762C7">
        <w:t>methodological explanation, see Cox and Wermuth 2001:66).</w:t>
      </w:r>
    </w:p>
    <w:p w14:paraId="6CBAB9A3" w14:textId="3E874206" w:rsidR="00E75849" w:rsidRPr="00A762C7" w:rsidRDefault="00C26081" w:rsidP="00210D9E">
      <w:pPr>
        <w:spacing w:line="480" w:lineRule="auto"/>
        <w:ind w:firstLine="709"/>
        <w:jc w:val="both"/>
      </w:pPr>
      <w:r w:rsidRPr="00A762C7">
        <w:t>In Model 1 (Table 1)</w:t>
      </w:r>
      <w:r w:rsidR="00322757" w:rsidRPr="00A762C7">
        <w:t>, we test</w:t>
      </w:r>
      <w:r w:rsidRPr="00A762C7">
        <w:t xml:space="preserve"> structural variables as predictors (gender, </w:t>
      </w:r>
      <w:r w:rsidR="009409A1" w:rsidRPr="00A762C7">
        <w:t>age</w:t>
      </w:r>
      <w:r w:rsidRPr="00A762C7">
        <w:t>, education</w:t>
      </w:r>
      <w:r w:rsidR="00513431" w:rsidRPr="00A762C7">
        <w:t>,</w:t>
      </w:r>
      <w:r w:rsidRPr="00A762C7">
        <w:t xml:space="preserve"> </w:t>
      </w:r>
      <w:r w:rsidR="009409A1" w:rsidRPr="00A762C7">
        <w:t>IDP</w:t>
      </w:r>
      <w:r w:rsidRPr="00A762C7">
        <w:t xml:space="preserve"> status). </w:t>
      </w:r>
      <w:r w:rsidR="00E75849" w:rsidRPr="00A762C7">
        <w:t xml:space="preserve">Model 1 suggests </w:t>
      </w:r>
      <w:r w:rsidR="00A07F1D" w:rsidRPr="00A762C7">
        <w:t>males are more</w:t>
      </w:r>
      <w:r w:rsidR="00E75849" w:rsidRPr="00A762C7">
        <w:t xml:space="preserve"> </w:t>
      </w:r>
      <w:r w:rsidR="00E55446" w:rsidRPr="00A762C7">
        <w:t>accepting</w:t>
      </w:r>
      <w:r w:rsidR="00E75849" w:rsidRPr="00A762C7">
        <w:t xml:space="preserve"> </w:t>
      </w:r>
      <w:r w:rsidR="006A3555" w:rsidRPr="00A762C7">
        <w:t xml:space="preserve">of TCs </w:t>
      </w:r>
      <w:r w:rsidR="00E75849" w:rsidRPr="00A762C7">
        <w:t xml:space="preserve">than </w:t>
      </w:r>
      <w:r w:rsidR="00A07F1D" w:rsidRPr="00A762C7">
        <w:t>females</w:t>
      </w:r>
      <w:r w:rsidR="00BA057A" w:rsidRPr="00A762C7">
        <w:t>,</w:t>
      </w:r>
      <w:r w:rsidR="00513431" w:rsidRPr="00A762C7">
        <w:t xml:space="preserve"> </w:t>
      </w:r>
      <w:r w:rsidR="00E75849" w:rsidRPr="00A762C7">
        <w:t xml:space="preserve">and the difference is statistically significant. </w:t>
      </w:r>
      <w:r w:rsidR="00322757" w:rsidRPr="00A762C7">
        <w:t>Y</w:t>
      </w:r>
      <w:r w:rsidR="00A07F1D" w:rsidRPr="00A762C7">
        <w:t xml:space="preserve">ounger </w:t>
      </w:r>
      <w:r w:rsidR="00322757" w:rsidRPr="00A762C7">
        <w:t xml:space="preserve">people </w:t>
      </w:r>
      <w:r w:rsidR="00A07F1D" w:rsidRPr="00A762C7">
        <w:t xml:space="preserve">are less likely to be </w:t>
      </w:r>
      <w:r w:rsidR="00E55446" w:rsidRPr="00A762C7">
        <w:t>accepting</w:t>
      </w:r>
      <w:r w:rsidR="00A07F1D" w:rsidRPr="00A762C7">
        <w:t xml:space="preserve"> of TCs as neighbours than </w:t>
      </w:r>
      <w:r w:rsidR="00322757" w:rsidRPr="00A762C7">
        <w:t>those</w:t>
      </w:r>
      <w:r w:rsidR="00A07F1D" w:rsidRPr="00A762C7">
        <w:t xml:space="preserve"> born before 1974</w:t>
      </w:r>
      <w:r w:rsidR="00E75849" w:rsidRPr="00A762C7">
        <w:t>. Those with</w:t>
      </w:r>
      <w:r w:rsidR="00A07F1D" w:rsidRPr="00A762C7">
        <w:t xml:space="preserve">out </w:t>
      </w:r>
      <w:r w:rsidR="00E75849" w:rsidRPr="00A762C7">
        <w:t xml:space="preserve">university education have </w:t>
      </w:r>
      <w:r w:rsidR="00A07F1D" w:rsidRPr="00A762C7">
        <w:t>roughly 0.75 lower</w:t>
      </w:r>
      <w:r w:rsidR="00E75849" w:rsidRPr="00A762C7">
        <w:t xml:space="preserve"> odds </w:t>
      </w:r>
      <w:r w:rsidR="00322757" w:rsidRPr="00A762C7">
        <w:t>of being</w:t>
      </w:r>
      <w:r w:rsidR="00E75849" w:rsidRPr="00A762C7">
        <w:t xml:space="preserve"> </w:t>
      </w:r>
      <w:r w:rsidR="00E55446" w:rsidRPr="00A762C7">
        <w:t>accepting</w:t>
      </w:r>
      <w:r w:rsidR="00E75849" w:rsidRPr="00A762C7">
        <w:t xml:space="preserve"> of TCs</w:t>
      </w:r>
      <w:r w:rsidR="00322757" w:rsidRPr="00A762C7">
        <w:t xml:space="preserve"> than those with university education</w:t>
      </w:r>
      <w:r w:rsidR="00E75849" w:rsidRPr="00A762C7">
        <w:t xml:space="preserve">. </w:t>
      </w:r>
      <w:r w:rsidR="003D4BE0" w:rsidRPr="003D4BE0">
        <w:t>Interestingly, the non-displaced tend to be less accepting than the displaced.</w:t>
      </w:r>
    </w:p>
    <w:p w14:paraId="0887E8CD" w14:textId="304E3194" w:rsidR="00CC4709" w:rsidRPr="00A762C7" w:rsidRDefault="00322757" w:rsidP="00CC4709">
      <w:pPr>
        <w:spacing w:line="480" w:lineRule="auto"/>
        <w:ind w:firstLine="709"/>
        <w:jc w:val="both"/>
      </w:pPr>
      <w:r w:rsidRPr="00A762C7">
        <w:t>P</w:t>
      </w:r>
      <w:r w:rsidR="00E75849" w:rsidRPr="00A762C7">
        <w:t xml:space="preserve">ersonal and family victimization </w:t>
      </w:r>
      <w:r w:rsidR="003D4BE0">
        <w:t>(in the form of various form</w:t>
      </w:r>
      <w:r w:rsidR="002B5140">
        <w:t>s</w:t>
      </w:r>
      <w:r w:rsidR="003D4BE0">
        <w:t xml:space="preserve"> of victimisation </w:t>
      </w:r>
      <w:r w:rsidR="002B5140">
        <w:t xml:space="preserve">except displacement </w:t>
      </w:r>
      <w:r w:rsidR="003D4BE0">
        <w:t xml:space="preserve">described in the Appendix 1) </w:t>
      </w:r>
      <w:r w:rsidR="00532F48" w:rsidRPr="00A762C7">
        <w:t xml:space="preserve">are </w:t>
      </w:r>
      <w:r w:rsidR="00E75849" w:rsidRPr="00A762C7">
        <w:t xml:space="preserve">entered </w:t>
      </w:r>
      <w:r w:rsidRPr="00A762C7">
        <w:t xml:space="preserve">in Model 2 </w:t>
      </w:r>
      <w:r w:rsidR="003D4BE0">
        <w:t xml:space="preserve">separately </w:t>
      </w:r>
      <w:r w:rsidR="00E75849" w:rsidRPr="00A762C7">
        <w:t xml:space="preserve">as an additional block of variables but </w:t>
      </w:r>
      <w:r w:rsidRPr="00A762C7">
        <w:t>neither</w:t>
      </w:r>
      <w:r w:rsidR="00E75849" w:rsidRPr="00A762C7">
        <w:t xml:space="preserve"> reliably predict</w:t>
      </w:r>
      <w:r w:rsidR="00532F48" w:rsidRPr="00A762C7">
        <w:t>s</w:t>
      </w:r>
      <w:r w:rsidR="00E75849" w:rsidRPr="00A762C7">
        <w:t xml:space="preserve"> </w:t>
      </w:r>
      <w:r w:rsidRPr="00A762C7">
        <w:t>GC</w:t>
      </w:r>
      <w:r w:rsidR="006A3555">
        <w:t>s</w:t>
      </w:r>
      <w:r w:rsidRPr="00A762C7">
        <w:t xml:space="preserve"> </w:t>
      </w:r>
      <w:r w:rsidR="002544DC" w:rsidRPr="00A762C7">
        <w:t xml:space="preserve">acceptance </w:t>
      </w:r>
      <w:r w:rsidRPr="00A762C7">
        <w:t xml:space="preserve">of </w:t>
      </w:r>
      <w:r w:rsidR="002544DC" w:rsidRPr="00A762C7">
        <w:t xml:space="preserve">cohabitation </w:t>
      </w:r>
      <w:r w:rsidRPr="00A762C7">
        <w:t xml:space="preserve">with </w:t>
      </w:r>
      <w:r w:rsidR="00E75849" w:rsidRPr="00A762C7">
        <w:t xml:space="preserve">TCs. </w:t>
      </w:r>
    </w:p>
    <w:p w14:paraId="445EC847" w14:textId="77777777" w:rsidR="00875755" w:rsidRDefault="00322757" w:rsidP="00210D9E">
      <w:pPr>
        <w:spacing w:line="480" w:lineRule="auto"/>
        <w:ind w:firstLine="709"/>
        <w:jc w:val="both"/>
      </w:pPr>
      <w:r w:rsidRPr="00A762C7">
        <w:t>Model 3 includes</w:t>
      </w:r>
      <w:r w:rsidR="00E75849" w:rsidRPr="00A762C7">
        <w:t xml:space="preserve"> the set of variables relating to </w:t>
      </w:r>
      <w:r w:rsidRPr="00A762C7">
        <w:t xml:space="preserve">GC </w:t>
      </w:r>
      <w:r w:rsidR="00E75849" w:rsidRPr="00A762C7">
        <w:t xml:space="preserve">views on transitional justice. </w:t>
      </w:r>
      <w:r w:rsidRPr="00A762C7">
        <w:t>S</w:t>
      </w:r>
      <w:r w:rsidR="00E75849" w:rsidRPr="00A762C7">
        <w:t xml:space="preserve">ome significant findings predict additional variance of the </w:t>
      </w:r>
      <w:r w:rsidR="00CA381C" w:rsidRPr="00A762C7">
        <w:t xml:space="preserve">dependent variable over that </w:t>
      </w:r>
      <w:r w:rsidR="00040EB3" w:rsidRPr="00A762C7">
        <w:t xml:space="preserve">explained by </w:t>
      </w:r>
      <w:r w:rsidRPr="00A762C7">
        <w:t xml:space="preserve">Models </w:t>
      </w:r>
      <w:r w:rsidR="00E75849" w:rsidRPr="00A762C7">
        <w:t xml:space="preserve">1 and 2. </w:t>
      </w:r>
      <w:r w:rsidRPr="00A762C7">
        <w:t>As expected, those supporting</w:t>
      </w:r>
      <w:r w:rsidR="00040EB3" w:rsidRPr="00A762C7">
        <w:t xml:space="preserve"> amnesty and</w:t>
      </w:r>
      <w:r w:rsidR="00210D9E" w:rsidRPr="00A762C7">
        <w:t xml:space="preserve"> perpetrators giving testament to</w:t>
      </w:r>
      <w:r w:rsidR="00040EB3" w:rsidRPr="00A762C7">
        <w:t xml:space="preserve"> a truth and r</w:t>
      </w:r>
      <w:r w:rsidR="00E75849" w:rsidRPr="00A762C7">
        <w:t xml:space="preserve">econciliation </w:t>
      </w:r>
      <w:r w:rsidR="00040EB3" w:rsidRPr="00A762C7">
        <w:t xml:space="preserve">committee </w:t>
      </w:r>
      <w:r w:rsidRPr="00A762C7">
        <w:t>and those</w:t>
      </w:r>
      <w:r w:rsidR="00A07F1D" w:rsidRPr="00A762C7">
        <w:t xml:space="preserve"> </w:t>
      </w:r>
      <w:r w:rsidRPr="00A762C7">
        <w:t>in favour of</w:t>
      </w:r>
      <w:r w:rsidR="00A07F1D" w:rsidRPr="00A762C7">
        <w:t xml:space="preserve"> leaving injustices in the past</w:t>
      </w:r>
      <w:r w:rsidRPr="00A762C7">
        <w:t xml:space="preserve"> </w:t>
      </w:r>
      <w:r w:rsidR="00532F48" w:rsidRPr="00A762C7">
        <w:t>a</w:t>
      </w:r>
      <w:r w:rsidRPr="00A762C7">
        <w:t xml:space="preserve">re </w:t>
      </w:r>
      <w:r w:rsidRPr="00A762C7">
        <w:lastRenderedPageBreak/>
        <w:t xml:space="preserve">more </w:t>
      </w:r>
      <w:r w:rsidR="00E55446" w:rsidRPr="00A762C7">
        <w:t>accepting</w:t>
      </w:r>
      <w:r w:rsidRPr="00A762C7">
        <w:t xml:space="preserve"> of TC</w:t>
      </w:r>
      <w:r w:rsidR="00532F48" w:rsidRPr="00A762C7">
        <w:t>s</w:t>
      </w:r>
      <w:r w:rsidR="00CA381C" w:rsidRPr="00A762C7">
        <w:t xml:space="preserve">. </w:t>
      </w:r>
      <w:r w:rsidRPr="00A762C7">
        <w:t>Those demanding</w:t>
      </w:r>
      <w:r w:rsidR="00E75849" w:rsidRPr="00A762C7">
        <w:t xml:space="preserve"> th</w:t>
      </w:r>
      <w:r w:rsidR="00E133AF" w:rsidRPr="00A762C7">
        <w:t>at</w:t>
      </w:r>
      <w:r w:rsidR="00E75849" w:rsidRPr="00A762C7">
        <w:t xml:space="preserve"> perpetrators </w:t>
      </w:r>
      <w:r w:rsidR="00210D9E" w:rsidRPr="00A762C7">
        <w:t>beg for</w:t>
      </w:r>
      <w:r w:rsidR="00E75849" w:rsidRPr="00A762C7">
        <w:t xml:space="preserve"> forgiveness </w:t>
      </w:r>
      <w:r w:rsidR="00532F48" w:rsidRPr="00A762C7">
        <w:t>a</w:t>
      </w:r>
      <w:r w:rsidRPr="00A762C7">
        <w:t xml:space="preserve">re </w:t>
      </w:r>
      <w:r w:rsidR="00E75849" w:rsidRPr="00A762C7">
        <w:t xml:space="preserve">less </w:t>
      </w:r>
      <w:r w:rsidR="00E55446" w:rsidRPr="00A762C7">
        <w:t>accepting</w:t>
      </w:r>
      <w:r w:rsidR="00E75849" w:rsidRPr="00A762C7">
        <w:t>.</w:t>
      </w:r>
    </w:p>
    <w:p w14:paraId="03361261" w14:textId="77777777" w:rsidR="009D0651" w:rsidRDefault="009D0651" w:rsidP="00210D9E">
      <w:pPr>
        <w:spacing w:line="480" w:lineRule="auto"/>
        <w:ind w:firstLine="709"/>
        <w:jc w:val="both"/>
      </w:pPr>
    </w:p>
    <w:p w14:paraId="4C6BCAC2" w14:textId="77777777" w:rsidR="009D0651" w:rsidRDefault="009D0651" w:rsidP="00210D9E">
      <w:pPr>
        <w:spacing w:line="480" w:lineRule="auto"/>
        <w:ind w:firstLine="709"/>
        <w:jc w:val="both"/>
      </w:pPr>
      <w:r>
        <w:t>-------------------PLEASE INSERT TABLE 1 ABOUT HERE-------------------</w:t>
      </w:r>
    </w:p>
    <w:p w14:paraId="5E4E652B" w14:textId="77777777" w:rsidR="005F69B1" w:rsidRPr="00A762C7" w:rsidRDefault="005F69B1" w:rsidP="006A1293">
      <w:pPr>
        <w:pStyle w:val="p"/>
        <w:ind w:firstLine="0"/>
        <w:rPr>
          <w:lang w:val="en-GB"/>
        </w:rPr>
      </w:pPr>
    </w:p>
    <w:p w14:paraId="008C1AA9" w14:textId="77777777" w:rsidR="000C2C69" w:rsidRPr="00A762C7" w:rsidRDefault="000C2C69" w:rsidP="00160AA8">
      <w:pPr>
        <w:pStyle w:val="p"/>
        <w:rPr>
          <w:lang w:val="en-GB"/>
        </w:rPr>
      </w:pPr>
    </w:p>
    <w:p w14:paraId="19E7786C" w14:textId="51707F96" w:rsidR="00160FA1" w:rsidRPr="00A762C7" w:rsidRDefault="00FA3A2F" w:rsidP="00210D9E">
      <w:pPr>
        <w:pStyle w:val="NoSpacing"/>
        <w:spacing w:line="480" w:lineRule="auto"/>
        <w:ind w:firstLine="709"/>
        <w:jc w:val="both"/>
        <w:rPr>
          <w:rFonts w:ascii="Times New Roman" w:hAnsi="Times New Roman" w:cs="Times New Roman"/>
          <w:sz w:val="24"/>
          <w:szCs w:val="24"/>
          <w:lang w:val="en-GB"/>
        </w:rPr>
      </w:pPr>
      <w:r w:rsidRPr="00A762C7">
        <w:rPr>
          <w:rFonts w:ascii="Times New Roman" w:hAnsi="Times New Roman" w:cs="Times New Roman"/>
          <w:sz w:val="24"/>
          <w:szCs w:val="24"/>
          <w:lang w:val="en-GB"/>
        </w:rPr>
        <w:t>Next, we</w:t>
      </w:r>
      <w:r w:rsidR="00CA381C" w:rsidRPr="00A762C7">
        <w:rPr>
          <w:rFonts w:ascii="Times New Roman" w:hAnsi="Times New Roman" w:cs="Times New Roman"/>
          <w:sz w:val="24"/>
          <w:szCs w:val="24"/>
          <w:lang w:val="en-GB"/>
        </w:rPr>
        <w:t xml:space="preserve"> test </w:t>
      </w:r>
      <w:r w:rsidR="002E15A0" w:rsidRPr="00A762C7">
        <w:rPr>
          <w:rFonts w:ascii="Times New Roman" w:hAnsi="Times New Roman" w:cs="Times New Roman"/>
          <w:sz w:val="24"/>
          <w:szCs w:val="24"/>
          <w:lang w:val="en-GB"/>
        </w:rPr>
        <w:t>acceptance</w:t>
      </w:r>
      <w:r w:rsidR="00CA381C" w:rsidRPr="00A762C7">
        <w:rPr>
          <w:rFonts w:ascii="Times New Roman" w:hAnsi="Times New Roman" w:cs="Times New Roman"/>
          <w:sz w:val="24"/>
          <w:szCs w:val="24"/>
          <w:lang w:val="en-GB"/>
        </w:rPr>
        <w:t xml:space="preserve"> </w:t>
      </w:r>
      <w:r w:rsidRPr="00A762C7">
        <w:rPr>
          <w:rFonts w:ascii="Times New Roman" w:hAnsi="Times New Roman" w:cs="Times New Roman"/>
          <w:sz w:val="24"/>
          <w:szCs w:val="24"/>
          <w:lang w:val="en-GB"/>
        </w:rPr>
        <w:t xml:space="preserve">of </w:t>
      </w:r>
      <w:r w:rsidR="00CA381C" w:rsidRPr="00A762C7">
        <w:rPr>
          <w:rFonts w:ascii="Times New Roman" w:hAnsi="Times New Roman" w:cs="Times New Roman"/>
          <w:sz w:val="24"/>
          <w:szCs w:val="24"/>
          <w:lang w:val="en-GB"/>
        </w:rPr>
        <w:t>T</w:t>
      </w:r>
      <w:r w:rsidR="00040EB3" w:rsidRPr="00A762C7">
        <w:rPr>
          <w:rFonts w:ascii="Times New Roman" w:hAnsi="Times New Roman" w:cs="Times New Roman"/>
          <w:sz w:val="24"/>
          <w:szCs w:val="24"/>
          <w:lang w:val="en-GB"/>
        </w:rPr>
        <w:t>Ss</w:t>
      </w:r>
      <w:r w:rsidR="00CA381C" w:rsidRPr="00A762C7">
        <w:rPr>
          <w:rFonts w:ascii="Times New Roman" w:hAnsi="Times New Roman" w:cs="Times New Roman"/>
          <w:sz w:val="24"/>
          <w:szCs w:val="24"/>
          <w:lang w:val="en-GB"/>
        </w:rPr>
        <w:t xml:space="preserve">. In this case (Table 2) gender and age </w:t>
      </w:r>
      <w:r w:rsidR="00532F48" w:rsidRPr="00A762C7">
        <w:rPr>
          <w:rFonts w:ascii="Times New Roman" w:hAnsi="Times New Roman" w:cs="Times New Roman"/>
          <w:sz w:val="24"/>
          <w:szCs w:val="24"/>
          <w:lang w:val="en-GB"/>
        </w:rPr>
        <w:t xml:space="preserve">do </w:t>
      </w:r>
      <w:r w:rsidR="00CA381C" w:rsidRPr="00A762C7">
        <w:rPr>
          <w:rFonts w:ascii="Times New Roman" w:hAnsi="Times New Roman" w:cs="Times New Roman"/>
          <w:sz w:val="24"/>
          <w:szCs w:val="24"/>
          <w:lang w:val="en-GB"/>
        </w:rPr>
        <w:t>not play a role</w:t>
      </w:r>
      <w:r w:rsidR="0046394A" w:rsidRPr="00A762C7">
        <w:rPr>
          <w:rFonts w:ascii="Times New Roman" w:hAnsi="Times New Roman" w:cs="Times New Roman"/>
          <w:sz w:val="24"/>
          <w:szCs w:val="24"/>
          <w:lang w:val="en-GB"/>
        </w:rPr>
        <w:t>,</w:t>
      </w:r>
      <w:r w:rsidR="00CA381C" w:rsidRPr="00A762C7">
        <w:rPr>
          <w:rFonts w:ascii="Times New Roman" w:hAnsi="Times New Roman" w:cs="Times New Roman"/>
          <w:sz w:val="24"/>
          <w:szCs w:val="24"/>
          <w:lang w:val="en-GB"/>
        </w:rPr>
        <w:t xml:space="preserve"> </w:t>
      </w:r>
      <w:r w:rsidRPr="00A762C7">
        <w:rPr>
          <w:rFonts w:ascii="Times New Roman" w:hAnsi="Times New Roman" w:cs="Times New Roman"/>
          <w:sz w:val="24"/>
          <w:szCs w:val="24"/>
          <w:lang w:val="en-GB"/>
        </w:rPr>
        <w:t>reflecting</w:t>
      </w:r>
      <w:r w:rsidR="00CA381C" w:rsidRPr="00A762C7">
        <w:rPr>
          <w:rFonts w:ascii="Times New Roman" w:hAnsi="Times New Roman" w:cs="Times New Roman"/>
          <w:sz w:val="24"/>
          <w:szCs w:val="24"/>
          <w:lang w:val="en-GB"/>
        </w:rPr>
        <w:t xml:space="preserve"> the widespread </w:t>
      </w:r>
      <w:r w:rsidR="006A3555">
        <w:rPr>
          <w:rFonts w:ascii="Times New Roman" w:hAnsi="Times New Roman" w:cs="Times New Roman"/>
          <w:sz w:val="24"/>
          <w:szCs w:val="24"/>
          <w:lang w:val="en-GB"/>
        </w:rPr>
        <w:t xml:space="preserve">homogeneous </w:t>
      </w:r>
      <w:r w:rsidR="00CA381C" w:rsidRPr="00A762C7">
        <w:rPr>
          <w:rFonts w:ascii="Times New Roman" w:hAnsi="Times New Roman" w:cs="Times New Roman"/>
          <w:sz w:val="24"/>
          <w:szCs w:val="24"/>
          <w:lang w:val="en-GB"/>
        </w:rPr>
        <w:t xml:space="preserve">negative view </w:t>
      </w:r>
      <w:r w:rsidRPr="00A762C7">
        <w:rPr>
          <w:rFonts w:ascii="Times New Roman" w:hAnsi="Times New Roman" w:cs="Times New Roman"/>
          <w:sz w:val="24"/>
          <w:szCs w:val="24"/>
          <w:lang w:val="en-GB"/>
        </w:rPr>
        <w:t xml:space="preserve">of </w:t>
      </w:r>
      <w:r w:rsidR="00CA381C" w:rsidRPr="00A762C7">
        <w:rPr>
          <w:rFonts w:ascii="Times New Roman" w:hAnsi="Times New Roman" w:cs="Times New Roman"/>
          <w:sz w:val="24"/>
          <w:szCs w:val="24"/>
          <w:lang w:val="en-GB"/>
        </w:rPr>
        <w:t xml:space="preserve">Turkish </w:t>
      </w:r>
      <w:r w:rsidRPr="00A762C7">
        <w:rPr>
          <w:rFonts w:ascii="Times New Roman" w:hAnsi="Times New Roman" w:cs="Times New Roman"/>
          <w:sz w:val="24"/>
          <w:szCs w:val="24"/>
          <w:lang w:val="en-GB"/>
        </w:rPr>
        <w:t>settlers</w:t>
      </w:r>
      <w:r w:rsidR="00F545AB">
        <w:rPr>
          <w:rFonts w:ascii="Times New Roman" w:hAnsi="Times New Roman" w:cs="Times New Roman"/>
          <w:sz w:val="24"/>
          <w:szCs w:val="24"/>
          <w:lang w:val="en-GB"/>
        </w:rPr>
        <w:t xml:space="preserve"> in the Greek Cypriot community</w:t>
      </w:r>
      <w:r w:rsidR="00CA381C" w:rsidRPr="00A762C7">
        <w:rPr>
          <w:rFonts w:ascii="Times New Roman" w:hAnsi="Times New Roman" w:cs="Times New Roman"/>
          <w:sz w:val="24"/>
          <w:szCs w:val="24"/>
          <w:lang w:val="en-GB"/>
        </w:rPr>
        <w:t xml:space="preserve">. </w:t>
      </w:r>
      <w:r w:rsidR="00B00CBF" w:rsidRPr="00A762C7">
        <w:rPr>
          <w:rFonts w:ascii="Times New Roman" w:hAnsi="Times New Roman" w:cs="Times New Roman"/>
          <w:sz w:val="24"/>
          <w:szCs w:val="24"/>
          <w:lang w:val="en-GB"/>
        </w:rPr>
        <w:t>In this model</w:t>
      </w:r>
      <w:r w:rsidR="00CA381C" w:rsidRPr="00A762C7">
        <w:rPr>
          <w:rFonts w:ascii="Times New Roman" w:hAnsi="Times New Roman" w:cs="Times New Roman"/>
          <w:sz w:val="24"/>
          <w:szCs w:val="24"/>
          <w:lang w:val="en-GB"/>
        </w:rPr>
        <w:t xml:space="preserve">, </w:t>
      </w:r>
      <w:r w:rsidRPr="00A762C7">
        <w:rPr>
          <w:rFonts w:ascii="Times New Roman" w:hAnsi="Times New Roman" w:cs="Times New Roman"/>
          <w:sz w:val="24"/>
          <w:szCs w:val="24"/>
          <w:lang w:val="en-GB"/>
        </w:rPr>
        <w:t>in contrast</w:t>
      </w:r>
      <w:r w:rsidR="00CA381C" w:rsidRPr="00A762C7">
        <w:rPr>
          <w:rFonts w:ascii="Times New Roman" w:hAnsi="Times New Roman" w:cs="Times New Roman"/>
          <w:sz w:val="24"/>
          <w:szCs w:val="24"/>
          <w:lang w:val="en-GB"/>
        </w:rPr>
        <w:t xml:space="preserve"> to the case for TCs in Table 1, </w:t>
      </w:r>
      <w:r w:rsidR="00B00CBF" w:rsidRPr="00A762C7">
        <w:rPr>
          <w:rFonts w:ascii="Times New Roman" w:hAnsi="Times New Roman" w:cs="Times New Roman"/>
          <w:sz w:val="24"/>
          <w:szCs w:val="24"/>
          <w:lang w:val="en-GB"/>
        </w:rPr>
        <w:t xml:space="preserve">the displaced </w:t>
      </w:r>
      <w:r w:rsidR="00BA057A" w:rsidRPr="00A762C7">
        <w:rPr>
          <w:rFonts w:ascii="Times New Roman" w:hAnsi="Times New Roman" w:cs="Times New Roman"/>
          <w:sz w:val="24"/>
          <w:szCs w:val="24"/>
          <w:lang w:val="en-GB"/>
        </w:rPr>
        <w:t>a</w:t>
      </w:r>
      <w:r w:rsidR="00CA381C" w:rsidRPr="00A762C7">
        <w:rPr>
          <w:rFonts w:ascii="Times New Roman" w:hAnsi="Times New Roman" w:cs="Times New Roman"/>
          <w:sz w:val="24"/>
          <w:szCs w:val="24"/>
          <w:lang w:val="en-GB"/>
        </w:rPr>
        <w:t xml:space="preserve">re </w:t>
      </w:r>
      <w:r w:rsidR="00B00CBF" w:rsidRPr="00A762C7">
        <w:rPr>
          <w:rFonts w:ascii="Times New Roman" w:hAnsi="Times New Roman" w:cs="Times New Roman"/>
          <w:sz w:val="24"/>
          <w:szCs w:val="24"/>
          <w:lang w:val="en-GB"/>
        </w:rPr>
        <w:t>less</w:t>
      </w:r>
      <w:r w:rsidR="00A07F1D" w:rsidRPr="00A762C7">
        <w:rPr>
          <w:rFonts w:ascii="Times New Roman" w:hAnsi="Times New Roman" w:cs="Times New Roman"/>
          <w:sz w:val="24"/>
          <w:szCs w:val="24"/>
          <w:lang w:val="en-GB"/>
        </w:rPr>
        <w:t xml:space="preserve"> </w:t>
      </w:r>
      <w:r w:rsidR="00E55446" w:rsidRPr="00A762C7">
        <w:rPr>
          <w:rFonts w:ascii="Times New Roman" w:hAnsi="Times New Roman" w:cs="Times New Roman"/>
          <w:sz w:val="24"/>
          <w:szCs w:val="24"/>
          <w:lang w:val="en-GB"/>
        </w:rPr>
        <w:t>accepting</w:t>
      </w:r>
      <w:r w:rsidR="00B00CBF" w:rsidRPr="00A762C7">
        <w:rPr>
          <w:rFonts w:ascii="Times New Roman" w:hAnsi="Times New Roman" w:cs="Times New Roman"/>
          <w:sz w:val="24"/>
          <w:szCs w:val="24"/>
          <w:lang w:val="en-GB"/>
        </w:rPr>
        <w:t xml:space="preserve"> of TSs</w:t>
      </w:r>
      <w:r w:rsidRPr="00A762C7">
        <w:rPr>
          <w:rFonts w:ascii="Times New Roman" w:hAnsi="Times New Roman" w:cs="Times New Roman"/>
          <w:sz w:val="24"/>
          <w:szCs w:val="24"/>
          <w:lang w:val="en-GB"/>
        </w:rPr>
        <w:t xml:space="preserve"> than the non-displaced</w:t>
      </w:r>
      <w:r w:rsidR="00CA381C" w:rsidRPr="00A762C7">
        <w:rPr>
          <w:rFonts w:ascii="Times New Roman" w:hAnsi="Times New Roman" w:cs="Times New Roman"/>
          <w:sz w:val="24"/>
          <w:szCs w:val="24"/>
          <w:lang w:val="en-GB"/>
        </w:rPr>
        <w:t>.</w:t>
      </w:r>
      <w:r w:rsidR="00B00CBF" w:rsidRPr="00A762C7">
        <w:rPr>
          <w:rFonts w:ascii="Times New Roman" w:hAnsi="Times New Roman" w:cs="Times New Roman"/>
          <w:sz w:val="24"/>
          <w:szCs w:val="24"/>
          <w:lang w:val="en-GB"/>
        </w:rPr>
        <w:t xml:space="preserve"> </w:t>
      </w:r>
      <w:r w:rsidRPr="00A762C7">
        <w:rPr>
          <w:rFonts w:ascii="Times New Roman" w:hAnsi="Times New Roman" w:cs="Times New Roman"/>
          <w:sz w:val="24"/>
          <w:szCs w:val="24"/>
          <w:lang w:val="en-GB"/>
        </w:rPr>
        <w:t xml:space="preserve">However, as before, </w:t>
      </w:r>
      <w:r w:rsidR="00116DF8" w:rsidRPr="00A762C7">
        <w:rPr>
          <w:rFonts w:ascii="Times New Roman" w:hAnsi="Times New Roman" w:cs="Times New Roman"/>
          <w:sz w:val="24"/>
          <w:szCs w:val="24"/>
          <w:lang w:val="en-GB"/>
        </w:rPr>
        <w:t>personal and family victimization</w:t>
      </w:r>
      <w:r w:rsidR="00F545AB">
        <w:rPr>
          <w:rFonts w:ascii="Times New Roman" w:hAnsi="Times New Roman" w:cs="Times New Roman"/>
          <w:sz w:val="24"/>
          <w:szCs w:val="24"/>
          <w:lang w:val="en-GB"/>
        </w:rPr>
        <w:t>,</w:t>
      </w:r>
      <w:r w:rsidR="00116DF8" w:rsidRPr="00A762C7">
        <w:rPr>
          <w:rFonts w:ascii="Times New Roman" w:hAnsi="Times New Roman" w:cs="Times New Roman"/>
          <w:sz w:val="24"/>
          <w:szCs w:val="24"/>
          <w:lang w:val="en-GB"/>
        </w:rPr>
        <w:t xml:space="preserve"> </w:t>
      </w:r>
      <w:r w:rsidR="00F545AB">
        <w:rPr>
          <w:rFonts w:ascii="Times New Roman" w:hAnsi="Times New Roman" w:cs="Times New Roman"/>
          <w:sz w:val="24"/>
          <w:szCs w:val="24"/>
          <w:lang w:val="en-GB"/>
        </w:rPr>
        <w:t xml:space="preserve">except displacement, </w:t>
      </w:r>
      <w:r w:rsidR="00094855">
        <w:rPr>
          <w:rFonts w:ascii="Times New Roman" w:hAnsi="Times New Roman" w:cs="Times New Roman"/>
          <w:sz w:val="24"/>
          <w:szCs w:val="24"/>
          <w:lang w:val="en-GB"/>
        </w:rPr>
        <w:t xml:space="preserve">separately </w:t>
      </w:r>
      <w:r w:rsidR="00116DF8" w:rsidRPr="00A762C7">
        <w:rPr>
          <w:rFonts w:ascii="Times New Roman" w:hAnsi="Times New Roman" w:cs="Times New Roman"/>
          <w:sz w:val="24"/>
          <w:szCs w:val="24"/>
          <w:lang w:val="en-GB"/>
        </w:rPr>
        <w:t xml:space="preserve">play no role. </w:t>
      </w:r>
      <w:r w:rsidRPr="00A762C7">
        <w:rPr>
          <w:rFonts w:ascii="Times New Roman" w:hAnsi="Times New Roman" w:cs="Times New Roman"/>
          <w:sz w:val="24"/>
          <w:szCs w:val="24"/>
          <w:lang w:val="en-GB"/>
        </w:rPr>
        <w:t>Interestingly,</w:t>
      </w:r>
      <w:r w:rsidR="00B00CBF" w:rsidRPr="00A762C7">
        <w:rPr>
          <w:rFonts w:ascii="Times New Roman" w:hAnsi="Times New Roman" w:cs="Times New Roman"/>
          <w:sz w:val="24"/>
          <w:szCs w:val="24"/>
          <w:lang w:val="en-GB"/>
        </w:rPr>
        <w:t xml:space="preserve"> in </w:t>
      </w:r>
      <w:r w:rsidRPr="00A762C7">
        <w:rPr>
          <w:rFonts w:ascii="Times New Roman" w:hAnsi="Times New Roman" w:cs="Times New Roman"/>
          <w:sz w:val="24"/>
          <w:szCs w:val="24"/>
          <w:lang w:val="en-GB"/>
        </w:rPr>
        <w:t>Model 3</w:t>
      </w:r>
      <w:r w:rsidR="00B00CBF" w:rsidRPr="00A762C7">
        <w:rPr>
          <w:rFonts w:ascii="Times New Roman" w:hAnsi="Times New Roman" w:cs="Times New Roman"/>
          <w:sz w:val="24"/>
          <w:szCs w:val="24"/>
          <w:lang w:val="en-GB"/>
        </w:rPr>
        <w:t>, once the transitional j</w:t>
      </w:r>
      <w:r w:rsidR="00116DF8" w:rsidRPr="00A762C7">
        <w:rPr>
          <w:rFonts w:ascii="Times New Roman" w:hAnsi="Times New Roman" w:cs="Times New Roman"/>
          <w:sz w:val="24"/>
          <w:szCs w:val="24"/>
          <w:lang w:val="en-GB"/>
        </w:rPr>
        <w:t xml:space="preserve">ustice variables </w:t>
      </w:r>
      <w:r w:rsidR="00BA057A" w:rsidRPr="00A762C7">
        <w:rPr>
          <w:rFonts w:ascii="Times New Roman" w:hAnsi="Times New Roman" w:cs="Times New Roman"/>
          <w:sz w:val="24"/>
          <w:szCs w:val="24"/>
          <w:lang w:val="en-GB"/>
        </w:rPr>
        <w:t xml:space="preserve">are </w:t>
      </w:r>
      <w:r w:rsidR="00116DF8" w:rsidRPr="00A762C7">
        <w:rPr>
          <w:rFonts w:ascii="Times New Roman" w:hAnsi="Times New Roman" w:cs="Times New Roman"/>
          <w:sz w:val="24"/>
          <w:szCs w:val="24"/>
          <w:lang w:val="en-GB"/>
        </w:rPr>
        <w:t>entered as a block</w:t>
      </w:r>
      <w:r w:rsidR="00513431" w:rsidRPr="00A762C7">
        <w:rPr>
          <w:rFonts w:ascii="Times New Roman" w:hAnsi="Times New Roman" w:cs="Times New Roman"/>
          <w:sz w:val="24"/>
          <w:szCs w:val="24"/>
          <w:lang w:val="en-GB"/>
        </w:rPr>
        <w:t>,</w:t>
      </w:r>
      <w:r w:rsidR="00116DF8" w:rsidRPr="00A762C7">
        <w:rPr>
          <w:rFonts w:ascii="Times New Roman" w:hAnsi="Times New Roman" w:cs="Times New Roman"/>
          <w:sz w:val="24"/>
          <w:szCs w:val="24"/>
          <w:lang w:val="en-GB"/>
        </w:rPr>
        <w:t xml:space="preserve"> </w:t>
      </w:r>
      <w:r w:rsidR="00BA057A" w:rsidRPr="00A762C7">
        <w:rPr>
          <w:rFonts w:ascii="Times New Roman" w:hAnsi="Times New Roman" w:cs="Times New Roman"/>
          <w:sz w:val="24"/>
          <w:szCs w:val="24"/>
          <w:lang w:val="en-GB"/>
        </w:rPr>
        <w:t>we discover</w:t>
      </w:r>
      <w:r w:rsidRPr="00A762C7">
        <w:rPr>
          <w:rFonts w:ascii="Times New Roman" w:hAnsi="Times New Roman" w:cs="Times New Roman"/>
          <w:sz w:val="24"/>
          <w:szCs w:val="24"/>
          <w:lang w:val="en-GB"/>
        </w:rPr>
        <w:t xml:space="preserve"> </w:t>
      </w:r>
      <w:r w:rsidR="00116DF8" w:rsidRPr="00A762C7">
        <w:rPr>
          <w:rFonts w:ascii="Times New Roman" w:hAnsi="Times New Roman" w:cs="Times New Roman"/>
          <w:sz w:val="24"/>
          <w:szCs w:val="24"/>
          <w:lang w:val="en-GB"/>
        </w:rPr>
        <w:t xml:space="preserve">the same pattern </w:t>
      </w:r>
      <w:r w:rsidRPr="00A762C7">
        <w:rPr>
          <w:rFonts w:ascii="Times New Roman" w:hAnsi="Times New Roman" w:cs="Times New Roman"/>
          <w:sz w:val="24"/>
          <w:szCs w:val="24"/>
          <w:lang w:val="en-GB"/>
        </w:rPr>
        <w:t>as</w:t>
      </w:r>
      <w:r w:rsidR="00116DF8" w:rsidRPr="00A762C7">
        <w:rPr>
          <w:rFonts w:ascii="Times New Roman" w:hAnsi="Times New Roman" w:cs="Times New Roman"/>
          <w:sz w:val="24"/>
          <w:szCs w:val="24"/>
          <w:lang w:val="en-GB"/>
        </w:rPr>
        <w:t xml:space="preserve"> in Table 1 for TCs. </w:t>
      </w:r>
      <w:r w:rsidR="00B00CBF" w:rsidRPr="00A762C7">
        <w:rPr>
          <w:rFonts w:ascii="Times New Roman" w:hAnsi="Times New Roman" w:cs="Times New Roman"/>
          <w:sz w:val="24"/>
          <w:szCs w:val="24"/>
          <w:lang w:val="en-GB"/>
        </w:rPr>
        <w:t xml:space="preserve"> However, the significant predictors </w:t>
      </w:r>
      <w:r w:rsidR="00BA057A" w:rsidRPr="00A762C7">
        <w:rPr>
          <w:rFonts w:ascii="Times New Roman" w:hAnsi="Times New Roman" w:cs="Times New Roman"/>
          <w:sz w:val="24"/>
          <w:szCs w:val="24"/>
          <w:lang w:val="en-GB"/>
        </w:rPr>
        <w:t xml:space="preserve">differ </w:t>
      </w:r>
      <w:r w:rsidR="00B00CBF" w:rsidRPr="00A762C7">
        <w:rPr>
          <w:rFonts w:ascii="Times New Roman" w:hAnsi="Times New Roman" w:cs="Times New Roman"/>
          <w:sz w:val="24"/>
          <w:szCs w:val="24"/>
          <w:lang w:val="en-GB"/>
        </w:rPr>
        <w:t xml:space="preserve">somewhat. Amnesty </w:t>
      </w:r>
      <w:r w:rsidR="00BA057A" w:rsidRPr="00A762C7">
        <w:rPr>
          <w:rFonts w:ascii="Times New Roman" w:hAnsi="Times New Roman" w:cs="Times New Roman"/>
          <w:sz w:val="24"/>
          <w:szCs w:val="24"/>
          <w:lang w:val="en-GB"/>
        </w:rPr>
        <w:t>i</w:t>
      </w:r>
      <w:r w:rsidRPr="00A762C7">
        <w:rPr>
          <w:rFonts w:ascii="Times New Roman" w:hAnsi="Times New Roman" w:cs="Times New Roman"/>
          <w:sz w:val="24"/>
          <w:szCs w:val="24"/>
          <w:lang w:val="en-GB"/>
        </w:rPr>
        <w:t>s</w:t>
      </w:r>
      <w:r w:rsidR="00B00CBF" w:rsidRPr="00A762C7">
        <w:rPr>
          <w:rFonts w:ascii="Times New Roman" w:hAnsi="Times New Roman" w:cs="Times New Roman"/>
          <w:sz w:val="24"/>
          <w:szCs w:val="24"/>
          <w:lang w:val="en-GB"/>
        </w:rPr>
        <w:t xml:space="preserve"> not </w:t>
      </w:r>
      <w:r w:rsidRPr="00A762C7">
        <w:rPr>
          <w:rFonts w:ascii="Times New Roman" w:hAnsi="Times New Roman" w:cs="Times New Roman"/>
          <w:sz w:val="24"/>
          <w:szCs w:val="24"/>
          <w:lang w:val="en-GB"/>
        </w:rPr>
        <w:t>significant,</w:t>
      </w:r>
      <w:r w:rsidR="00B00CBF" w:rsidRPr="00A762C7">
        <w:rPr>
          <w:rFonts w:ascii="Times New Roman" w:hAnsi="Times New Roman" w:cs="Times New Roman"/>
          <w:sz w:val="24"/>
          <w:szCs w:val="24"/>
          <w:lang w:val="en-GB"/>
        </w:rPr>
        <w:t xml:space="preserve"> and as </w:t>
      </w:r>
      <w:r w:rsidRPr="00A762C7">
        <w:rPr>
          <w:rFonts w:ascii="Times New Roman" w:hAnsi="Times New Roman" w:cs="Times New Roman"/>
          <w:sz w:val="24"/>
          <w:szCs w:val="24"/>
          <w:lang w:val="en-GB"/>
        </w:rPr>
        <w:t xml:space="preserve">we </w:t>
      </w:r>
      <w:r w:rsidR="00B00CBF" w:rsidRPr="00A762C7">
        <w:rPr>
          <w:rFonts w:ascii="Times New Roman" w:hAnsi="Times New Roman" w:cs="Times New Roman"/>
          <w:sz w:val="24"/>
          <w:szCs w:val="24"/>
          <w:lang w:val="en-GB"/>
        </w:rPr>
        <w:t>might expect</w:t>
      </w:r>
      <w:r w:rsidRPr="00A762C7">
        <w:rPr>
          <w:rFonts w:ascii="Times New Roman" w:hAnsi="Times New Roman" w:cs="Times New Roman"/>
          <w:sz w:val="24"/>
          <w:szCs w:val="24"/>
          <w:lang w:val="en-GB"/>
        </w:rPr>
        <w:t>,</w:t>
      </w:r>
      <w:r w:rsidR="00B00CBF" w:rsidRPr="00A762C7">
        <w:rPr>
          <w:rFonts w:ascii="Times New Roman" w:hAnsi="Times New Roman" w:cs="Times New Roman"/>
          <w:sz w:val="24"/>
          <w:szCs w:val="24"/>
          <w:lang w:val="en-GB"/>
        </w:rPr>
        <w:t xml:space="preserve"> those who </w:t>
      </w:r>
      <w:r w:rsidRPr="00A762C7">
        <w:rPr>
          <w:rFonts w:ascii="Times New Roman" w:hAnsi="Times New Roman" w:cs="Times New Roman"/>
          <w:sz w:val="24"/>
          <w:szCs w:val="24"/>
          <w:lang w:val="en-GB"/>
        </w:rPr>
        <w:t xml:space="preserve">want </w:t>
      </w:r>
      <w:r w:rsidR="00B00CBF" w:rsidRPr="00A762C7">
        <w:rPr>
          <w:rFonts w:ascii="Times New Roman" w:hAnsi="Times New Roman" w:cs="Times New Roman"/>
          <w:sz w:val="24"/>
          <w:szCs w:val="24"/>
          <w:lang w:val="en-GB"/>
        </w:rPr>
        <w:t xml:space="preserve">Turkey to pay for damages </w:t>
      </w:r>
      <w:r w:rsidR="00BA057A" w:rsidRPr="00A762C7">
        <w:rPr>
          <w:rFonts w:ascii="Times New Roman" w:hAnsi="Times New Roman" w:cs="Times New Roman"/>
          <w:sz w:val="24"/>
          <w:szCs w:val="24"/>
          <w:lang w:val="en-GB"/>
        </w:rPr>
        <w:t xml:space="preserve">are </w:t>
      </w:r>
      <w:r w:rsidR="00B00CBF" w:rsidRPr="00A762C7">
        <w:rPr>
          <w:rFonts w:ascii="Times New Roman" w:hAnsi="Times New Roman" w:cs="Times New Roman"/>
          <w:sz w:val="24"/>
          <w:szCs w:val="24"/>
          <w:lang w:val="en-GB"/>
        </w:rPr>
        <w:t xml:space="preserve">less </w:t>
      </w:r>
      <w:r w:rsidR="00E55446" w:rsidRPr="00A762C7">
        <w:rPr>
          <w:rFonts w:ascii="Times New Roman" w:hAnsi="Times New Roman" w:cs="Times New Roman"/>
          <w:sz w:val="24"/>
          <w:szCs w:val="24"/>
          <w:lang w:val="en-GB"/>
        </w:rPr>
        <w:t>accepting</w:t>
      </w:r>
      <w:r w:rsidR="00B00CBF" w:rsidRPr="00A762C7">
        <w:rPr>
          <w:rFonts w:ascii="Times New Roman" w:hAnsi="Times New Roman" w:cs="Times New Roman"/>
          <w:sz w:val="24"/>
          <w:szCs w:val="24"/>
          <w:lang w:val="en-GB"/>
        </w:rPr>
        <w:t xml:space="preserve"> </w:t>
      </w:r>
      <w:r w:rsidRPr="00A762C7">
        <w:rPr>
          <w:rFonts w:ascii="Times New Roman" w:hAnsi="Times New Roman" w:cs="Times New Roman"/>
          <w:sz w:val="24"/>
          <w:szCs w:val="24"/>
          <w:lang w:val="en-GB"/>
        </w:rPr>
        <w:t xml:space="preserve">of </w:t>
      </w:r>
      <w:r w:rsidR="00B00CBF" w:rsidRPr="00A762C7">
        <w:rPr>
          <w:rFonts w:ascii="Times New Roman" w:hAnsi="Times New Roman" w:cs="Times New Roman"/>
          <w:sz w:val="24"/>
          <w:szCs w:val="24"/>
          <w:lang w:val="en-GB"/>
        </w:rPr>
        <w:t xml:space="preserve">TSs. </w:t>
      </w:r>
      <w:r w:rsidR="00BA057A" w:rsidRPr="00A762C7">
        <w:rPr>
          <w:rFonts w:ascii="Times New Roman" w:hAnsi="Times New Roman" w:cs="Times New Roman"/>
          <w:sz w:val="24"/>
          <w:szCs w:val="24"/>
          <w:lang w:val="en-GB"/>
        </w:rPr>
        <w:t>Finally, there i</w:t>
      </w:r>
      <w:r w:rsidRPr="00A762C7">
        <w:rPr>
          <w:rFonts w:ascii="Times New Roman" w:hAnsi="Times New Roman" w:cs="Times New Roman"/>
          <w:sz w:val="24"/>
          <w:szCs w:val="24"/>
          <w:lang w:val="en-GB"/>
        </w:rPr>
        <w:t>s a tendency</w:t>
      </w:r>
      <w:r w:rsidR="00116DF8" w:rsidRPr="00A762C7">
        <w:rPr>
          <w:rFonts w:ascii="Times New Roman" w:hAnsi="Times New Roman" w:cs="Times New Roman"/>
          <w:sz w:val="24"/>
          <w:szCs w:val="24"/>
          <w:lang w:val="en-GB"/>
        </w:rPr>
        <w:t xml:space="preserve"> for individuals </w:t>
      </w:r>
      <w:r w:rsidR="00A07F1D" w:rsidRPr="00A762C7">
        <w:rPr>
          <w:rFonts w:ascii="Times New Roman" w:hAnsi="Times New Roman" w:cs="Times New Roman"/>
          <w:sz w:val="24"/>
          <w:szCs w:val="24"/>
          <w:lang w:val="en-GB"/>
        </w:rPr>
        <w:t>born after 1974</w:t>
      </w:r>
      <w:r w:rsidR="00116DF8" w:rsidRPr="00A762C7">
        <w:rPr>
          <w:rFonts w:ascii="Times New Roman" w:hAnsi="Times New Roman" w:cs="Times New Roman"/>
          <w:sz w:val="24"/>
          <w:szCs w:val="24"/>
          <w:lang w:val="en-GB"/>
        </w:rPr>
        <w:t xml:space="preserve"> to be </w:t>
      </w:r>
      <w:r w:rsidR="00E55446" w:rsidRPr="00A762C7">
        <w:rPr>
          <w:rFonts w:ascii="Times New Roman" w:hAnsi="Times New Roman" w:cs="Times New Roman"/>
          <w:sz w:val="24"/>
          <w:szCs w:val="24"/>
          <w:lang w:val="en-GB"/>
        </w:rPr>
        <w:t>accepting</w:t>
      </w:r>
      <w:r w:rsidR="00116DF8" w:rsidRPr="00A762C7">
        <w:rPr>
          <w:rFonts w:ascii="Times New Roman" w:hAnsi="Times New Roman" w:cs="Times New Roman"/>
          <w:sz w:val="24"/>
          <w:szCs w:val="24"/>
          <w:lang w:val="en-GB"/>
        </w:rPr>
        <w:t xml:space="preserve"> </w:t>
      </w:r>
      <w:r w:rsidRPr="00A762C7">
        <w:rPr>
          <w:rFonts w:ascii="Times New Roman" w:hAnsi="Times New Roman" w:cs="Times New Roman"/>
          <w:sz w:val="24"/>
          <w:szCs w:val="24"/>
          <w:lang w:val="en-GB"/>
        </w:rPr>
        <w:t>of TSs</w:t>
      </w:r>
      <w:r w:rsidR="00CF6CC4" w:rsidRPr="00A762C7">
        <w:rPr>
          <w:rFonts w:ascii="Times New Roman" w:hAnsi="Times New Roman" w:cs="Times New Roman"/>
          <w:sz w:val="24"/>
          <w:szCs w:val="24"/>
          <w:lang w:val="en-GB"/>
        </w:rPr>
        <w:t>,</w:t>
      </w:r>
      <w:r w:rsidR="005E1E7F" w:rsidRPr="00A762C7">
        <w:rPr>
          <w:rFonts w:ascii="Times New Roman" w:hAnsi="Times New Roman" w:cs="Times New Roman"/>
          <w:sz w:val="24"/>
          <w:szCs w:val="24"/>
          <w:lang w:val="en-GB"/>
        </w:rPr>
        <w:t xml:space="preserve"> </w:t>
      </w:r>
      <w:r w:rsidR="00456C76" w:rsidRPr="00A762C7">
        <w:rPr>
          <w:rFonts w:ascii="Times New Roman" w:hAnsi="Times New Roman" w:cs="Times New Roman"/>
          <w:sz w:val="24"/>
          <w:szCs w:val="24"/>
          <w:lang w:val="en-GB"/>
        </w:rPr>
        <w:t>the</w:t>
      </w:r>
      <w:r w:rsidR="005E1E7F" w:rsidRPr="00A762C7">
        <w:rPr>
          <w:rFonts w:ascii="Times New Roman" w:hAnsi="Times New Roman" w:cs="Times New Roman"/>
          <w:sz w:val="24"/>
          <w:szCs w:val="24"/>
          <w:lang w:val="en-GB"/>
        </w:rPr>
        <w:t xml:space="preserve"> </w:t>
      </w:r>
      <w:r w:rsidR="00456624" w:rsidRPr="00A762C7">
        <w:rPr>
          <w:rFonts w:ascii="Times New Roman" w:hAnsi="Times New Roman" w:cs="Times New Roman"/>
          <w:sz w:val="24"/>
          <w:szCs w:val="24"/>
          <w:lang w:val="en-GB"/>
        </w:rPr>
        <w:t xml:space="preserve">opposite of the </w:t>
      </w:r>
      <w:r w:rsidRPr="00A762C7">
        <w:rPr>
          <w:rFonts w:ascii="Times New Roman" w:hAnsi="Times New Roman" w:cs="Times New Roman"/>
          <w:sz w:val="24"/>
          <w:szCs w:val="24"/>
          <w:lang w:val="en-GB"/>
        </w:rPr>
        <w:t>ag</w:t>
      </w:r>
      <w:r w:rsidR="00BA057A" w:rsidRPr="00A762C7">
        <w:rPr>
          <w:rFonts w:ascii="Times New Roman" w:hAnsi="Times New Roman" w:cs="Times New Roman"/>
          <w:sz w:val="24"/>
          <w:szCs w:val="24"/>
          <w:lang w:val="en-GB"/>
        </w:rPr>
        <w:t>e</w:t>
      </w:r>
      <w:r w:rsidRPr="00A762C7">
        <w:rPr>
          <w:rFonts w:ascii="Times New Roman" w:hAnsi="Times New Roman" w:cs="Times New Roman"/>
          <w:sz w:val="24"/>
          <w:szCs w:val="24"/>
          <w:lang w:val="en-GB"/>
        </w:rPr>
        <w:t xml:space="preserve"> </w:t>
      </w:r>
      <w:r w:rsidR="00456624" w:rsidRPr="00A762C7">
        <w:rPr>
          <w:rFonts w:ascii="Times New Roman" w:hAnsi="Times New Roman" w:cs="Times New Roman"/>
          <w:sz w:val="24"/>
          <w:szCs w:val="24"/>
          <w:lang w:val="en-GB"/>
        </w:rPr>
        <w:t>effect for TCs in Table 1.</w:t>
      </w:r>
    </w:p>
    <w:p w14:paraId="60039576" w14:textId="77777777" w:rsidR="004411F4" w:rsidRPr="00A762C7" w:rsidRDefault="009D0651" w:rsidP="009D0651">
      <w:pPr>
        <w:spacing w:line="480" w:lineRule="auto"/>
        <w:ind w:firstLine="709"/>
        <w:jc w:val="both"/>
        <w:rPr>
          <w:rFonts w:eastAsia="Times New Roman"/>
        </w:rPr>
      </w:pPr>
      <w:r>
        <w:t>-------------------PLEASE INSERT TABLE 2 ABOUT HERE-------------------</w:t>
      </w:r>
      <w:r w:rsidR="00CB375A" w:rsidRPr="00A762C7">
        <w:rPr>
          <w:rFonts w:eastAsia="Times New Roman"/>
        </w:rPr>
        <w:t xml:space="preserve"> </w:t>
      </w:r>
    </w:p>
    <w:p w14:paraId="0489A720" w14:textId="77777777" w:rsidR="004411F4" w:rsidRPr="00A762C7" w:rsidRDefault="004411F4" w:rsidP="004411F4">
      <w:pPr>
        <w:rPr>
          <w:rFonts w:eastAsia="Times New Roman"/>
        </w:rPr>
      </w:pPr>
    </w:p>
    <w:p w14:paraId="2FDD2AED" w14:textId="77777777" w:rsidR="004411F4" w:rsidRPr="00A762C7" w:rsidRDefault="004411F4" w:rsidP="004411F4">
      <w:pPr>
        <w:rPr>
          <w:rFonts w:eastAsia="Times New Roman"/>
        </w:rPr>
      </w:pPr>
    </w:p>
    <w:p w14:paraId="52C497B2" w14:textId="77777777" w:rsidR="004411F4" w:rsidRPr="00A762C7" w:rsidRDefault="004411F4" w:rsidP="00591C92">
      <w:pPr>
        <w:jc w:val="both"/>
        <w:rPr>
          <w:rFonts w:eastAsia="Times New Roman"/>
        </w:rPr>
      </w:pPr>
    </w:p>
    <w:p w14:paraId="5AFC5A15" w14:textId="334654BA" w:rsidR="00CB375A" w:rsidRPr="00A762C7" w:rsidRDefault="00B00CBF" w:rsidP="00210D9E">
      <w:pPr>
        <w:spacing w:line="480" w:lineRule="auto"/>
        <w:ind w:firstLine="709"/>
        <w:jc w:val="both"/>
        <w:rPr>
          <w:rFonts w:eastAsia="Times New Roman"/>
        </w:rPr>
      </w:pPr>
      <w:r w:rsidRPr="00A762C7">
        <w:rPr>
          <w:rFonts w:eastAsia="Times New Roman"/>
        </w:rPr>
        <w:t>Given the large sample size of Study 1</w:t>
      </w:r>
      <w:r w:rsidR="00CF6CC4" w:rsidRPr="00A762C7">
        <w:rPr>
          <w:rFonts w:eastAsia="Times New Roman"/>
        </w:rPr>
        <w:t>,</w:t>
      </w:r>
      <w:r w:rsidRPr="00A762C7">
        <w:rPr>
          <w:rFonts w:eastAsia="Times New Roman"/>
        </w:rPr>
        <w:t xml:space="preserve"> </w:t>
      </w:r>
      <w:r w:rsidR="00FA3A2F" w:rsidRPr="00A762C7">
        <w:rPr>
          <w:rFonts w:eastAsia="Times New Roman"/>
        </w:rPr>
        <w:t>we c</w:t>
      </w:r>
      <w:r w:rsidR="00BA057A" w:rsidRPr="00A762C7">
        <w:rPr>
          <w:rFonts w:eastAsia="Times New Roman"/>
        </w:rPr>
        <w:t>an</w:t>
      </w:r>
      <w:r w:rsidRPr="00A762C7">
        <w:rPr>
          <w:rFonts w:eastAsia="Times New Roman"/>
        </w:rPr>
        <w:t xml:space="preserve"> focus on </w:t>
      </w:r>
      <w:r w:rsidR="006C6089" w:rsidRPr="00A762C7">
        <w:rPr>
          <w:rFonts w:eastAsia="Times New Roman"/>
        </w:rPr>
        <w:t>a subsample</w:t>
      </w:r>
      <w:r w:rsidR="00CF6CC4" w:rsidRPr="00A762C7">
        <w:rPr>
          <w:rFonts w:eastAsia="Times New Roman"/>
        </w:rPr>
        <w:t>,</w:t>
      </w:r>
      <w:r w:rsidR="006C6089" w:rsidRPr="00A762C7">
        <w:rPr>
          <w:rFonts w:eastAsia="Times New Roman"/>
        </w:rPr>
        <w:t xml:space="preserve"> the </w:t>
      </w:r>
      <w:r w:rsidR="00FA3A2F" w:rsidRPr="00A762C7">
        <w:rPr>
          <w:rFonts w:eastAsia="Times New Roman"/>
        </w:rPr>
        <w:t>internally displaced</w:t>
      </w:r>
      <w:r w:rsidR="006C6089" w:rsidRPr="00A762C7">
        <w:rPr>
          <w:rFonts w:eastAsia="Times New Roman"/>
        </w:rPr>
        <w:t xml:space="preserve">. </w:t>
      </w:r>
      <w:r w:rsidR="00BA057A" w:rsidRPr="00A762C7">
        <w:rPr>
          <w:rFonts w:eastAsia="Times New Roman"/>
        </w:rPr>
        <w:t>T</w:t>
      </w:r>
      <w:r w:rsidR="006C6089" w:rsidRPr="00A762C7">
        <w:rPr>
          <w:rFonts w:eastAsia="Times New Roman"/>
        </w:rPr>
        <w:t>hi</w:t>
      </w:r>
      <w:r w:rsidR="00DB1A9D" w:rsidRPr="00A762C7">
        <w:rPr>
          <w:rFonts w:eastAsia="Times New Roman"/>
        </w:rPr>
        <w:t>s</w:t>
      </w:r>
      <w:r w:rsidR="006C6089" w:rsidRPr="00A762C7">
        <w:rPr>
          <w:rFonts w:eastAsia="Times New Roman"/>
        </w:rPr>
        <w:t xml:space="preserve"> group </w:t>
      </w:r>
      <w:r w:rsidR="00ED09E0">
        <w:rPr>
          <w:rFonts w:eastAsia="Times New Roman"/>
        </w:rPr>
        <w:t xml:space="preserve">answered </w:t>
      </w:r>
      <w:r w:rsidR="00BA057A" w:rsidRPr="00A762C7">
        <w:rPr>
          <w:rFonts w:eastAsia="Times New Roman"/>
        </w:rPr>
        <w:t>two</w:t>
      </w:r>
      <w:r w:rsidR="004411F4" w:rsidRPr="00A762C7">
        <w:rPr>
          <w:rFonts w:eastAsia="Times New Roman"/>
        </w:rPr>
        <w:t xml:space="preserve"> additional set</w:t>
      </w:r>
      <w:r w:rsidR="00BA057A" w:rsidRPr="00A762C7">
        <w:rPr>
          <w:rFonts w:eastAsia="Times New Roman"/>
        </w:rPr>
        <w:t>s</w:t>
      </w:r>
      <w:r w:rsidR="004411F4" w:rsidRPr="00A762C7">
        <w:rPr>
          <w:rFonts w:eastAsia="Times New Roman"/>
        </w:rPr>
        <w:t xml:space="preserve"> of questions</w:t>
      </w:r>
      <w:r w:rsidR="00BA057A" w:rsidRPr="00A762C7">
        <w:rPr>
          <w:rFonts w:eastAsia="Times New Roman"/>
        </w:rPr>
        <w:t>, first</w:t>
      </w:r>
      <w:r w:rsidR="004411F4" w:rsidRPr="00A762C7">
        <w:rPr>
          <w:rFonts w:eastAsia="Times New Roman"/>
        </w:rPr>
        <w:t xml:space="preserve"> </w:t>
      </w:r>
      <w:r w:rsidR="00FA3A2F" w:rsidRPr="00A762C7">
        <w:rPr>
          <w:rFonts w:eastAsia="Times New Roman"/>
        </w:rPr>
        <w:t>on</w:t>
      </w:r>
      <w:r w:rsidR="004411F4" w:rsidRPr="00A762C7">
        <w:rPr>
          <w:rFonts w:eastAsia="Times New Roman"/>
        </w:rPr>
        <w:t xml:space="preserve"> the</w:t>
      </w:r>
      <w:r w:rsidR="006C6089" w:rsidRPr="00A762C7">
        <w:rPr>
          <w:rFonts w:eastAsia="Times New Roman"/>
        </w:rPr>
        <w:t>ir</w:t>
      </w:r>
      <w:r w:rsidR="004411F4" w:rsidRPr="00A762C7">
        <w:rPr>
          <w:rFonts w:eastAsia="Times New Roman"/>
        </w:rPr>
        <w:t xml:space="preserve"> return intentions </w:t>
      </w:r>
      <w:r w:rsidR="00FA3A2F" w:rsidRPr="00A762C7">
        <w:rPr>
          <w:rFonts w:eastAsia="Times New Roman"/>
        </w:rPr>
        <w:t>if</w:t>
      </w:r>
      <w:r w:rsidR="006C6089" w:rsidRPr="00A762C7">
        <w:rPr>
          <w:rFonts w:eastAsia="Times New Roman"/>
        </w:rPr>
        <w:t xml:space="preserve"> the Cyprus issue </w:t>
      </w:r>
      <w:r w:rsidR="00BA057A" w:rsidRPr="00A762C7">
        <w:rPr>
          <w:rFonts w:eastAsia="Times New Roman"/>
        </w:rPr>
        <w:t>is</w:t>
      </w:r>
      <w:r w:rsidR="00FA3A2F" w:rsidRPr="00A762C7">
        <w:rPr>
          <w:rFonts w:eastAsia="Times New Roman"/>
        </w:rPr>
        <w:t xml:space="preserve"> resolved</w:t>
      </w:r>
      <w:r w:rsidR="00ED09E0">
        <w:rPr>
          <w:rFonts w:eastAsia="Times New Roman"/>
        </w:rPr>
        <w:t>,</w:t>
      </w:r>
      <w:r w:rsidR="00FA3A2F" w:rsidRPr="00A762C7">
        <w:rPr>
          <w:rFonts w:eastAsia="Times New Roman"/>
        </w:rPr>
        <w:t xml:space="preserve"> </w:t>
      </w:r>
      <w:r w:rsidR="004411F4" w:rsidRPr="00A762C7">
        <w:rPr>
          <w:rFonts w:eastAsia="Times New Roman"/>
        </w:rPr>
        <w:t>and</w:t>
      </w:r>
      <w:r w:rsidR="00FA3A2F" w:rsidRPr="00A762C7">
        <w:rPr>
          <w:rFonts w:eastAsia="Times New Roman"/>
        </w:rPr>
        <w:t xml:space="preserve"> </w:t>
      </w:r>
      <w:r w:rsidR="00BA057A" w:rsidRPr="00A762C7">
        <w:rPr>
          <w:rFonts w:eastAsia="Times New Roman"/>
        </w:rPr>
        <w:t xml:space="preserve">second on </w:t>
      </w:r>
      <w:r w:rsidR="00FA3A2F" w:rsidRPr="00A762C7">
        <w:rPr>
          <w:rFonts w:eastAsia="Times New Roman"/>
        </w:rPr>
        <w:t>their</w:t>
      </w:r>
      <w:r w:rsidR="004411F4" w:rsidRPr="00A762C7">
        <w:rPr>
          <w:rFonts w:eastAsia="Times New Roman"/>
        </w:rPr>
        <w:t xml:space="preserve"> </w:t>
      </w:r>
      <w:r w:rsidR="006C6089" w:rsidRPr="00A762C7">
        <w:rPr>
          <w:rFonts w:eastAsia="Times New Roman"/>
        </w:rPr>
        <w:t xml:space="preserve">level of </w:t>
      </w:r>
      <w:r w:rsidR="004411F4" w:rsidRPr="00A762C7">
        <w:rPr>
          <w:rFonts w:eastAsia="Times New Roman"/>
        </w:rPr>
        <w:t>intergroup contact with TCs</w:t>
      </w:r>
      <w:r w:rsidR="00BD0A20">
        <w:rPr>
          <w:rFonts w:eastAsia="Times New Roman"/>
        </w:rPr>
        <w:t xml:space="preserve"> (see Appendix I in supplementary material</w:t>
      </w:r>
      <w:r w:rsidR="006C6089" w:rsidRPr="00A762C7">
        <w:rPr>
          <w:rFonts w:eastAsia="Times New Roman"/>
        </w:rPr>
        <w:t>).</w:t>
      </w:r>
      <w:r w:rsidR="004411F4" w:rsidRPr="00A762C7">
        <w:rPr>
          <w:rFonts w:eastAsia="Times New Roman"/>
        </w:rPr>
        <w:t xml:space="preserve"> </w:t>
      </w:r>
      <w:r w:rsidR="00FA3A2F" w:rsidRPr="00A762C7">
        <w:rPr>
          <w:rFonts w:eastAsia="Times New Roman"/>
        </w:rPr>
        <w:t xml:space="preserve">Unfortunately, </w:t>
      </w:r>
      <w:r w:rsidR="00D11D40" w:rsidRPr="00A762C7">
        <w:rPr>
          <w:rFonts w:eastAsia="Times New Roman"/>
        </w:rPr>
        <w:t>we could not run the same model on acceptance of TSs</w:t>
      </w:r>
      <w:r w:rsidR="00AD3732">
        <w:rPr>
          <w:rFonts w:eastAsia="Times New Roman"/>
        </w:rPr>
        <w:t>,</w:t>
      </w:r>
      <w:r w:rsidR="00D11D40" w:rsidRPr="00A762C7">
        <w:rPr>
          <w:rFonts w:eastAsia="Times New Roman"/>
        </w:rPr>
        <w:t xml:space="preserve"> since </w:t>
      </w:r>
      <w:r w:rsidR="006C6089" w:rsidRPr="00A762C7">
        <w:rPr>
          <w:rFonts w:eastAsia="Times New Roman"/>
        </w:rPr>
        <w:t>only 48 Greek Cypriot IDPs accep</w:t>
      </w:r>
      <w:r w:rsidR="00BA057A" w:rsidRPr="00A762C7">
        <w:rPr>
          <w:rFonts w:eastAsia="Times New Roman"/>
        </w:rPr>
        <w:t>t</w:t>
      </w:r>
      <w:r w:rsidR="006C6089" w:rsidRPr="00A762C7">
        <w:rPr>
          <w:rFonts w:eastAsia="Times New Roman"/>
        </w:rPr>
        <w:t xml:space="preserve"> Turkish settlers as close neighbours. </w:t>
      </w:r>
    </w:p>
    <w:p w14:paraId="1E18D057" w14:textId="6F1F3CF1" w:rsidR="00687732" w:rsidRPr="00A762C7" w:rsidRDefault="006C6089" w:rsidP="00210D9E">
      <w:pPr>
        <w:pStyle w:val="NoSpacing"/>
        <w:spacing w:line="480" w:lineRule="auto"/>
        <w:ind w:firstLine="709"/>
        <w:jc w:val="both"/>
        <w:rPr>
          <w:rFonts w:ascii="Times New Roman" w:hAnsi="Times New Roman" w:cs="Times New Roman"/>
          <w:sz w:val="24"/>
          <w:szCs w:val="24"/>
          <w:lang w:val="en-GB"/>
        </w:rPr>
      </w:pPr>
      <w:r w:rsidRPr="00A762C7">
        <w:rPr>
          <w:rFonts w:ascii="Times New Roman" w:hAnsi="Times New Roman" w:cs="Times New Roman"/>
          <w:sz w:val="24"/>
          <w:szCs w:val="24"/>
          <w:lang w:val="en-GB"/>
        </w:rPr>
        <w:lastRenderedPageBreak/>
        <w:t xml:space="preserve">Table 3 presents the results for Greek Cypriot IDPs. </w:t>
      </w:r>
      <w:r w:rsidR="00FD4179" w:rsidRPr="00A762C7">
        <w:rPr>
          <w:rFonts w:ascii="Times New Roman" w:hAnsi="Times New Roman" w:cs="Times New Roman"/>
          <w:sz w:val="24"/>
          <w:szCs w:val="24"/>
          <w:lang w:val="en-GB"/>
        </w:rPr>
        <w:t xml:space="preserve">As </w:t>
      </w:r>
      <w:r w:rsidR="00687732" w:rsidRPr="00A762C7">
        <w:rPr>
          <w:rFonts w:ascii="Times New Roman" w:hAnsi="Times New Roman" w:cs="Times New Roman"/>
          <w:sz w:val="24"/>
          <w:szCs w:val="24"/>
          <w:lang w:val="en-GB"/>
        </w:rPr>
        <w:t>Model 1</w:t>
      </w:r>
      <w:r w:rsidR="00FD4179" w:rsidRPr="00A762C7">
        <w:rPr>
          <w:rFonts w:ascii="Times New Roman" w:hAnsi="Times New Roman" w:cs="Times New Roman"/>
          <w:sz w:val="24"/>
          <w:szCs w:val="24"/>
          <w:lang w:val="en-GB"/>
        </w:rPr>
        <w:t xml:space="preserve"> shows</w:t>
      </w:r>
      <w:r w:rsidR="00513431" w:rsidRPr="00A762C7">
        <w:rPr>
          <w:rFonts w:ascii="Times New Roman" w:hAnsi="Times New Roman" w:cs="Times New Roman"/>
          <w:sz w:val="24"/>
          <w:szCs w:val="24"/>
          <w:lang w:val="en-GB"/>
        </w:rPr>
        <w:t>,</w:t>
      </w:r>
      <w:r w:rsidR="00687732" w:rsidRPr="00A762C7">
        <w:rPr>
          <w:rFonts w:ascii="Times New Roman" w:hAnsi="Times New Roman" w:cs="Times New Roman"/>
          <w:sz w:val="24"/>
          <w:szCs w:val="24"/>
          <w:lang w:val="en-GB"/>
        </w:rPr>
        <w:t xml:space="preserve"> IDP </w:t>
      </w:r>
      <w:r w:rsidR="00A07F1D" w:rsidRPr="00A762C7">
        <w:rPr>
          <w:rFonts w:ascii="Times New Roman" w:hAnsi="Times New Roman" w:cs="Times New Roman"/>
          <w:sz w:val="24"/>
          <w:szCs w:val="24"/>
          <w:lang w:val="en-GB"/>
        </w:rPr>
        <w:t xml:space="preserve">men </w:t>
      </w:r>
      <w:r w:rsidR="00BA057A" w:rsidRPr="00A762C7">
        <w:rPr>
          <w:rFonts w:ascii="Times New Roman" w:hAnsi="Times New Roman" w:cs="Times New Roman"/>
          <w:sz w:val="24"/>
          <w:szCs w:val="24"/>
          <w:lang w:val="en-GB"/>
        </w:rPr>
        <w:t>a</w:t>
      </w:r>
      <w:r w:rsidR="00FD4179" w:rsidRPr="00A762C7">
        <w:rPr>
          <w:rFonts w:ascii="Times New Roman" w:hAnsi="Times New Roman" w:cs="Times New Roman"/>
          <w:sz w:val="24"/>
          <w:szCs w:val="24"/>
          <w:lang w:val="en-GB"/>
        </w:rPr>
        <w:t>re</w:t>
      </w:r>
      <w:r w:rsidR="00A07F1D" w:rsidRPr="00A762C7">
        <w:rPr>
          <w:rFonts w:ascii="Times New Roman" w:hAnsi="Times New Roman" w:cs="Times New Roman"/>
          <w:sz w:val="24"/>
          <w:szCs w:val="24"/>
          <w:lang w:val="en-GB"/>
        </w:rPr>
        <w:t xml:space="preserve"> 1.</w:t>
      </w:r>
      <w:r w:rsidRPr="00A762C7">
        <w:rPr>
          <w:rFonts w:ascii="Times New Roman" w:hAnsi="Times New Roman" w:cs="Times New Roman"/>
          <w:sz w:val="24"/>
          <w:szCs w:val="24"/>
          <w:lang w:val="en-GB"/>
        </w:rPr>
        <w:t>6</w:t>
      </w:r>
      <w:r w:rsidR="00A07F1D" w:rsidRPr="00A762C7">
        <w:rPr>
          <w:rFonts w:ascii="Times New Roman" w:hAnsi="Times New Roman" w:cs="Times New Roman"/>
          <w:sz w:val="24"/>
          <w:szCs w:val="24"/>
          <w:lang w:val="en-GB"/>
        </w:rPr>
        <w:t>5 times more likely than women</w:t>
      </w:r>
      <w:r w:rsidR="00687732" w:rsidRPr="00A762C7">
        <w:rPr>
          <w:rFonts w:ascii="Times New Roman" w:hAnsi="Times New Roman" w:cs="Times New Roman"/>
          <w:sz w:val="24"/>
          <w:szCs w:val="24"/>
          <w:lang w:val="en-GB"/>
        </w:rPr>
        <w:t xml:space="preserve"> </w:t>
      </w:r>
      <w:r w:rsidR="00A07F1D" w:rsidRPr="00A762C7">
        <w:rPr>
          <w:rFonts w:ascii="Times New Roman" w:hAnsi="Times New Roman" w:cs="Times New Roman"/>
          <w:sz w:val="24"/>
          <w:szCs w:val="24"/>
          <w:lang w:val="en-GB"/>
        </w:rPr>
        <w:t xml:space="preserve">to be </w:t>
      </w:r>
      <w:r w:rsidR="00E55446" w:rsidRPr="00A762C7">
        <w:rPr>
          <w:rFonts w:ascii="Times New Roman" w:hAnsi="Times New Roman" w:cs="Times New Roman"/>
          <w:sz w:val="24"/>
          <w:szCs w:val="24"/>
          <w:lang w:val="en-GB"/>
        </w:rPr>
        <w:t>accepting</w:t>
      </w:r>
      <w:r w:rsidR="00A07F1D" w:rsidRPr="00A762C7">
        <w:rPr>
          <w:rFonts w:ascii="Times New Roman" w:hAnsi="Times New Roman" w:cs="Times New Roman"/>
          <w:sz w:val="24"/>
          <w:szCs w:val="24"/>
          <w:lang w:val="en-GB"/>
        </w:rPr>
        <w:t xml:space="preserve"> </w:t>
      </w:r>
      <w:r w:rsidR="00FD4179" w:rsidRPr="00A762C7">
        <w:rPr>
          <w:rFonts w:ascii="Times New Roman" w:hAnsi="Times New Roman" w:cs="Times New Roman"/>
          <w:sz w:val="24"/>
          <w:szCs w:val="24"/>
          <w:lang w:val="en-GB"/>
        </w:rPr>
        <w:t>of</w:t>
      </w:r>
      <w:r w:rsidR="00687732" w:rsidRPr="00A762C7">
        <w:rPr>
          <w:rFonts w:ascii="Times New Roman" w:hAnsi="Times New Roman" w:cs="Times New Roman"/>
          <w:sz w:val="24"/>
          <w:szCs w:val="24"/>
          <w:lang w:val="en-GB"/>
        </w:rPr>
        <w:t xml:space="preserve"> TCs</w:t>
      </w:r>
      <w:r w:rsidR="00ED09E0">
        <w:rPr>
          <w:rFonts w:ascii="Times New Roman" w:hAnsi="Times New Roman" w:cs="Times New Roman"/>
          <w:sz w:val="24"/>
          <w:szCs w:val="24"/>
          <w:lang w:val="en-GB"/>
        </w:rPr>
        <w:t>,</w:t>
      </w:r>
      <w:r w:rsidR="00687732" w:rsidRPr="00A762C7">
        <w:rPr>
          <w:rFonts w:ascii="Times New Roman" w:hAnsi="Times New Roman" w:cs="Times New Roman"/>
          <w:sz w:val="24"/>
          <w:szCs w:val="24"/>
          <w:lang w:val="en-GB"/>
        </w:rPr>
        <w:t xml:space="preserve"> </w:t>
      </w:r>
      <w:r w:rsidR="00AD3732">
        <w:rPr>
          <w:rFonts w:ascii="Times New Roman" w:hAnsi="Times New Roman" w:cs="Times New Roman"/>
          <w:sz w:val="24"/>
          <w:szCs w:val="24"/>
          <w:lang w:val="en-GB"/>
        </w:rPr>
        <w:t>regardless of age</w:t>
      </w:r>
      <w:r w:rsidR="00687732" w:rsidRPr="00A762C7">
        <w:rPr>
          <w:rFonts w:ascii="Times New Roman" w:hAnsi="Times New Roman" w:cs="Times New Roman"/>
          <w:sz w:val="24"/>
          <w:szCs w:val="24"/>
          <w:lang w:val="en-GB"/>
        </w:rPr>
        <w:t xml:space="preserve">. </w:t>
      </w:r>
      <w:r w:rsidR="00513431" w:rsidRPr="00A762C7">
        <w:rPr>
          <w:rFonts w:ascii="Times New Roman" w:hAnsi="Times New Roman" w:cs="Times New Roman"/>
          <w:sz w:val="24"/>
          <w:szCs w:val="24"/>
          <w:lang w:val="en-GB"/>
        </w:rPr>
        <w:t xml:space="preserve">Interestingly, </w:t>
      </w:r>
      <w:r w:rsidR="00A07F1D" w:rsidRPr="00A762C7">
        <w:rPr>
          <w:rFonts w:ascii="Times New Roman" w:hAnsi="Times New Roman" w:cs="Times New Roman"/>
          <w:sz w:val="24"/>
          <w:szCs w:val="24"/>
          <w:lang w:val="en-GB"/>
        </w:rPr>
        <w:t>lack of university education seems to roughly hal</w:t>
      </w:r>
      <w:r w:rsidR="00D0702C">
        <w:rPr>
          <w:rFonts w:ascii="Times New Roman" w:hAnsi="Times New Roman" w:cs="Times New Roman"/>
          <w:sz w:val="24"/>
          <w:szCs w:val="24"/>
          <w:lang w:val="en-GB"/>
        </w:rPr>
        <w:t>ve</w:t>
      </w:r>
      <w:r w:rsidR="00A07F1D" w:rsidRPr="00A762C7">
        <w:rPr>
          <w:rFonts w:ascii="Times New Roman" w:hAnsi="Times New Roman" w:cs="Times New Roman"/>
          <w:sz w:val="24"/>
          <w:szCs w:val="24"/>
          <w:lang w:val="en-GB"/>
        </w:rPr>
        <w:t xml:space="preserve"> the </w:t>
      </w:r>
      <w:r w:rsidR="00AB69EF" w:rsidRPr="00A762C7">
        <w:rPr>
          <w:rFonts w:ascii="Times New Roman" w:hAnsi="Times New Roman" w:cs="Times New Roman"/>
          <w:sz w:val="24"/>
          <w:szCs w:val="24"/>
          <w:lang w:val="en-GB"/>
        </w:rPr>
        <w:t>odds</w:t>
      </w:r>
      <w:r w:rsidR="00A07F1D" w:rsidRPr="00A762C7">
        <w:rPr>
          <w:rFonts w:ascii="Times New Roman" w:hAnsi="Times New Roman" w:cs="Times New Roman"/>
          <w:sz w:val="24"/>
          <w:szCs w:val="24"/>
          <w:lang w:val="en-GB"/>
        </w:rPr>
        <w:t xml:space="preserve"> of </w:t>
      </w:r>
      <w:r w:rsidR="00AC2748" w:rsidRPr="00A762C7">
        <w:rPr>
          <w:rFonts w:ascii="Times New Roman" w:hAnsi="Times New Roman" w:cs="Times New Roman"/>
          <w:sz w:val="24"/>
          <w:szCs w:val="24"/>
          <w:lang w:val="en-GB"/>
        </w:rPr>
        <w:t>acceptance of TCs</w:t>
      </w:r>
      <w:r w:rsidR="00AB69EF" w:rsidRPr="00A762C7">
        <w:rPr>
          <w:rFonts w:ascii="Times New Roman" w:hAnsi="Times New Roman" w:cs="Times New Roman"/>
          <w:sz w:val="24"/>
          <w:szCs w:val="24"/>
          <w:lang w:val="en-GB"/>
        </w:rPr>
        <w:t xml:space="preserve">. </w:t>
      </w:r>
      <w:r w:rsidR="00687732" w:rsidRPr="00A762C7">
        <w:rPr>
          <w:rFonts w:ascii="Times New Roman" w:hAnsi="Times New Roman" w:cs="Times New Roman"/>
          <w:sz w:val="24"/>
          <w:szCs w:val="24"/>
          <w:lang w:val="en-GB"/>
        </w:rPr>
        <w:t>In Model 2</w:t>
      </w:r>
      <w:r w:rsidR="00513431" w:rsidRPr="00A762C7">
        <w:rPr>
          <w:rFonts w:ascii="Times New Roman" w:hAnsi="Times New Roman" w:cs="Times New Roman"/>
          <w:sz w:val="24"/>
          <w:szCs w:val="24"/>
          <w:lang w:val="en-GB"/>
        </w:rPr>
        <w:t>,</w:t>
      </w:r>
      <w:r w:rsidR="00687732" w:rsidRPr="00A762C7">
        <w:rPr>
          <w:rFonts w:ascii="Times New Roman" w:hAnsi="Times New Roman" w:cs="Times New Roman"/>
          <w:sz w:val="24"/>
          <w:szCs w:val="24"/>
          <w:lang w:val="en-GB"/>
        </w:rPr>
        <w:t xml:space="preserve"> </w:t>
      </w:r>
      <w:r w:rsidR="002A5023">
        <w:rPr>
          <w:rFonts w:ascii="Times New Roman" w:hAnsi="Times New Roman" w:cs="Times New Roman"/>
          <w:sz w:val="24"/>
          <w:szCs w:val="24"/>
          <w:lang w:val="en-GB"/>
        </w:rPr>
        <w:t xml:space="preserve">traumatic </w:t>
      </w:r>
      <w:r w:rsidR="00687732" w:rsidRPr="00A762C7">
        <w:rPr>
          <w:rFonts w:ascii="Times New Roman" w:hAnsi="Times New Roman" w:cs="Times New Roman"/>
          <w:sz w:val="24"/>
          <w:szCs w:val="24"/>
          <w:lang w:val="en-GB"/>
        </w:rPr>
        <w:t>victimizati</w:t>
      </w:r>
      <w:r w:rsidR="002A5023">
        <w:rPr>
          <w:rFonts w:ascii="Times New Roman" w:hAnsi="Times New Roman" w:cs="Times New Roman"/>
          <w:sz w:val="24"/>
          <w:szCs w:val="24"/>
          <w:lang w:val="en-GB"/>
        </w:rPr>
        <w:t>on in addition to being an IDP</w:t>
      </w:r>
      <w:r w:rsidR="00FD4179" w:rsidRPr="00A762C7">
        <w:rPr>
          <w:rFonts w:ascii="Times New Roman" w:hAnsi="Times New Roman" w:cs="Times New Roman"/>
          <w:sz w:val="24"/>
          <w:szCs w:val="24"/>
          <w:lang w:val="en-GB"/>
        </w:rPr>
        <w:t>,</w:t>
      </w:r>
      <w:r w:rsidR="00687732" w:rsidRPr="00A762C7">
        <w:rPr>
          <w:rFonts w:ascii="Times New Roman" w:hAnsi="Times New Roman" w:cs="Times New Roman"/>
          <w:sz w:val="24"/>
          <w:szCs w:val="24"/>
          <w:lang w:val="en-GB"/>
        </w:rPr>
        <w:t xml:space="preserve"> either personal</w:t>
      </w:r>
      <w:r w:rsidR="00D0702C">
        <w:rPr>
          <w:rFonts w:ascii="Times New Roman" w:hAnsi="Times New Roman" w:cs="Times New Roman"/>
          <w:sz w:val="24"/>
          <w:szCs w:val="24"/>
          <w:lang w:val="en-GB"/>
        </w:rPr>
        <w:t>ly</w:t>
      </w:r>
      <w:r w:rsidR="00687732" w:rsidRPr="00A762C7">
        <w:rPr>
          <w:rFonts w:ascii="Times New Roman" w:hAnsi="Times New Roman" w:cs="Times New Roman"/>
          <w:sz w:val="24"/>
          <w:szCs w:val="24"/>
          <w:lang w:val="en-GB"/>
        </w:rPr>
        <w:t xml:space="preserve"> or </w:t>
      </w:r>
      <w:r w:rsidR="00D0702C">
        <w:rPr>
          <w:rFonts w:ascii="Times New Roman" w:hAnsi="Times New Roman" w:cs="Times New Roman"/>
          <w:sz w:val="24"/>
          <w:szCs w:val="24"/>
          <w:lang w:val="en-GB"/>
        </w:rPr>
        <w:t>within the family</w:t>
      </w:r>
      <w:r w:rsidR="00FD4179" w:rsidRPr="00A762C7">
        <w:rPr>
          <w:rFonts w:ascii="Times New Roman" w:hAnsi="Times New Roman" w:cs="Times New Roman"/>
          <w:sz w:val="24"/>
          <w:szCs w:val="24"/>
          <w:lang w:val="en-GB"/>
        </w:rPr>
        <w:t>,</w:t>
      </w:r>
      <w:r w:rsidR="00687732" w:rsidRPr="00A762C7">
        <w:rPr>
          <w:rFonts w:ascii="Times New Roman" w:hAnsi="Times New Roman" w:cs="Times New Roman"/>
          <w:sz w:val="24"/>
          <w:szCs w:val="24"/>
          <w:lang w:val="en-GB"/>
        </w:rPr>
        <w:t xml:space="preserve"> does not relate to </w:t>
      </w:r>
      <w:r w:rsidR="00093A17" w:rsidRPr="00A762C7">
        <w:rPr>
          <w:rFonts w:ascii="Times New Roman" w:hAnsi="Times New Roman" w:cs="Times New Roman"/>
          <w:sz w:val="24"/>
          <w:szCs w:val="24"/>
          <w:lang w:val="en-GB"/>
        </w:rPr>
        <w:t>acceptance</w:t>
      </w:r>
      <w:r w:rsidR="00687732" w:rsidRPr="00A762C7">
        <w:rPr>
          <w:rFonts w:ascii="Times New Roman" w:hAnsi="Times New Roman" w:cs="Times New Roman"/>
          <w:sz w:val="24"/>
          <w:szCs w:val="24"/>
          <w:lang w:val="en-GB"/>
        </w:rPr>
        <w:t xml:space="preserve"> </w:t>
      </w:r>
      <w:r w:rsidR="00FD4179" w:rsidRPr="00A762C7">
        <w:rPr>
          <w:rFonts w:ascii="Times New Roman" w:hAnsi="Times New Roman" w:cs="Times New Roman"/>
          <w:sz w:val="24"/>
          <w:szCs w:val="24"/>
          <w:lang w:val="en-GB"/>
        </w:rPr>
        <w:t xml:space="preserve">of </w:t>
      </w:r>
      <w:r w:rsidR="00687732" w:rsidRPr="00A762C7">
        <w:rPr>
          <w:rFonts w:ascii="Times New Roman" w:hAnsi="Times New Roman" w:cs="Times New Roman"/>
          <w:sz w:val="24"/>
          <w:szCs w:val="24"/>
          <w:lang w:val="en-GB"/>
        </w:rPr>
        <w:t>cohabitation with TCs. In Model 3, as expected</w:t>
      </w:r>
      <w:r w:rsidR="00FD4179" w:rsidRPr="00A762C7">
        <w:rPr>
          <w:rFonts w:ascii="Times New Roman" w:hAnsi="Times New Roman" w:cs="Times New Roman"/>
          <w:sz w:val="24"/>
          <w:szCs w:val="24"/>
          <w:lang w:val="en-GB"/>
        </w:rPr>
        <w:t>,</w:t>
      </w:r>
      <w:r w:rsidR="00687732" w:rsidRPr="00A762C7">
        <w:rPr>
          <w:rFonts w:ascii="Times New Roman" w:hAnsi="Times New Roman" w:cs="Times New Roman"/>
          <w:sz w:val="24"/>
          <w:szCs w:val="24"/>
          <w:lang w:val="en-GB"/>
        </w:rPr>
        <w:t xml:space="preserve"> transitional justice variables influence </w:t>
      </w:r>
      <w:r w:rsidR="00093A17" w:rsidRPr="00A762C7">
        <w:rPr>
          <w:rFonts w:ascii="Times New Roman" w:hAnsi="Times New Roman" w:cs="Times New Roman"/>
          <w:sz w:val="24"/>
          <w:szCs w:val="24"/>
          <w:lang w:val="en-GB"/>
        </w:rPr>
        <w:t>acceptance</w:t>
      </w:r>
      <w:r w:rsidR="00687732" w:rsidRPr="00A762C7">
        <w:rPr>
          <w:rFonts w:ascii="Times New Roman" w:hAnsi="Times New Roman" w:cs="Times New Roman"/>
          <w:sz w:val="24"/>
          <w:szCs w:val="24"/>
          <w:lang w:val="en-GB"/>
        </w:rPr>
        <w:t xml:space="preserve"> </w:t>
      </w:r>
      <w:r w:rsidR="00FD4179" w:rsidRPr="00A762C7">
        <w:rPr>
          <w:rFonts w:ascii="Times New Roman" w:hAnsi="Times New Roman" w:cs="Times New Roman"/>
          <w:sz w:val="24"/>
          <w:szCs w:val="24"/>
          <w:lang w:val="en-GB"/>
        </w:rPr>
        <w:t xml:space="preserve">of </w:t>
      </w:r>
      <w:r w:rsidR="00687732" w:rsidRPr="00A762C7">
        <w:rPr>
          <w:rFonts w:ascii="Times New Roman" w:hAnsi="Times New Roman" w:cs="Times New Roman"/>
          <w:sz w:val="24"/>
          <w:szCs w:val="24"/>
          <w:lang w:val="en-GB"/>
        </w:rPr>
        <w:t xml:space="preserve">cohabitation in </w:t>
      </w:r>
      <w:r w:rsidR="00C50A3B" w:rsidRPr="00A762C7">
        <w:rPr>
          <w:rFonts w:ascii="Times New Roman" w:hAnsi="Times New Roman" w:cs="Times New Roman"/>
          <w:sz w:val="24"/>
          <w:szCs w:val="24"/>
          <w:lang w:val="en-GB"/>
        </w:rPr>
        <w:t>four of seven</w:t>
      </w:r>
      <w:r w:rsidR="00687732" w:rsidRPr="00A762C7">
        <w:rPr>
          <w:rFonts w:ascii="Times New Roman" w:hAnsi="Times New Roman" w:cs="Times New Roman"/>
          <w:sz w:val="24"/>
          <w:szCs w:val="24"/>
          <w:lang w:val="en-GB"/>
        </w:rPr>
        <w:t xml:space="preserve"> variables. </w:t>
      </w:r>
      <w:r w:rsidR="00FD4179" w:rsidRPr="00A762C7">
        <w:rPr>
          <w:rFonts w:ascii="Times New Roman" w:hAnsi="Times New Roman" w:cs="Times New Roman"/>
          <w:sz w:val="24"/>
          <w:szCs w:val="24"/>
          <w:lang w:val="en-GB"/>
        </w:rPr>
        <w:t>Here</w:t>
      </w:r>
      <w:r w:rsidR="00C50A3B" w:rsidRPr="00A762C7">
        <w:rPr>
          <w:rFonts w:ascii="Times New Roman" w:hAnsi="Times New Roman" w:cs="Times New Roman"/>
          <w:sz w:val="24"/>
          <w:szCs w:val="24"/>
          <w:lang w:val="en-GB"/>
        </w:rPr>
        <w:t xml:space="preserve">, the demand for Turkey to pay compensation </w:t>
      </w:r>
      <w:r w:rsidR="00BA057A" w:rsidRPr="00A762C7">
        <w:rPr>
          <w:rFonts w:ascii="Times New Roman" w:hAnsi="Times New Roman" w:cs="Times New Roman"/>
          <w:sz w:val="24"/>
          <w:szCs w:val="24"/>
          <w:lang w:val="en-GB"/>
        </w:rPr>
        <w:t>i</w:t>
      </w:r>
      <w:r w:rsidR="00C50A3B" w:rsidRPr="00A762C7">
        <w:rPr>
          <w:rFonts w:ascii="Times New Roman" w:hAnsi="Times New Roman" w:cs="Times New Roman"/>
          <w:sz w:val="24"/>
          <w:szCs w:val="24"/>
          <w:lang w:val="en-GB"/>
        </w:rPr>
        <w:t xml:space="preserve">s positively related to </w:t>
      </w:r>
      <w:r w:rsidR="00093A17" w:rsidRPr="00A762C7">
        <w:rPr>
          <w:rFonts w:ascii="Times New Roman" w:hAnsi="Times New Roman" w:cs="Times New Roman"/>
          <w:sz w:val="24"/>
          <w:szCs w:val="24"/>
          <w:lang w:val="en-GB"/>
        </w:rPr>
        <w:t>acceptance</w:t>
      </w:r>
      <w:r w:rsidR="00C50A3B" w:rsidRPr="00A762C7">
        <w:rPr>
          <w:rFonts w:ascii="Times New Roman" w:hAnsi="Times New Roman" w:cs="Times New Roman"/>
          <w:sz w:val="24"/>
          <w:szCs w:val="24"/>
          <w:lang w:val="en-GB"/>
        </w:rPr>
        <w:t xml:space="preserve">. This could be interpreted as a reduction </w:t>
      </w:r>
      <w:r w:rsidR="00FD4179" w:rsidRPr="00A762C7">
        <w:rPr>
          <w:rFonts w:ascii="Times New Roman" w:hAnsi="Times New Roman" w:cs="Times New Roman"/>
          <w:sz w:val="24"/>
          <w:szCs w:val="24"/>
          <w:lang w:val="en-GB"/>
        </w:rPr>
        <w:t xml:space="preserve">in </w:t>
      </w:r>
      <w:r w:rsidR="00C50A3B" w:rsidRPr="00A762C7">
        <w:rPr>
          <w:rFonts w:ascii="Times New Roman" w:hAnsi="Times New Roman" w:cs="Times New Roman"/>
          <w:sz w:val="24"/>
          <w:szCs w:val="24"/>
          <w:lang w:val="en-GB"/>
        </w:rPr>
        <w:t xml:space="preserve">blaming TCs </w:t>
      </w:r>
      <w:r w:rsidR="0098647F">
        <w:rPr>
          <w:rFonts w:ascii="Times New Roman" w:hAnsi="Times New Roman" w:cs="Times New Roman"/>
          <w:sz w:val="24"/>
          <w:szCs w:val="24"/>
          <w:lang w:val="en-GB"/>
        </w:rPr>
        <w:t xml:space="preserve">vs Turks </w:t>
      </w:r>
      <w:r w:rsidR="00C50A3B" w:rsidRPr="00A762C7">
        <w:rPr>
          <w:rFonts w:ascii="Times New Roman" w:hAnsi="Times New Roman" w:cs="Times New Roman"/>
          <w:sz w:val="24"/>
          <w:szCs w:val="24"/>
          <w:lang w:val="en-GB"/>
        </w:rPr>
        <w:t>for the grievances related to the events of 1974. As expected</w:t>
      </w:r>
      <w:r w:rsidR="00CF6CC4" w:rsidRPr="00A762C7">
        <w:rPr>
          <w:rFonts w:ascii="Times New Roman" w:hAnsi="Times New Roman" w:cs="Times New Roman"/>
          <w:sz w:val="24"/>
          <w:szCs w:val="24"/>
          <w:lang w:val="en-GB"/>
        </w:rPr>
        <w:t>,</w:t>
      </w:r>
      <w:r w:rsidR="00687732" w:rsidRPr="00A762C7">
        <w:rPr>
          <w:rFonts w:ascii="Times New Roman" w:hAnsi="Times New Roman" w:cs="Times New Roman"/>
          <w:sz w:val="24"/>
          <w:szCs w:val="24"/>
          <w:lang w:val="en-GB"/>
        </w:rPr>
        <w:t xml:space="preserve"> those who support </w:t>
      </w:r>
      <w:r w:rsidR="00375B58" w:rsidRPr="00A762C7">
        <w:rPr>
          <w:rFonts w:ascii="Times New Roman" w:hAnsi="Times New Roman" w:cs="Times New Roman"/>
          <w:sz w:val="24"/>
          <w:szCs w:val="24"/>
          <w:lang w:val="en-GB"/>
        </w:rPr>
        <w:t>testimonies in a</w:t>
      </w:r>
      <w:r w:rsidR="00355384" w:rsidRPr="00A762C7">
        <w:rPr>
          <w:rFonts w:ascii="Times New Roman" w:hAnsi="Times New Roman" w:cs="Times New Roman"/>
          <w:sz w:val="24"/>
          <w:szCs w:val="24"/>
          <w:lang w:val="en-GB"/>
        </w:rPr>
        <w:t xml:space="preserve"> </w:t>
      </w:r>
      <w:r w:rsidR="00687732" w:rsidRPr="00A762C7">
        <w:rPr>
          <w:rFonts w:ascii="Times New Roman" w:hAnsi="Times New Roman" w:cs="Times New Roman"/>
          <w:sz w:val="24"/>
          <w:szCs w:val="24"/>
          <w:lang w:val="en-GB"/>
        </w:rPr>
        <w:t xml:space="preserve">truth and reconciliation </w:t>
      </w:r>
      <w:r w:rsidR="00355384" w:rsidRPr="00A762C7">
        <w:rPr>
          <w:rFonts w:ascii="Times New Roman" w:hAnsi="Times New Roman" w:cs="Times New Roman"/>
          <w:sz w:val="24"/>
          <w:szCs w:val="24"/>
          <w:lang w:val="en-GB"/>
        </w:rPr>
        <w:t xml:space="preserve">committee </w:t>
      </w:r>
      <w:r w:rsidR="00BA057A" w:rsidRPr="00A762C7">
        <w:rPr>
          <w:rFonts w:ascii="Times New Roman" w:hAnsi="Times New Roman" w:cs="Times New Roman"/>
          <w:sz w:val="24"/>
          <w:szCs w:val="24"/>
          <w:lang w:val="en-GB"/>
        </w:rPr>
        <w:t>a</w:t>
      </w:r>
      <w:r w:rsidR="00FD4179" w:rsidRPr="00A762C7">
        <w:rPr>
          <w:rFonts w:ascii="Times New Roman" w:hAnsi="Times New Roman" w:cs="Times New Roman"/>
          <w:sz w:val="24"/>
          <w:szCs w:val="24"/>
          <w:lang w:val="en-GB"/>
        </w:rPr>
        <w:t xml:space="preserve">re </w:t>
      </w:r>
      <w:r w:rsidR="00687732" w:rsidRPr="00A762C7">
        <w:rPr>
          <w:rFonts w:ascii="Times New Roman" w:hAnsi="Times New Roman" w:cs="Times New Roman"/>
          <w:sz w:val="24"/>
          <w:szCs w:val="24"/>
          <w:lang w:val="en-GB"/>
        </w:rPr>
        <w:t xml:space="preserve">more </w:t>
      </w:r>
      <w:r w:rsidR="00E55446" w:rsidRPr="00A762C7">
        <w:rPr>
          <w:rFonts w:ascii="Times New Roman" w:hAnsi="Times New Roman" w:cs="Times New Roman"/>
          <w:sz w:val="24"/>
          <w:szCs w:val="24"/>
          <w:lang w:val="en-GB"/>
        </w:rPr>
        <w:t>accepting</w:t>
      </w:r>
      <w:r w:rsidR="002E2D89" w:rsidRPr="00A762C7">
        <w:rPr>
          <w:rFonts w:ascii="Times New Roman" w:hAnsi="Times New Roman" w:cs="Times New Roman"/>
          <w:sz w:val="24"/>
          <w:szCs w:val="24"/>
          <w:lang w:val="en-GB"/>
        </w:rPr>
        <w:t>, along with</w:t>
      </w:r>
      <w:r w:rsidR="00355384" w:rsidRPr="00A762C7">
        <w:rPr>
          <w:rFonts w:ascii="Times New Roman" w:hAnsi="Times New Roman" w:cs="Times New Roman"/>
          <w:sz w:val="24"/>
          <w:szCs w:val="24"/>
          <w:lang w:val="en-GB"/>
        </w:rPr>
        <w:t xml:space="preserve"> those who support letting go of past grievances and looking to the future</w:t>
      </w:r>
      <w:r w:rsidR="00EA14C3" w:rsidRPr="00A762C7">
        <w:rPr>
          <w:rFonts w:ascii="Times New Roman" w:hAnsi="Times New Roman" w:cs="Times New Roman"/>
          <w:sz w:val="24"/>
          <w:szCs w:val="24"/>
          <w:lang w:val="en-GB"/>
        </w:rPr>
        <w:t>. Those</w:t>
      </w:r>
      <w:r w:rsidR="00687732" w:rsidRPr="00A762C7">
        <w:rPr>
          <w:rFonts w:ascii="Times New Roman" w:hAnsi="Times New Roman" w:cs="Times New Roman"/>
          <w:sz w:val="24"/>
          <w:szCs w:val="24"/>
          <w:lang w:val="en-GB"/>
        </w:rPr>
        <w:t xml:space="preserve"> who want criminals to pay compensation</w:t>
      </w:r>
      <w:r w:rsidR="00A07F1D" w:rsidRPr="00A762C7">
        <w:rPr>
          <w:rFonts w:ascii="Times New Roman" w:hAnsi="Times New Roman" w:cs="Times New Roman"/>
          <w:sz w:val="24"/>
          <w:szCs w:val="24"/>
          <w:lang w:val="en-GB"/>
        </w:rPr>
        <w:t xml:space="preserve"> or to beg for forgiveness (Models 4 and 5)</w:t>
      </w:r>
      <w:r w:rsidR="00687732" w:rsidRPr="00A762C7">
        <w:rPr>
          <w:rFonts w:ascii="Times New Roman" w:hAnsi="Times New Roman" w:cs="Times New Roman"/>
          <w:sz w:val="24"/>
          <w:szCs w:val="24"/>
          <w:lang w:val="en-GB"/>
        </w:rPr>
        <w:t xml:space="preserve"> </w:t>
      </w:r>
      <w:r w:rsidR="00BA057A" w:rsidRPr="00A762C7">
        <w:rPr>
          <w:rFonts w:ascii="Times New Roman" w:hAnsi="Times New Roman" w:cs="Times New Roman"/>
          <w:sz w:val="24"/>
          <w:szCs w:val="24"/>
          <w:lang w:val="en-GB"/>
        </w:rPr>
        <w:t>a</w:t>
      </w:r>
      <w:r w:rsidR="00FD4179" w:rsidRPr="00A762C7">
        <w:rPr>
          <w:rFonts w:ascii="Times New Roman" w:hAnsi="Times New Roman" w:cs="Times New Roman"/>
          <w:sz w:val="24"/>
          <w:szCs w:val="24"/>
          <w:lang w:val="en-GB"/>
        </w:rPr>
        <w:t xml:space="preserve">re </w:t>
      </w:r>
      <w:r w:rsidR="00687732" w:rsidRPr="00A762C7">
        <w:rPr>
          <w:rFonts w:ascii="Times New Roman" w:hAnsi="Times New Roman" w:cs="Times New Roman"/>
          <w:sz w:val="24"/>
          <w:szCs w:val="24"/>
          <w:lang w:val="en-GB"/>
        </w:rPr>
        <w:t xml:space="preserve">less </w:t>
      </w:r>
      <w:r w:rsidR="00E55446" w:rsidRPr="00A762C7">
        <w:rPr>
          <w:rFonts w:ascii="Times New Roman" w:hAnsi="Times New Roman" w:cs="Times New Roman"/>
          <w:sz w:val="24"/>
          <w:szCs w:val="24"/>
          <w:lang w:val="en-GB"/>
        </w:rPr>
        <w:t>accepting</w:t>
      </w:r>
      <w:r w:rsidR="00591C92" w:rsidRPr="00A762C7">
        <w:rPr>
          <w:rFonts w:ascii="Times New Roman" w:hAnsi="Times New Roman" w:cs="Times New Roman"/>
          <w:sz w:val="24"/>
          <w:szCs w:val="24"/>
          <w:lang w:val="en-GB"/>
        </w:rPr>
        <w:t xml:space="preserve"> of TCs as neighbou</w:t>
      </w:r>
      <w:r w:rsidR="00EA14C3" w:rsidRPr="00A762C7">
        <w:rPr>
          <w:rFonts w:ascii="Times New Roman" w:hAnsi="Times New Roman" w:cs="Times New Roman"/>
          <w:sz w:val="24"/>
          <w:szCs w:val="24"/>
          <w:lang w:val="en-GB"/>
        </w:rPr>
        <w:t>rs.</w:t>
      </w:r>
    </w:p>
    <w:p w14:paraId="38FD64FC" w14:textId="3CC54514" w:rsidR="009D0651" w:rsidRDefault="00E644EE" w:rsidP="009D0651">
      <w:pPr>
        <w:pStyle w:val="NoSpacing"/>
        <w:spacing w:line="480" w:lineRule="auto"/>
        <w:ind w:firstLine="709"/>
        <w:jc w:val="both"/>
        <w:rPr>
          <w:rFonts w:ascii="Times New Roman" w:hAnsi="Times New Roman" w:cs="Times New Roman"/>
          <w:sz w:val="24"/>
          <w:szCs w:val="24"/>
          <w:lang w:val="en-GB"/>
        </w:rPr>
      </w:pPr>
      <w:r w:rsidRPr="00A762C7">
        <w:rPr>
          <w:rFonts w:ascii="Times New Roman" w:hAnsi="Times New Roman" w:cs="Times New Roman"/>
          <w:sz w:val="24"/>
          <w:szCs w:val="24"/>
          <w:lang w:val="en-GB"/>
        </w:rPr>
        <w:t>As expected</w:t>
      </w:r>
      <w:r w:rsidR="00BA057A" w:rsidRPr="00A762C7">
        <w:rPr>
          <w:rFonts w:ascii="Times New Roman" w:hAnsi="Times New Roman" w:cs="Times New Roman"/>
          <w:sz w:val="24"/>
          <w:szCs w:val="24"/>
          <w:lang w:val="en-GB"/>
        </w:rPr>
        <w:t>,</w:t>
      </w:r>
      <w:r w:rsidRPr="00A762C7">
        <w:rPr>
          <w:rFonts w:ascii="Times New Roman" w:hAnsi="Times New Roman" w:cs="Times New Roman"/>
          <w:sz w:val="24"/>
          <w:szCs w:val="24"/>
          <w:lang w:val="en-GB"/>
        </w:rPr>
        <w:t xml:space="preserve"> the inclusion of return intentions </w:t>
      </w:r>
      <w:r w:rsidR="006A0DC9" w:rsidRPr="00A762C7">
        <w:rPr>
          <w:rFonts w:ascii="Times New Roman" w:hAnsi="Times New Roman" w:cs="Times New Roman"/>
          <w:sz w:val="24"/>
          <w:szCs w:val="24"/>
          <w:lang w:val="en-GB"/>
        </w:rPr>
        <w:t xml:space="preserve">in </w:t>
      </w:r>
      <w:r w:rsidRPr="00A762C7">
        <w:rPr>
          <w:rFonts w:ascii="Times New Roman" w:hAnsi="Times New Roman" w:cs="Times New Roman"/>
          <w:sz w:val="24"/>
          <w:szCs w:val="24"/>
          <w:lang w:val="en-GB"/>
        </w:rPr>
        <w:t xml:space="preserve">Model 4 </w:t>
      </w:r>
      <w:r w:rsidR="006A0DC9" w:rsidRPr="00A762C7">
        <w:rPr>
          <w:rFonts w:ascii="Times New Roman" w:hAnsi="Times New Roman" w:cs="Times New Roman"/>
          <w:sz w:val="24"/>
          <w:szCs w:val="24"/>
          <w:lang w:val="en-GB"/>
        </w:rPr>
        <w:t>add</w:t>
      </w:r>
      <w:r w:rsidR="00BA057A" w:rsidRPr="00A762C7">
        <w:rPr>
          <w:rFonts w:ascii="Times New Roman" w:hAnsi="Times New Roman" w:cs="Times New Roman"/>
          <w:sz w:val="24"/>
          <w:szCs w:val="24"/>
          <w:lang w:val="en-GB"/>
        </w:rPr>
        <w:t>s</w:t>
      </w:r>
      <w:r w:rsidR="006A0DC9" w:rsidRPr="00A762C7">
        <w:rPr>
          <w:rFonts w:ascii="Times New Roman" w:hAnsi="Times New Roman" w:cs="Times New Roman"/>
          <w:sz w:val="24"/>
          <w:szCs w:val="24"/>
          <w:lang w:val="en-GB"/>
        </w:rPr>
        <w:t xml:space="preserve"> a significant amount of total </w:t>
      </w:r>
      <w:r w:rsidR="002E2D89" w:rsidRPr="00A762C7">
        <w:rPr>
          <w:rFonts w:ascii="Times New Roman" w:hAnsi="Times New Roman" w:cs="Times New Roman"/>
          <w:sz w:val="24"/>
          <w:szCs w:val="24"/>
          <w:lang w:val="en-GB"/>
        </w:rPr>
        <w:t xml:space="preserve">explained </w:t>
      </w:r>
      <w:r w:rsidR="006A0DC9" w:rsidRPr="00A762C7">
        <w:rPr>
          <w:rFonts w:ascii="Times New Roman" w:hAnsi="Times New Roman" w:cs="Times New Roman"/>
          <w:sz w:val="24"/>
          <w:szCs w:val="24"/>
          <w:lang w:val="en-GB"/>
        </w:rPr>
        <w:t xml:space="preserve">variance. </w:t>
      </w:r>
      <w:r w:rsidR="00355384" w:rsidRPr="00A762C7">
        <w:rPr>
          <w:rFonts w:ascii="Times New Roman" w:hAnsi="Times New Roman" w:cs="Times New Roman"/>
          <w:sz w:val="24"/>
          <w:szCs w:val="24"/>
          <w:lang w:val="en-GB"/>
        </w:rPr>
        <w:t xml:space="preserve">IDPs </w:t>
      </w:r>
      <w:r w:rsidR="00687732" w:rsidRPr="00A762C7">
        <w:rPr>
          <w:rFonts w:ascii="Times New Roman" w:hAnsi="Times New Roman" w:cs="Times New Roman"/>
          <w:sz w:val="24"/>
          <w:szCs w:val="24"/>
          <w:lang w:val="en-GB"/>
        </w:rPr>
        <w:t xml:space="preserve">who </w:t>
      </w:r>
      <w:r w:rsidR="00BA057A" w:rsidRPr="00A762C7">
        <w:rPr>
          <w:rFonts w:ascii="Times New Roman" w:hAnsi="Times New Roman" w:cs="Times New Roman"/>
          <w:sz w:val="24"/>
          <w:szCs w:val="24"/>
          <w:lang w:val="en-GB"/>
        </w:rPr>
        <w:t>a</w:t>
      </w:r>
      <w:r w:rsidR="00EA14C3" w:rsidRPr="00A762C7">
        <w:rPr>
          <w:rFonts w:ascii="Times New Roman" w:hAnsi="Times New Roman" w:cs="Times New Roman"/>
          <w:sz w:val="24"/>
          <w:szCs w:val="24"/>
          <w:lang w:val="en-GB"/>
        </w:rPr>
        <w:t xml:space="preserve">re more likely to return </w:t>
      </w:r>
      <w:r w:rsidR="00BA057A" w:rsidRPr="00A762C7">
        <w:rPr>
          <w:rFonts w:ascii="Times New Roman" w:hAnsi="Times New Roman" w:cs="Times New Roman"/>
          <w:sz w:val="24"/>
          <w:szCs w:val="24"/>
          <w:lang w:val="en-GB"/>
        </w:rPr>
        <w:t xml:space="preserve">are </w:t>
      </w:r>
      <w:r w:rsidR="00EA14C3" w:rsidRPr="00A762C7">
        <w:rPr>
          <w:rFonts w:ascii="Times New Roman" w:hAnsi="Times New Roman" w:cs="Times New Roman"/>
          <w:sz w:val="24"/>
          <w:szCs w:val="24"/>
          <w:lang w:val="en-GB"/>
        </w:rPr>
        <w:t xml:space="preserve">more </w:t>
      </w:r>
      <w:r w:rsidR="00E55446" w:rsidRPr="00A762C7">
        <w:rPr>
          <w:rFonts w:ascii="Times New Roman" w:hAnsi="Times New Roman" w:cs="Times New Roman"/>
          <w:sz w:val="24"/>
          <w:szCs w:val="24"/>
          <w:lang w:val="en-GB"/>
        </w:rPr>
        <w:t>accepting</w:t>
      </w:r>
      <w:r w:rsidR="00EA14C3" w:rsidRPr="00A762C7">
        <w:rPr>
          <w:rFonts w:ascii="Times New Roman" w:hAnsi="Times New Roman" w:cs="Times New Roman"/>
          <w:sz w:val="24"/>
          <w:szCs w:val="24"/>
          <w:lang w:val="en-GB"/>
        </w:rPr>
        <w:t xml:space="preserve"> of TCs as neighbours than those less likely to return</w:t>
      </w:r>
      <w:r w:rsidR="00687732" w:rsidRPr="00A762C7">
        <w:rPr>
          <w:rFonts w:ascii="Times New Roman" w:hAnsi="Times New Roman" w:cs="Times New Roman"/>
          <w:sz w:val="24"/>
          <w:szCs w:val="24"/>
          <w:lang w:val="en-GB"/>
        </w:rPr>
        <w:t>.</w:t>
      </w:r>
      <w:r w:rsidR="006A0DC9" w:rsidRPr="00A762C7">
        <w:rPr>
          <w:rFonts w:ascii="Times New Roman" w:hAnsi="Times New Roman" w:cs="Times New Roman"/>
          <w:sz w:val="24"/>
          <w:szCs w:val="24"/>
          <w:lang w:val="en-GB"/>
        </w:rPr>
        <w:t xml:space="preserve"> </w:t>
      </w:r>
      <w:r w:rsidR="002E2D89" w:rsidRPr="00A762C7">
        <w:rPr>
          <w:rFonts w:ascii="Times New Roman" w:hAnsi="Times New Roman" w:cs="Times New Roman"/>
          <w:sz w:val="24"/>
          <w:szCs w:val="24"/>
          <w:lang w:val="en-GB"/>
        </w:rPr>
        <w:t>I</w:t>
      </w:r>
      <w:r w:rsidR="006A0DC9" w:rsidRPr="00A762C7">
        <w:rPr>
          <w:rFonts w:ascii="Times New Roman" w:hAnsi="Times New Roman" w:cs="Times New Roman"/>
          <w:sz w:val="24"/>
          <w:szCs w:val="24"/>
          <w:lang w:val="en-GB"/>
        </w:rPr>
        <w:t>n Model 5</w:t>
      </w:r>
      <w:r w:rsidR="00513431" w:rsidRPr="00A762C7">
        <w:rPr>
          <w:rFonts w:ascii="Times New Roman" w:hAnsi="Times New Roman" w:cs="Times New Roman"/>
          <w:sz w:val="24"/>
          <w:szCs w:val="24"/>
          <w:lang w:val="en-GB"/>
        </w:rPr>
        <w:t>,</w:t>
      </w:r>
      <w:r w:rsidR="006A0DC9" w:rsidRPr="00A762C7">
        <w:rPr>
          <w:rFonts w:ascii="Times New Roman" w:hAnsi="Times New Roman" w:cs="Times New Roman"/>
          <w:sz w:val="24"/>
          <w:szCs w:val="24"/>
          <w:lang w:val="en-GB"/>
        </w:rPr>
        <w:t xml:space="preserve"> the addition of </w:t>
      </w:r>
      <w:r w:rsidR="002E2D89" w:rsidRPr="00A762C7">
        <w:rPr>
          <w:rFonts w:ascii="Times New Roman" w:hAnsi="Times New Roman" w:cs="Times New Roman"/>
          <w:sz w:val="24"/>
          <w:szCs w:val="24"/>
          <w:lang w:val="en-GB"/>
        </w:rPr>
        <w:t xml:space="preserve">intergroup </w:t>
      </w:r>
      <w:r w:rsidR="00355384" w:rsidRPr="00A762C7">
        <w:rPr>
          <w:rFonts w:ascii="Times New Roman" w:hAnsi="Times New Roman" w:cs="Times New Roman"/>
          <w:sz w:val="24"/>
          <w:szCs w:val="24"/>
          <w:lang w:val="en-GB"/>
        </w:rPr>
        <w:t xml:space="preserve">contact variables also </w:t>
      </w:r>
      <w:r w:rsidR="00BA057A" w:rsidRPr="00A762C7">
        <w:rPr>
          <w:rFonts w:ascii="Times New Roman" w:hAnsi="Times New Roman" w:cs="Times New Roman"/>
          <w:sz w:val="24"/>
          <w:szCs w:val="24"/>
          <w:lang w:val="en-GB"/>
        </w:rPr>
        <w:t xml:space="preserve">increases </w:t>
      </w:r>
      <w:r w:rsidR="006A0DC9" w:rsidRPr="00A762C7">
        <w:rPr>
          <w:rFonts w:ascii="Times New Roman" w:hAnsi="Times New Roman" w:cs="Times New Roman"/>
          <w:sz w:val="24"/>
          <w:szCs w:val="24"/>
          <w:lang w:val="en-GB"/>
        </w:rPr>
        <w:t xml:space="preserve">the total percentage of </w:t>
      </w:r>
      <w:r w:rsidR="002E2D89" w:rsidRPr="00A762C7">
        <w:rPr>
          <w:rFonts w:ascii="Times New Roman" w:hAnsi="Times New Roman" w:cs="Times New Roman"/>
          <w:sz w:val="24"/>
          <w:szCs w:val="24"/>
          <w:lang w:val="en-GB"/>
        </w:rPr>
        <w:t xml:space="preserve">explained </w:t>
      </w:r>
      <w:r w:rsidR="006A0DC9" w:rsidRPr="00A762C7">
        <w:rPr>
          <w:rFonts w:ascii="Times New Roman" w:hAnsi="Times New Roman" w:cs="Times New Roman"/>
          <w:sz w:val="24"/>
          <w:szCs w:val="24"/>
          <w:lang w:val="en-GB"/>
        </w:rPr>
        <w:t>variance. Those who</w:t>
      </w:r>
      <w:r w:rsidR="00EA14C3" w:rsidRPr="00A762C7">
        <w:rPr>
          <w:rFonts w:ascii="Times New Roman" w:hAnsi="Times New Roman" w:cs="Times New Roman"/>
          <w:sz w:val="24"/>
          <w:szCs w:val="24"/>
          <w:lang w:val="en-GB"/>
        </w:rPr>
        <w:t xml:space="preserve"> </w:t>
      </w:r>
      <w:r w:rsidR="002E2D89" w:rsidRPr="00A762C7">
        <w:rPr>
          <w:rFonts w:ascii="Times New Roman" w:hAnsi="Times New Roman" w:cs="Times New Roman"/>
          <w:sz w:val="24"/>
          <w:szCs w:val="24"/>
          <w:lang w:val="en-GB"/>
        </w:rPr>
        <w:t>d</w:t>
      </w:r>
      <w:r w:rsidR="00BA057A" w:rsidRPr="00A762C7">
        <w:rPr>
          <w:rFonts w:ascii="Times New Roman" w:hAnsi="Times New Roman" w:cs="Times New Roman"/>
          <w:sz w:val="24"/>
          <w:szCs w:val="24"/>
          <w:lang w:val="en-GB"/>
        </w:rPr>
        <w:t>o</w:t>
      </w:r>
      <w:r w:rsidR="002E2D89" w:rsidRPr="00A762C7">
        <w:rPr>
          <w:rFonts w:ascii="Times New Roman" w:hAnsi="Times New Roman" w:cs="Times New Roman"/>
          <w:sz w:val="24"/>
          <w:szCs w:val="24"/>
          <w:lang w:val="en-GB"/>
        </w:rPr>
        <w:t xml:space="preserve"> </w:t>
      </w:r>
      <w:r w:rsidR="00EA14C3" w:rsidRPr="00A762C7">
        <w:rPr>
          <w:rFonts w:ascii="Times New Roman" w:hAnsi="Times New Roman" w:cs="Times New Roman"/>
          <w:sz w:val="24"/>
          <w:szCs w:val="24"/>
          <w:lang w:val="en-GB"/>
        </w:rPr>
        <w:t>not have direct speaking contact</w:t>
      </w:r>
      <w:r w:rsidR="00687732" w:rsidRPr="00A762C7">
        <w:rPr>
          <w:rFonts w:ascii="Times New Roman" w:hAnsi="Times New Roman" w:cs="Times New Roman"/>
          <w:sz w:val="24"/>
          <w:szCs w:val="24"/>
          <w:lang w:val="en-GB"/>
        </w:rPr>
        <w:t xml:space="preserve"> with TCs </w:t>
      </w:r>
      <w:r w:rsidR="00BA057A" w:rsidRPr="00A762C7">
        <w:rPr>
          <w:rFonts w:ascii="Times New Roman" w:hAnsi="Times New Roman" w:cs="Times New Roman"/>
          <w:sz w:val="24"/>
          <w:szCs w:val="24"/>
          <w:lang w:val="en-GB"/>
        </w:rPr>
        <w:t>a</w:t>
      </w:r>
      <w:r w:rsidR="002E2D89" w:rsidRPr="00A762C7">
        <w:rPr>
          <w:rFonts w:ascii="Times New Roman" w:hAnsi="Times New Roman" w:cs="Times New Roman"/>
          <w:sz w:val="24"/>
          <w:szCs w:val="24"/>
          <w:lang w:val="en-GB"/>
        </w:rPr>
        <w:t xml:space="preserve">re </w:t>
      </w:r>
      <w:r w:rsidR="00EA14C3" w:rsidRPr="00A762C7">
        <w:rPr>
          <w:rFonts w:ascii="Times New Roman" w:hAnsi="Times New Roman" w:cs="Times New Roman"/>
          <w:sz w:val="24"/>
          <w:szCs w:val="24"/>
          <w:lang w:val="en-GB"/>
        </w:rPr>
        <w:t>half as</w:t>
      </w:r>
      <w:r w:rsidR="00687732" w:rsidRPr="00A762C7">
        <w:rPr>
          <w:rFonts w:ascii="Times New Roman" w:hAnsi="Times New Roman" w:cs="Times New Roman"/>
          <w:sz w:val="24"/>
          <w:szCs w:val="24"/>
          <w:lang w:val="en-GB"/>
        </w:rPr>
        <w:t xml:space="preserve"> likely to be </w:t>
      </w:r>
      <w:r w:rsidR="00E55446" w:rsidRPr="00A762C7">
        <w:rPr>
          <w:rFonts w:ascii="Times New Roman" w:hAnsi="Times New Roman" w:cs="Times New Roman"/>
          <w:sz w:val="24"/>
          <w:szCs w:val="24"/>
          <w:lang w:val="en-GB"/>
        </w:rPr>
        <w:t>accepting</w:t>
      </w:r>
      <w:r w:rsidR="00687732" w:rsidRPr="00A762C7">
        <w:rPr>
          <w:rFonts w:ascii="Times New Roman" w:hAnsi="Times New Roman" w:cs="Times New Roman"/>
          <w:sz w:val="24"/>
          <w:szCs w:val="24"/>
          <w:lang w:val="en-GB"/>
        </w:rPr>
        <w:t xml:space="preserve"> </w:t>
      </w:r>
      <w:r w:rsidR="002E2D89" w:rsidRPr="00A762C7">
        <w:rPr>
          <w:rFonts w:ascii="Times New Roman" w:hAnsi="Times New Roman" w:cs="Times New Roman"/>
          <w:sz w:val="24"/>
          <w:szCs w:val="24"/>
          <w:lang w:val="en-GB"/>
        </w:rPr>
        <w:t xml:space="preserve">as </w:t>
      </w:r>
      <w:r w:rsidR="006A0DC9" w:rsidRPr="00A762C7">
        <w:rPr>
          <w:rFonts w:ascii="Times New Roman" w:hAnsi="Times New Roman" w:cs="Times New Roman"/>
          <w:sz w:val="24"/>
          <w:szCs w:val="24"/>
          <w:lang w:val="en-GB"/>
        </w:rPr>
        <w:t>those with</w:t>
      </w:r>
      <w:r w:rsidR="00EA14C3" w:rsidRPr="00A762C7">
        <w:rPr>
          <w:rFonts w:ascii="Times New Roman" w:hAnsi="Times New Roman" w:cs="Times New Roman"/>
          <w:sz w:val="24"/>
          <w:szCs w:val="24"/>
          <w:lang w:val="en-GB"/>
        </w:rPr>
        <w:t xml:space="preserve"> </w:t>
      </w:r>
      <w:r w:rsidR="006A0DC9" w:rsidRPr="00A762C7">
        <w:rPr>
          <w:rFonts w:ascii="Times New Roman" w:hAnsi="Times New Roman" w:cs="Times New Roman"/>
          <w:sz w:val="24"/>
          <w:szCs w:val="24"/>
          <w:lang w:val="en-GB"/>
        </w:rPr>
        <w:t>such contact</w:t>
      </w:r>
      <w:r w:rsidR="002E2D89" w:rsidRPr="00A762C7">
        <w:rPr>
          <w:rFonts w:ascii="Times New Roman" w:hAnsi="Times New Roman" w:cs="Times New Roman"/>
          <w:sz w:val="24"/>
          <w:szCs w:val="24"/>
          <w:lang w:val="en-GB"/>
        </w:rPr>
        <w:t>;</w:t>
      </w:r>
      <w:r w:rsidR="006A0DC9" w:rsidRPr="00A762C7">
        <w:rPr>
          <w:rFonts w:ascii="Times New Roman" w:hAnsi="Times New Roman" w:cs="Times New Roman"/>
          <w:sz w:val="24"/>
          <w:szCs w:val="24"/>
          <w:lang w:val="en-GB"/>
        </w:rPr>
        <w:t xml:space="preserve"> </w:t>
      </w:r>
      <w:r w:rsidR="00EA14C3" w:rsidRPr="00A762C7">
        <w:rPr>
          <w:rFonts w:ascii="Times New Roman" w:hAnsi="Times New Roman" w:cs="Times New Roman"/>
          <w:sz w:val="24"/>
          <w:szCs w:val="24"/>
          <w:lang w:val="en-GB"/>
        </w:rPr>
        <w:t xml:space="preserve">those whose families </w:t>
      </w:r>
      <w:r w:rsidR="002E2D89" w:rsidRPr="00A762C7">
        <w:rPr>
          <w:rFonts w:ascii="Times New Roman" w:hAnsi="Times New Roman" w:cs="Times New Roman"/>
          <w:sz w:val="24"/>
          <w:szCs w:val="24"/>
          <w:lang w:val="en-GB"/>
        </w:rPr>
        <w:t>d</w:t>
      </w:r>
      <w:r w:rsidR="00BA057A" w:rsidRPr="00A762C7">
        <w:rPr>
          <w:rFonts w:ascii="Times New Roman" w:hAnsi="Times New Roman" w:cs="Times New Roman"/>
          <w:sz w:val="24"/>
          <w:szCs w:val="24"/>
          <w:lang w:val="en-GB"/>
        </w:rPr>
        <w:t>o</w:t>
      </w:r>
      <w:r w:rsidR="002E2D89" w:rsidRPr="00A762C7">
        <w:rPr>
          <w:rFonts w:ascii="Times New Roman" w:hAnsi="Times New Roman" w:cs="Times New Roman"/>
          <w:sz w:val="24"/>
          <w:szCs w:val="24"/>
          <w:lang w:val="en-GB"/>
        </w:rPr>
        <w:t xml:space="preserve"> </w:t>
      </w:r>
      <w:r w:rsidR="00CF6CC4" w:rsidRPr="00A762C7">
        <w:rPr>
          <w:rFonts w:ascii="Times New Roman" w:hAnsi="Times New Roman" w:cs="Times New Roman"/>
          <w:sz w:val="24"/>
          <w:szCs w:val="24"/>
          <w:lang w:val="en-GB"/>
        </w:rPr>
        <w:t>not</w:t>
      </w:r>
      <w:r w:rsidR="00EA14C3" w:rsidRPr="00A762C7">
        <w:rPr>
          <w:rFonts w:ascii="Times New Roman" w:hAnsi="Times New Roman" w:cs="Times New Roman"/>
          <w:sz w:val="24"/>
          <w:szCs w:val="24"/>
          <w:lang w:val="en-GB"/>
        </w:rPr>
        <w:t xml:space="preserve"> have TC friends </w:t>
      </w:r>
      <w:r w:rsidR="00BA057A" w:rsidRPr="00A762C7">
        <w:rPr>
          <w:rFonts w:ascii="Times New Roman" w:hAnsi="Times New Roman" w:cs="Times New Roman"/>
          <w:sz w:val="24"/>
          <w:szCs w:val="24"/>
          <w:lang w:val="en-GB"/>
        </w:rPr>
        <w:t>a</w:t>
      </w:r>
      <w:r w:rsidR="002E2D89" w:rsidRPr="00A762C7">
        <w:rPr>
          <w:rFonts w:ascii="Times New Roman" w:hAnsi="Times New Roman" w:cs="Times New Roman"/>
          <w:sz w:val="24"/>
          <w:szCs w:val="24"/>
          <w:lang w:val="en-GB"/>
        </w:rPr>
        <w:t xml:space="preserve">re also </w:t>
      </w:r>
      <w:r w:rsidR="00EA14C3" w:rsidRPr="00A762C7">
        <w:rPr>
          <w:rFonts w:ascii="Times New Roman" w:hAnsi="Times New Roman" w:cs="Times New Roman"/>
          <w:sz w:val="24"/>
          <w:szCs w:val="24"/>
          <w:lang w:val="en-GB"/>
        </w:rPr>
        <w:t xml:space="preserve">half as likely to be </w:t>
      </w:r>
      <w:r w:rsidR="00E55446" w:rsidRPr="00A762C7">
        <w:rPr>
          <w:rFonts w:ascii="Times New Roman" w:hAnsi="Times New Roman" w:cs="Times New Roman"/>
          <w:sz w:val="24"/>
          <w:szCs w:val="24"/>
          <w:lang w:val="en-GB"/>
        </w:rPr>
        <w:t>accepting</w:t>
      </w:r>
      <w:r w:rsidR="00EA14C3" w:rsidRPr="00A762C7">
        <w:rPr>
          <w:rFonts w:ascii="Times New Roman" w:hAnsi="Times New Roman" w:cs="Times New Roman"/>
          <w:sz w:val="24"/>
          <w:szCs w:val="24"/>
          <w:lang w:val="en-GB"/>
        </w:rPr>
        <w:t xml:space="preserve"> of TCs as neighbours</w:t>
      </w:r>
      <w:r w:rsidR="00687732" w:rsidRPr="00A762C7">
        <w:rPr>
          <w:rFonts w:ascii="Times New Roman" w:hAnsi="Times New Roman" w:cs="Times New Roman"/>
          <w:sz w:val="24"/>
          <w:szCs w:val="24"/>
          <w:lang w:val="en-GB"/>
        </w:rPr>
        <w:t>.</w:t>
      </w:r>
      <w:r w:rsidR="00116F6B" w:rsidRPr="00A762C7">
        <w:rPr>
          <w:rFonts w:ascii="Times New Roman" w:hAnsi="Times New Roman" w:cs="Times New Roman"/>
          <w:sz w:val="24"/>
          <w:szCs w:val="24"/>
          <w:lang w:val="en-GB"/>
        </w:rPr>
        <w:t xml:space="preserve"> </w:t>
      </w:r>
      <w:r w:rsidR="002E2D89" w:rsidRPr="00A762C7">
        <w:rPr>
          <w:rFonts w:ascii="Times New Roman" w:hAnsi="Times New Roman" w:cs="Times New Roman"/>
          <w:sz w:val="24"/>
          <w:szCs w:val="24"/>
          <w:lang w:val="en-GB"/>
        </w:rPr>
        <w:t>T</w:t>
      </w:r>
      <w:r w:rsidR="00116F6B" w:rsidRPr="00A762C7">
        <w:rPr>
          <w:rFonts w:ascii="Times New Roman" w:hAnsi="Times New Roman" w:cs="Times New Roman"/>
          <w:sz w:val="24"/>
          <w:szCs w:val="24"/>
          <w:lang w:val="en-GB"/>
        </w:rPr>
        <w:t xml:space="preserve">he gender effect </w:t>
      </w:r>
      <w:r w:rsidR="00BA057A" w:rsidRPr="00A762C7">
        <w:rPr>
          <w:rFonts w:ascii="Times New Roman" w:hAnsi="Times New Roman" w:cs="Times New Roman"/>
          <w:sz w:val="24"/>
          <w:szCs w:val="24"/>
          <w:lang w:val="en-GB"/>
        </w:rPr>
        <w:t>i</w:t>
      </w:r>
      <w:r w:rsidR="002E2D89" w:rsidRPr="00A762C7">
        <w:rPr>
          <w:rFonts w:ascii="Times New Roman" w:hAnsi="Times New Roman" w:cs="Times New Roman"/>
          <w:sz w:val="24"/>
          <w:szCs w:val="24"/>
          <w:lang w:val="en-GB"/>
        </w:rPr>
        <w:t xml:space="preserve">s </w:t>
      </w:r>
      <w:r w:rsidR="00116F6B" w:rsidRPr="00A762C7">
        <w:rPr>
          <w:rFonts w:ascii="Times New Roman" w:hAnsi="Times New Roman" w:cs="Times New Roman"/>
          <w:sz w:val="24"/>
          <w:szCs w:val="24"/>
          <w:lang w:val="en-GB"/>
        </w:rPr>
        <w:t>non-significant in Models 3, 4 and 5</w:t>
      </w:r>
      <w:r w:rsidR="00C335C4" w:rsidRPr="00A762C7">
        <w:rPr>
          <w:rFonts w:ascii="Times New Roman" w:hAnsi="Times New Roman" w:cs="Times New Roman"/>
          <w:sz w:val="24"/>
          <w:szCs w:val="24"/>
          <w:lang w:val="en-GB"/>
        </w:rPr>
        <w:t>;</w:t>
      </w:r>
      <w:r w:rsidR="002E2D89" w:rsidRPr="00A762C7">
        <w:rPr>
          <w:rFonts w:ascii="Times New Roman" w:hAnsi="Times New Roman" w:cs="Times New Roman"/>
          <w:sz w:val="24"/>
          <w:szCs w:val="24"/>
          <w:lang w:val="en-GB"/>
        </w:rPr>
        <w:t xml:space="preserve"> </w:t>
      </w:r>
      <w:r w:rsidR="00C335C4" w:rsidRPr="00A762C7">
        <w:rPr>
          <w:rFonts w:ascii="Times New Roman" w:hAnsi="Times New Roman" w:cs="Times New Roman"/>
          <w:sz w:val="24"/>
          <w:szCs w:val="24"/>
          <w:lang w:val="en-GB"/>
        </w:rPr>
        <w:t>overall</w:t>
      </w:r>
      <w:r w:rsidR="00BA057A" w:rsidRPr="00A762C7">
        <w:rPr>
          <w:rFonts w:ascii="Times New Roman" w:hAnsi="Times New Roman" w:cs="Times New Roman"/>
          <w:sz w:val="24"/>
          <w:szCs w:val="24"/>
          <w:lang w:val="en-GB"/>
        </w:rPr>
        <w:t>,</w:t>
      </w:r>
      <w:r w:rsidR="00C335C4" w:rsidRPr="00A762C7">
        <w:rPr>
          <w:rFonts w:ascii="Times New Roman" w:hAnsi="Times New Roman" w:cs="Times New Roman"/>
          <w:sz w:val="24"/>
          <w:szCs w:val="24"/>
          <w:lang w:val="en-GB"/>
        </w:rPr>
        <w:t xml:space="preserve"> men</w:t>
      </w:r>
      <w:r w:rsidR="00355384" w:rsidRPr="00A762C7">
        <w:rPr>
          <w:rFonts w:ascii="Times New Roman" w:hAnsi="Times New Roman" w:cs="Times New Roman"/>
          <w:sz w:val="24"/>
          <w:szCs w:val="24"/>
          <w:lang w:val="en-GB"/>
        </w:rPr>
        <w:t xml:space="preserve"> </w:t>
      </w:r>
      <w:r w:rsidR="00BA057A" w:rsidRPr="00A762C7">
        <w:rPr>
          <w:rFonts w:ascii="Times New Roman" w:hAnsi="Times New Roman" w:cs="Times New Roman"/>
          <w:sz w:val="24"/>
          <w:szCs w:val="24"/>
          <w:lang w:val="en-GB"/>
        </w:rPr>
        <w:t>a</w:t>
      </w:r>
      <w:r w:rsidR="002E2D89" w:rsidRPr="00A762C7">
        <w:rPr>
          <w:rFonts w:ascii="Times New Roman" w:hAnsi="Times New Roman" w:cs="Times New Roman"/>
          <w:sz w:val="24"/>
          <w:szCs w:val="24"/>
          <w:lang w:val="en-GB"/>
        </w:rPr>
        <w:t xml:space="preserve">re </w:t>
      </w:r>
      <w:r w:rsidR="00355384" w:rsidRPr="00A762C7">
        <w:rPr>
          <w:rFonts w:ascii="Times New Roman" w:hAnsi="Times New Roman" w:cs="Times New Roman"/>
          <w:sz w:val="24"/>
          <w:szCs w:val="24"/>
          <w:lang w:val="en-GB"/>
        </w:rPr>
        <w:t xml:space="preserve">more </w:t>
      </w:r>
      <w:r w:rsidR="00E55446" w:rsidRPr="00A762C7">
        <w:rPr>
          <w:rFonts w:ascii="Times New Roman" w:hAnsi="Times New Roman" w:cs="Times New Roman"/>
          <w:sz w:val="24"/>
          <w:szCs w:val="24"/>
          <w:lang w:val="en-GB"/>
        </w:rPr>
        <w:t>accepting</w:t>
      </w:r>
      <w:r w:rsidR="00355384" w:rsidRPr="00A762C7">
        <w:rPr>
          <w:rFonts w:ascii="Times New Roman" w:hAnsi="Times New Roman" w:cs="Times New Roman"/>
          <w:sz w:val="24"/>
          <w:szCs w:val="24"/>
          <w:lang w:val="en-GB"/>
        </w:rPr>
        <w:t xml:space="preserve"> </w:t>
      </w:r>
      <w:r w:rsidR="00C335C4" w:rsidRPr="00A762C7">
        <w:rPr>
          <w:rFonts w:ascii="Times New Roman" w:hAnsi="Times New Roman" w:cs="Times New Roman"/>
          <w:sz w:val="24"/>
          <w:szCs w:val="24"/>
          <w:lang w:val="en-GB"/>
        </w:rPr>
        <w:t xml:space="preserve">and </w:t>
      </w:r>
      <w:r w:rsidR="002A5023">
        <w:rPr>
          <w:rFonts w:ascii="Times New Roman" w:hAnsi="Times New Roman" w:cs="Times New Roman"/>
          <w:sz w:val="24"/>
          <w:szCs w:val="24"/>
          <w:lang w:val="en-GB"/>
        </w:rPr>
        <w:t>were also found to have</w:t>
      </w:r>
      <w:r w:rsidR="00BA057A" w:rsidRPr="00A762C7">
        <w:rPr>
          <w:rFonts w:ascii="Times New Roman" w:hAnsi="Times New Roman" w:cs="Times New Roman"/>
          <w:sz w:val="24"/>
          <w:szCs w:val="24"/>
          <w:lang w:val="en-GB"/>
        </w:rPr>
        <w:t xml:space="preserve"> </w:t>
      </w:r>
      <w:r w:rsidR="00C335C4" w:rsidRPr="00A762C7">
        <w:rPr>
          <w:rFonts w:ascii="Times New Roman" w:hAnsi="Times New Roman" w:cs="Times New Roman"/>
          <w:sz w:val="24"/>
          <w:szCs w:val="24"/>
          <w:lang w:val="en-GB"/>
        </w:rPr>
        <w:t xml:space="preserve">lower retributive justice scores </w:t>
      </w:r>
      <w:r w:rsidR="002E2D89" w:rsidRPr="00A762C7">
        <w:rPr>
          <w:rFonts w:ascii="Times New Roman" w:hAnsi="Times New Roman" w:cs="Times New Roman"/>
          <w:sz w:val="24"/>
          <w:szCs w:val="24"/>
          <w:lang w:val="en-GB"/>
        </w:rPr>
        <w:t>than</w:t>
      </w:r>
      <w:r w:rsidR="00355384" w:rsidRPr="00A762C7">
        <w:rPr>
          <w:rFonts w:ascii="Times New Roman" w:hAnsi="Times New Roman" w:cs="Times New Roman"/>
          <w:sz w:val="24"/>
          <w:szCs w:val="24"/>
          <w:lang w:val="en-GB"/>
        </w:rPr>
        <w:t xml:space="preserve"> women</w:t>
      </w:r>
      <w:r w:rsidR="00A07F1D" w:rsidRPr="00A762C7">
        <w:rPr>
          <w:rFonts w:ascii="Times New Roman" w:hAnsi="Times New Roman" w:cs="Times New Roman"/>
          <w:sz w:val="24"/>
          <w:szCs w:val="24"/>
          <w:lang w:val="en-GB"/>
        </w:rPr>
        <w:t>.</w:t>
      </w:r>
    </w:p>
    <w:p w14:paraId="6C17E70B" w14:textId="77777777" w:rsidR="009D0651" w:rsidRDefault="009D0651" w:rsidP="009D0651">
      <w:pPr>
        <w:pStyle w:val="NoSpacing"/>
        <w:spacing w:line="480" w:lineRule="auto"/>
        <w:ind w:firstLine="709"/>
        <w:jc w:val="both"/>
        <w:rPr>
          <w:rFonts w:ascii="Times New Roman" w:hAnsi="Times New Roman" w:cs="Times New Roman"/>
          <w:sz w:val="24"/>
          <w:szCs w:val="24"/>
          <w:lang w:val="en-GB"/>
        </w:rPr>
      </w:pPr>
    </w:p>
    <w:p w14:paraId="6C07867B" w14:textId="77777777" w:rsidR="006E5B7C" w:rsidRPr="00A762C7" w:rsidRDefault="009D0651">
      <w:pPr>
        <w:rPr>
          <w:lang w:eastAsia="en-US"/>
        </w:rPr>
      </w:pPr>
      <w:r>
        <w:t>-------------------PLEASE INSERT TABLE 3 ABOUT HERE-------------------</w:t>
      </w:r>
    </w:p>
    <w:p w14:paraId="77BF15B1" w14:textId="77777777" w:rsidR="00C81A3B" w:rsidRPr="00A762C7" w:rsidRDefault="00C81A3B" w:rsidP="003822D7">
      <w:pPr>
        <w:rPr>
          <w:b/>
        </w:rPr>
      </w:pPr>
    </w:p>
    <w:p w14:paraId="78B00EA0" w14:textId="77777777" w:rsidR="0026180E" w:rsidRPr="00A762C7" w:rsidRDefault="0026180E" w:rsidP="003822D7">
      <w:pPr>
        <w:rPr>
          <w:b/>
        </w:rPr>
      </w:pPr>
    </w:p>
    <w:p w14:paraId="152DFC8D" w14:textId="77777777" w:rsidR="00C81A3B" w:rsidRPr="00A762C7" w:rsidRDefault="00C81A3B" w:rsidP="00210D9E">
      <w:pPr>
        <w:spacing w:line="480" w:lineRule="auto"/>
        <w:jc w:val="both"/>
        <w:rPr>
          <w:b/>
        </w:rPr>
      </w:pPr>
      <w:r w:rsidRPr="00A762C7">
        <w:rPr>
          <w:b/>
        </w:rPr>
        <w:t>Study 2</w:t>
      </w:r>
    </w:p>
    <w:p w14:paraId="203E5A68" w14:textId="77777777" w:rsidR="00C81A3B" w:rsidRPr="00A762C7" w:rsidRDefault="00C81A3B" w:rsidP="00210D9E">
      <w:pPr>
        <w:spacing w:line="480" w:lineRule="auto"/>
        <w:jc w:val="both"/>
      </w:pPr>
      <w:r w:rsidRPr="00A762C7">
        <w:t xml:space="preserve">Research Methods </w:t>
      </w:r>
    </w:p>
    <w:p w14:paraId="131F0F91" w14:textId="77777777" w:rsidR="00C81A3B" w:rsidRPr="00A762C7" w:rsidRDefault="00C81A3B" w:rsidP="00210D9E">
      <w:pPr>
        <w:pStyle w:val="p"/>
        <w:spacing w:line="480" w:lineRule="auto"/>
        <w:ind w:firstLine="0"/>
        <w:jc w:val="both"/>
        <w:rPr>
          <w:lang w:val="en-GB"/>
        </w:rPr>
      </w:pPr>
      <w:r w:rsidRPr="00A762C7">
        <w:rPr>
          <w:lang w:val="en-GB"/>
        </w:rPr>
        <w:t>Sample</w:t>
      </w:r>
    </w:p>
    <w:p w14:paraId="29A4E19A" w14:textId="77777777" w:rsidR="00C81A3B" w:rsidRPr="00A762C7" w:rsidRDefault="00C81A3B" w:rsidP="00210D9E">
      <w:pPr>
        <w:pStyle w:val="p"/>
        <w:spacing w:line="480" w:lineRule="auto"/>
        <w:ind w:firstLine="426"/>
        <w:jc w:val="both"/>
        <w:rPr>
          <w:lang w:val="en-GB"/>
        </w:rPr>
      </w:pPr>
      <w:r w:rsidRPr="00A762C7">
        <w:rPr>
          <w:lang w:val="en-GB"/>
        </w:rPr>
        <w:lastRenderedPageBreak/>
        <w:t xml:space="preserve">The study was conducted by the Prologue Consulting Ltd in the Turkish Cypriot community </w:t>
      </w:r>
      <w:r w:rsidR="0047779A" w:rsidRPr="00A762C7">
        <w:rPr>
          <w:lang w:val="en-GB"/>
        </w:rPr>
        <w:t xml:space="preserve">using </w:t>
      </w:r>
      <w:r w:rsidRPr="00A762C7">
        <w:rPr>
          <w:lang w:val="en-GB"/>
        </w:rPr>
        <w:t xml:space="preserve">a representative sample survey of 801 participants. </w:t>
      </w:r>
      <w:r w:rsidR="00D0369D" w:rsidRPr="00A762C7">
        <w:rPr>
          <w:lang w:val="en-GB"/>
        </w:rPr>
        <w:t>P</w:t>
      </w:r>
      <w:r w:rsidRPr="00A762C7">
        <w:rPr>
          <w:lang w:val="en-GB"/>
        </w:rPr>
        <w:t xml:space="preserve">articipants </w:t>
      </w:r>
      <w:r w:rsidR="00D0369D" w:rsidRPr="00A762C7">
        <w:rPr>
          <w:lang w:val="en-GB"/>
        </w:rPr>
        <w:t xml:space="preserve">were </w:t>
      </w:r>
      <w:r w:rsidRPr="00A762C7">
        <w:rPr>
          <w:lang w:val="en-GB"/>
        </w:rPr>
        <w:t xml:space="preserve">over 18 years old with voting rights. Fieldwork </w:t>
      </w:r>
      <w:r w:rsidR="0047779A" w:rsidRPr="00A762C7">
        <w:rPr>
          <w:lang w:val="en-GB"/>
        </w:rPr>
        <w:t>lasted from</w:t>
      </w:r>
      <w:r w:rsidRPr="00A762C7">
        <w:rPr>
          <w:lang w:val="en-GB"/>
        </w:rPr>
        <w:t xml:space="preserve"> 23 November 2017 </w:t>
      </w:r>
      <w:r w:rsidR="0047779A" w:rsidRPr="00A762C7">
        <w:rPr>
          <w:lang w:val="en-GB"/>
        </w:rPr>
        <w:t>to</w:t>
      </w:r>
      <w:r w:rsidRPr="00A762C7">
        <w:rPr>
          <w:lang w:val="en-GB"/>
        </w:rPr>
        <w:t xml:space="preserve"> 20 December 2017. Participants were drawn from both urban and rural areas </w:t>
      </w:r>
      <w:r w:rsidR="0047779A" w:rsidRPr="00A762C7">
        <w:rPr>
          <w:lang w:val="en-GB"/>
        </w:rPr>
        <w:t>using</w:t>
      </w:r>
      <w:r w:rsidRPr="00A762C7">
        <w:rPr>
          <w:lang w:val="en-GB"/>
        </w:rPr>
        <w:t xml:space="preserve"> multistage, stratified sampling. The findings </w:t>
      </w:r>
      <w:r w:rsidR="0047779A" w:rsidRPr="00A762C7">
        <w:rPr>
          <w:lang w:val="en-GB"/>
        </w:rPr>
        <w:t xml:space="preserve">represent </w:t>
      </w:r>
      <w:r w:rsidRPr="00A762C7">
        <w:rPr>
          <w:lang w:val="en-GB"/>
        </w:rPr>
        <w:t>the views of various subsamples</w:t>
      </w:r>
      <w:r w:rsidR="0047779A" w:rsidRPr="00A762C7">
        <w:rPr>
          <w:lang w:val="en-GB"/>
        </w:rPr>
        <w:t xml:space="preserve">: </w:t>
      </w:r>
      <w:r w:rsidRPr="00A762C7">
        <w:rPr>
          <w:lang w:val="en-GB"/>
        </w:rPr>
        <w:t>native Turkish Cypriots</w:t>
      </w:r>
      <w:r w:rsidR="0047779A" w:rsidRPr="00A762C7">
        <w:rPr>
          <w:lang w:val="en-GB"/>
        </w:rPr>
        <w:t>;</w:t>
      </w:r>
      <w:r w:rsidRPr="00A762C7">
        <w:rPr>
          <w:lang w:val="en-GB"/>
        </w:rPr>
        <w:t xml:space="preserve"> </w:t>
      </w:r>
      <w:r w:rsidR="0047779A" w:rsidRPr="00A762C7">
        <w:rPr>
          <w:lang w:val="en-GB"/>
        </w:rPr>
        <w:t xml:space="preserve">those of </w:t>
      </w:r>
      <w:r w:rsidRPr="00A762C7">
        <w:rPr>
          <w:lang w:val="en-GB"/>
        </w:rPr>
        <w:t>mixed Turkish Cypriot and Turkish origin</w:t>
      </w:r>
      <w:r w:rsidR="0047779A" w:rsidRPr="00A762C7">
        <w:rPr>
          <w:lang w:val="en-GB"/>
        </w:rPr>
        <w:t>;</w:t>
      </w:r>
      <w:r w:rsidRPr="00A762C7">
        <w:rPr>
          <w:lang w:val="en-GB"/>
        </w:rPr>
        <w:t xml:space="preserve"> </w:t>
      </w:r>
      <w:r w:rsidR="0047779A" w:rsidRPr="00A762C7">
        <w:rPr>
          <w:lang w:val="en-GB"/>
        </w:rPr>
        <w:t xml:space="preserve">those of </w:t>
      </w:r>
      <w:r w:rsidRPr="00A762C7">
        <w:rPr>
          <w:lang w:val="en-GB"/>
        </w:rPr>
        <w:t xml:space="preserve">Turkish origin born in Turkey </w:t>
      </w:r>
      <w:r w:rsidR="0047779A" w:rsidRPr="00A762C7">
        <w:rPr>
          <w:lang w:val="en-GB"/>
        </w:rPr>
        <w:t xml:space="preserve">with </w:t>
      </w:r>
      <w:r w:rsidRPr="00A762C7">
        <w:rPr>
          <w:lang w:val="en-GB"/>
        </w:rPr>
        <w:t xml:space="preserve">both parents born in Turkey. </w:t>
      </w:r>
    </w:p>
    <w:p w14:paraId="356FA611" w14:textId="77777777" w:rsidR="00C81A3B" w:rsidRPr="00A762C7" w:rsidRDefault="00C81A3B" w:rsidP="00210D9E">
      <w:pPr>
        <w:pStyle w:val="p"/>
        <w:spacing w:line="480" w:lineRule="auto"/>
        <w:jc w:val="both"/>
        <w:rPr>
          <w:lang w:val="en-GB"/>
        </w:rPr>
      </w:pPr>
    </w:p>
    <w:p w14:paraId="17429AD7" w14:textId="77777777" w:rsidR="00C81A3B" w:rsidRPr="00A762C7" w:rsidRDefault="00C81A3B" w:rsidP="00210D9E">
      <w:pPr>
        <w:pStyle w:val="p"/>
        <w:spacing w:line="480" w:lineRule="auto"/>
        <w:ind w:firstLine="0"/>
        <w:jc w:val="both"/>
        <w:rPr>
          <w:lang w:val="en-GB"/>
        </w:rPr>
      </w:pPr>
      <w:r w:rsidRPr="00A762C7">
        <w:rPr>
          <w:lang w:val="en-GB"/>
        </w:rPr>
        <w:t>Questionnaire</w:t>
      </w:r>
    </w:p>
    <w:p w14:paraId="713AFA93" w14:textId="4C3B22C9" w:rsidR="00C81A3B" w:rsidRPr="00A762C7" w:rsidRDefault="00C81A3B" w:rsidP="00210D9E">
      <w:pPr>
        <w:spacing w:line="480" w:lineRule="auto"/>
        <w:ind w:firstLine="709"/>
        <w:jc w:val="both"/>
      </w:pPr>
      <w:r w:rsidRPr="00A762C7">
        <w:t xml:space="preserve">The questionnaire took about </w:t>
      </w:r>
      <w:r w:rsidR="006F5BB7" w:rsidRPr="00A762C7">
        <w:t>45</w:t>
      </w:r>
      <w:r w:rsidRPr="00A762C7">
        <w:t xml:space="preserve"> minutes to complete and </w:t>
      </w:r>
      <w:r w:rsidR="00D0369D" w:rsidRPr="00A762C7">
        <w:t>had</w:t>
      </w:r>
      <w:r w:rsidR="000C0776" w:rsidRPr="00A762C7">
        <w:t xml:space="preserve"> 7 parts. </w:t>
      </w:r>
      <w:r w:rsidR="0047779A" w:rsidRPr="00A762C7">
        <w:t>Those relevant</w:t>
      </w:r>
      <w:r w:rsidR="00D743F2" w:rsidRPr="00A762C7">
        <w:t xml:space="preserve"> </w:t>
      </w:r>
      <w:r w:rsidR="0047779A" w:rsidRPr="00A762C7">
        <w:t xml:space="preserve">to </w:t>
      </w:r>
      <w:r w:rsidR="00D743F2" w:rsidRPr="00A762C7">
        <w:t xml:space="preserve">the study </w:t>
      </w:r>
      <w:r w:rsidR="00EC72DF" w:rsidRPr="00A762C7">
        <w:t>are</w:t>
      </w:r>
      <w:r w:rsidR="0047779A" w:rsidRPr="00A762C7">
        <w:t>:</w:t>
      </w:r>
      <w:r w:rsidR="00D743F2" w:rsidRPr="00A762C7">
        <w:t xml:space="preserve"> </w:t>
      </w:r>
      <w:r w:rsidR="000C0776" w:rsidRPr="00A762C7">
        <w:t xml:space="preserve">A) </w:t>
      </w:r>
      <w:r w:rsidR="0047779A" w:rsidRPr="00A762C7">
        <w:t xml:space="preserve">demographic </w:t>
      </w:r>
      <w:r w:rsidR="00D743F2" w:rsidRPr="00A762C7">
        <w:t>variables</w:t>
      </w:r>
      <w:r w:rsidR="0047779A" w:rsidRPr="00A762C7">
        <w:t>;</w:t>
      </w:r>
      <w:r w:rsidR="00D743F2" w:rsidRPr="00A762C7">
        <w:t xml:space="preserve"> B) </w:t>
      </w:r>
      <w:r w:rsidR="0047779A" w:rsidRPr="00A762C7">
        <w:t>displacement experience</w:t>
      </w:r>
      <w:r w:rsidR="00525F1F" w:rsidRPr="00A762C7">
        <w:t xml:space="preserve">, </w:t>
      </w:r>
      <w:r w:rsidR="0047779A" w:rsidRPr="00A762C7">
        <w:t xml:space="preserve">return </w:t>
      </w:r>
      <w:r w:rsidR="00525F1F" w:rsidRPr="00A762C7">
        <w:t>intentions</w:t>
      </w:r>
      <w:r w:rsidR="00D743F2" w:rsidRPr="00A762C7">
        <w:t xml:space="preserve"> under GC administration</w:t>
      </w:r>
      <w:r w:rsidR="0047779A" w:rsidRPr="00A762C7">
        <w:t>;</w:t>
      </w:r>
      <w:r w:rsidR="00525F1F" w:rsidRPr="00A762C7">
        <w:t xml:space="preserve"> C) quality </w:t>
      </w:r>
      <w:r w:rsidR="00D743F2" w:rsidRPr="00A762C7">
        <w:t xml:space="preserve">and quantity of contact with </w:t>
      </w:r>
      <w:r w:rsidR="002255B1" w:rsidRPr="00A762C7">
        <w:t>Greek</w:t>
      </w:r>
      <w:r w:rsidR="00D743F2" w:rsidRPr="00A762C7">
        <w:t xml:space="preserve"> Cypriots</w:t>
      </w:r>
      <w:r w:rsidR="0047779A" w:rsidRPr="00A762C7">
        <w:t xml:space="preserve">; </w:t>
      </w:r>
      <w:r w:rsidR="00525F1F" w:rsidRPr="00A762C7">
        <w:t>D) direct and i</w:t>
      </w:r>
      <w:r w:rsidR="000C0776" w:rsidRPr="00A762C7">
        <w:t>ndirect war</w:t>
      </w:r>
      <w:r w:rsidR="0047779A" w:rsidRPr="00A762C7">
        <w:t>-</w:t>
      </w:r>
      <w:r w:rsidR="000C0776" w:rsidRPr="00A762C7">
        <w:t>related experience (captured, displacement</w:t>
      </w:r>
      <w:r w:rsidR="00525F1F" w:rsidRPr="00A762C7">
        <w:t>, injured, missing relatives)</w:t>
      </w:r>
      <w:r w:rsidR="0047779A" w:rsidRPr="00A762C7">
        <w:t>;</w:t>
      </w:r>
      <w:r w:rsidR="00D743F2" w:rsidRPr="00A762C7">
        <w:t xml:space="preserve"> E) </w:t>
      </w:r>
      <w:r w:rsidR="00525F1F" w:rsidRPr="00A762C7">
        <w:t>perceptions of appropriate transitional j</w:t>
      </w:r>
      <w:r w:rsidR="000C0776" w:rsidRPr="00A762C7">
        <w:t>ustice</w:t>
      </w:r>
      <w:r w:rsidR="00525F1F" w:rsidRPr="00A762C7">
        <w:t xml:space="preserve"> mechanisms</w:t>
      </w:r>
      <w:r w:rsidR="0047779A" w:rsidRPr="00A762C7">
        <w:t>.</w:t>
      </w:r>
      <w:r w:rsidR="00D31B46" w:rsidRPr="00A762C7">
        <w:t xml:space="preserve"> </w:t>
      </w:r>
      <w:r w:rsidR="0047779A" w:rsidRPr="00A762C7">
        <w:t>G</w:t>
      </w:r>
      <w:r w:rsidR="00D743F2" w:rsidRPr="00A762C7">
        <w:t>iven the face</w:t>
      </w:r>
      <w:r w:rsidR="0047779A" w:rsidRPr="00A762C7">
        <w:t>-</w:t>
      </w:r>
      <w:r w:rsidR="00D743F2" w:rsidRPr="00A762C7">
        <w:t>to</w:t>
      </w:r>
      <w:r w:rsidR="0047779A" w:rsidRPr="00A762C7">
        <w:t>-</w:t>
      </w:r>
      <w:r w:rsidR="00D743F2" w:rsidRPr="00A762C7">
        <w:t>face nature of the questionnaire</w:t>
      </w:r>
      <w:r w:rsidR="0047779A" w:rsidRPr="00A762C7">
        <w:t>, we were able</w:t>
      </w:r>
      <w:r w:rsidR="00D743F2" w:rsidRPr="00A762C7">
        <w:t xml:space="preserve"> to take more detailed measures of both quantity </w:t>
      </w:r>
      <w:r w:rsidR="00DA458D" w:rsidRPr="00A762C7">
        <w:t xml:space="preserve">(how often </w:t>
      </w:r>
      <w:r w:rsidR="0047779A" w:rsidRPr="00A762C7">
        <w:t xml:space="preserve">respondents </w:t>
      </w:r>
      <w:r w:rsidR="00DA458D" w:rsidRPr="00A762C7">
        <w:t xml:space="preserve">talk to Greek Cypriots under different settings, </w:t>
      </w:r>
      <w:r w:rsidR="0047779A" w:rsidRPr="00A762C7">
        <w:t xml:space="preserve">e.g., </w:t>
      </w:r>
      <w:r w:rsidR="00DA458D" w:rsidRPr="00A762C7">
        <w:t>in the north, in the south, in bicommunal activities, in their neighbo</w:t>
      </w:r>
      <w:r w:rsidR="0047779A" w:rsidRPr="00A762C7">
        <w:t>u</w:t>
      </w:r>
      <w:r w:rsidR="00DA458D" w:rsidRPr="00A762C7">
        <w:t>r</w:t>
      </w:r>
      <w:r w:rsidR="0047779A" w:rsidRPr="00A762C7">
        <w:t>hood</w:t>
      </w:r>
      <w:r w:rsidR="00DA458D" w:rsidRPr="00A762C7">
        <w:t xml:space="preserve"> etc</w:t>
      </w:r>
      <w:r w:rsidR="0047779A" w:rsidRPr="00A762C7">
        <w:t>.</w:t>
      </w:r>
      <w:r w:rsidR="00DA458D" w:rsidRPr="00A762C7">
        <w:t xml:space="preserve">) </w:t>
      </w:r>
      <w:r w:rsidR="00D743F2" w:rsidRPr="00A762C7">
        <w:t xml:space="preserve">and quality of contact </w:t>
      </w:r>
      <w:r w:rsidR="00DA458D" w:rsidRPr="00A762C7">
        <w:t>(positive, cooperative, based on mutual respect etc</w:t>
      </w:r>
      <w:r w:rsidR="0047779A" w:rsidRPr="00A762C7">
        <w:t>.</w:t>
      </w:r>
      <w:r w:rsidR="00DA458D" w:rsidRPr="00A762C7">
        <w:t xml:space="preserve">) </w:t>
      </w:r>
      <w:r w:rsidR="00D743F2" w:rsidRPr="00A762C7">
        <w:t>with the other community (</w:t>
      </w:r>
      <w:r w:rsidR="0047779A" w:rsidRPr="00A762C7">
        <w:t>GC</w:t>
      </w:r>
      <w:r w:rsidR="00D743F2" w:rsidRPr="00A762C7">
        <w:t>)</w:t>
      </w:r>
      <w:r w:rsidR="0047779A" w:rsidRPr="00A762C7">
        <w:t xml:space="preserve"> than in Study 1. In addition, we could</w:t>
      </w:r>
      <w:r w:rsidR="00D743F2" w:rsidRPr="00A762C7">
        <w:t xml:space="preserve"> </w:t>
      </w:r>
      <w:r w:rsidR="0047779A" w:rsidRPr="00A762C7">
        <w:t xml:space="preserve">use </w:t>
      </w:r>
      <w:r w:rsidR="00D743F2" w:rsidRPr="00A762C7">
        <w:t>this set of questions for the whole sample</w:t>
      </w:r>
      <w:r w:rsidR="0047779A" w:rsidRPr="00A762C7">
        <w:t>,</w:t>
      </w:r>
      <w:r w:rsidR="00D743F2" w:rsidRPr="00A762C7">
        <w:t xml:space="preserve"> not just IDPs.</w:t>
      </w:r>
      <w:r w:rsidR="00EC72DF" w:rsidRPr="00A762C7">
        <w:t xml:space="preserve"> </w:t>
      </w:r>
      <w:r w:rsidR="000C0776" w:rsidRPr="00A762C7">
        <w:t xml:space="preserve">A list of the subsample of </w:t>
      </w:r>
      <w:r w:rsidRPr="00A762C7">
        <w:t xml:space="preserve">variables and their description </w:t>
      </w:r>
      <w:r w:rsidR="0047779A" w:rsidRPr="00A762C7">
        <w:t>appears</w:t>
      </w:r>
      <w:r w:rsidRPr="00A762C7">
        <w:t xml:space="preserve"> in Appendix </w:t>
      </w:r>
      <w:r w:rsidR="00BD0A20">
        <w:t>II in Supplementary material</w:t>
      </w:r>
      <w:r w:rsidRPr="00A762C7">
        <w:t>.</w:t>
      </w:r>
    </w:p>
    <w:p w14:paraId="7EABDCC0" w14:textId="77777777" w:rsidR="00943F8B" w:rsidRPr="00A762C7" w:rsidRDefault="00943F8B" w:rsidP="00210D9E">
      <w:pPr>
        <w:spacing w:line="480" w:lineRule="auto"/>
        <w:jc w:val="both"/>
        <w:rPr>
          <w:b/>
        </w:rPr>
      </w:pPr>
    </w:p>
    <w:p w14:paraId="22409BA0" w14:textId="77777777" w:rsidR="00C81A3B" w:rsidRPr="00A762C7" w:rsidRDefault="00C81A3B" w:rsidP="00210D9E">
      <w:pPr>
        <w:spacing w:line="480" w:lineRule="auto"/>
        <w:jc w:val="both"/>
        <w:rPr>
          <w:b/>
        </w:rPr>
      </w:pPr>
      <w:r w:rsidRPr="00A762C7">
        <w:rPr>
          <w:b/>
        </w:rPr>
        <w:t>Results</w:t>
      </w:r>
    </w:p>
    <w:p w14:paraId="239F15EE" w14:textId="2D0D3824" w:rsidR="008239B9" w:rsidRPr="00A762C7" w:rsidRDefault="0047779A" w:rsidP="00210D9E">
      <w:pPr>
        <w:pStyle w:val="p"/>
        <w:spacing w:line="480" w:lineRule="auto"/>
        <w:ind w:firstLine="709"/>
        <w:jc w:val="both"/>
        <w:rPr>
          <w:lang w:val="en-GB"/>
        </w:rPr>
      </w:pPr>
      <w:r w:rsidRPr="00A762C7">
        <w:rPr>
          <w:lang w:val="en-GB"/>
        </w:rPr>
        <w:t>The</w:t>
      </w:r>
      <w:r w:rsidR="008239B9" w:rsidRPr="00A762C7">
        <w:rPr>
          <w:lang w:val="en-GB"/>
        </w:rPr>
        <w:t xml:space="preserve"> </w:t>
      </w:r>
      <w:r w:rsidR="00060E38" w:rsidRPr="00A762C7">
        <w:rPr>
          <w:lang w:val="en-GB"/>
        </w:rPr>
        <w:t xml:space="preserve">following percentages of the </w:t>
      </w:r>
      <w:r w:rsidR="00546438" w:rsidRPr="00A762C7">
        <w:rPr>
          <w:lang w:val="en-GB"/>
        </w:rPr>
        <w:t xml:space="preserve">various subcategories of voters in Turkish Cypriot elections </w:t>
      </w:r>
      <w:r w:rsidR="00EC72DF" w:rsidRPr="00A762C7">
        <w:rPr>
          <w:lang w:val="en-GB"/>
        </w:rPr>
        <w:t>a</w:t>
      </w:r>
      <w:r w:rsidR="00060E38" w:rsidRPr="00A762C7">
        <w:rPr>
          <w:lang w:val="en-GB"/>
        </w:rPr>
        <w:t>re willing to have a GC as a neighbour</w:t>
      </w:r>
      <w:r w:rsidR="00546438" w:rsidRPr="00A762C7">
        <w:rPr>
          <w:lang w:val="en-GB"/>
        </w:rPr>
        <w:t xml:space="preserve">: 41.6% of </w:t>
      </w:r>
      <w:r w:rsidRPr="00A762C7">
        <w:rPr>
          <w:lang w:val="en-GB"/>
        </w:rPr>
        <w:t xml:space="preserve">indigenous </w:t>
      </w:r>
      <w:r w:rsidR="00546438" w:rsidRPr="00A762C7">
        <w:rPr>
          <w:lang w:val="en-GB"/>
        </w:rPr>
        <w:t>IDPs</w:t>
      </w:r>
      <w:r w:rsidR="00831C01">
        <w:rPr>
          <w:lang w:val="en-GB"/>
        </w:rPr>
        <w:t xml:space="preserve"> (</w:t>
      </w:r>
      <w:r w:rsidR="0098647F">
        <w:rPr>
          <w:lang w:val="en-GB"/>
        </w:rPr>
        <w:t>i.e., TCs who were born in the south, and displaced to the n</w:t>
      </w:r>
      <w:r w:rsidR="00831C01">
        <w:rPr>
          <w:lang w:val="en-GB"/>
        </w:rPr>
        <w:t>orth during the 1974 conflict)</w:t>
      </w:r>
      <w:r w:rsidR="00060E38" w:rsidRPr="00A762C7">
        <w:rPr>
          <w:lang w:val="en-GB"/>
        </w:rPr>
        <w:t>;</w:t>
      </w:r>
      <w:r w:rsidR="00546438" w:rsidRPr="00A762C7">
        <w:rPr>
          <w:lang w:val="en-GB"/>
        </w:rPr>
        <w:t xml:space="preserve"> 27.2% of </w:t>
      </w:r>
      <w:r w:rsidRPr="00A762C7">
        <w:rPr>
          <w:lang w:val="en-GB"/>
        </w:rPr>
        <w:lastRenderedPageBreak/>
        <w:t>indigenous non-</w:t>
      </w:r>
      <w:r w:rsidR="00546438" w:rsidRPr="00A762C7">
        <w:rPr>
          <w:lang w:val="en-GB"/>
        </w:rPr>
        <w:t>IDPs</w:t>
      </w:r>
      <w:r w:rsidR="00060E38" w:rsidRPr="00A762C7">
        <w:rPr>
          <w:lang w:val="en-GB"/>
        </w:rPr>
        <w:t>;</w:t>
      </w:r>
      <w:r w:rsidR="00546438" w:rsidRPr="00A762C7">
        <w:rPr>
          <w:lang w:val="en-GB"/>
        </w:rPr>
        <w:t xml:space="preserve"> 45.6% of </w:t>
      </w:r>
      <w:r w:rsidR="00060E38" w:rsidRPr="00A762C7">
        <w:rPr>
          <w:lang w:val="en-GB"/>
        </w:rPr>
        <w:t>m</w:t>
      </w:r>
      <w:r w:rsidR="00546438" w:rsidRPr="00A762C7">
        <w:rPr>
          <w:lang w:val="en-GB"/>
        </w:rPr>
        <w:t xml:space="preserve">ixed </w:t>
      </w:r>
      <w:r w:rsidR="00060E38" w:rsidRPr="00A762C7">
        <w:rPr>
          <w:lang w:val="en-GB"/>
        </w:rPr>
        <w:t>background;</w:t>
      </w:r>
      <w:r w:rsidR="00546438" w:rsidRPr="00A762C7">
        <w:rPr>
          <w:lang w:val="en-GB"/>
        </w:rPr>
        <w:t xml:space="preserve"> 35.1% of Turkish settlers.</w:t>
      </w:r>
      <w:r w:rsidR="0097410F" w:rsidRPr="00A762C7">
        <w:rPr>
          <w:lang w:val="en-GB"/>
        </w:rPr>
        <w:t xml:space="preserve"> </w:t>
      </w:r>
      <w:r w:rsidR="00060E38" w:rsidRPr="00A762C7">
        <w:rPr>
          <w:lang w:val="en-GB"/>
        </w:rPr>
        <w:t xml:space="preserve">The </w:t>
      </w:r>
      <w:r w:rsidR="0097410F" w:rsidRPr="00A762C7">
        <w:rPr>
          <w:lang w:val="en-GB"/>
        </w:rPr>
        <w:t xml:space="preserve">variation </w:t>
      </w:r>
      <w:r w:rsidR="00060E38" w:rsidRPr="00A762C7">
        <w:rPr>
          <w:lang w:val="en-GB"/>
        </w:rPr>
        <w:t xml:space="preserve">between subcategories </w:t>
      </w:r>
      <w:r w:rsidR="00EC72DF" w:rsidRPr="00A762C7">
        <w:rPr>
          <w:lang w:val="en-GB"/>
        </w:rPr>
        <w:t xml:space="preserve">is </w:t>
      </w:r>
      <w:r w:rsidR="0097410F" w:rsidRPr="00A762C7">
        <w:rPr>
          <w:lang w:val="en-GB"/>
        </w:rPr>
        <w:t>not significant</w:t>
      </w:r>
      <w:r w:rsidR="00060E38" w:rsidRPr="00A762C7">
        <w:rPr>
          <w:lang w:val="en-GB"/>
        </w:rPr>
        <w:t>,</w:t>
      </w:r>
      <w:r w:rsidR="0097410F" w:rsidRPr="00A762C7">
        <w:rPr>
          <w:lang w:val="en-GB"/>
        </w:rPr>
        <w:t xml:space="preserve"> as </w:t>
      </w:r>
      <w:r w:rsidR="00060E38" w:rsidRPr="00A762C7">
        <w:rPr>
          <w:lang w:val="en-GB"/>
        </w:rPr>
        <w:t xml:space="preserve">shown in </w:t>
      </w:r>
      <w:r w:rsidR="0097410F" w:rsidRPr="00A762C7">
        <w:rPr>
          <w:lang w:val="en-GB"/>
        </w:rPr>
        <w:t>Table 4.</w:t>
      </w:r>
    </w:p>
    <w:p w14:paraId="291905E8" w14:textId="77777777" w:rsidR="008239B9" w:rsidRPr="00A762C7" w:rsidRDefault="008239B9" w:rsidP="00210D9E">
      <w:pPr>
        <w:spacing w:line="480" w:lineRule="auto"/>
        <w:jc w:val="both"/>
        <w:rPr>
          <w:i/>
        </w:rPr>
      </w:pPr>
    </w:p>
    <w:p w14:paraId="400462D5" w14:textId="77777777" w:rsidR="00C81A3B" w:rsidRPr="00A762C7" w:rsidRDefault="00C81A3B" w:rsidP="00210D9E">
      <w:pPr>
        <w:spacing w:line="480" w:lineRule="auto"/>
        <w:jc w:val="both"/>
        <w:rPr>
          <w:i/>
        </w:rPr>
      </w:pPr>
      <w:r w:rsidRPr="00A762C7">
        <w:rPr>
          <w:i/>
        </w:rPr>
        <w:t>All Respondents</w:t>
      </w:r>
    </w:p>
    <w:p w14:paraId="03505F26" w14:textId="77777777" w:rsidR="00F632D4" w:rsidRPr="00A762C7" w:rsidRDefault="00060E38" w:rsidP="00210D9E">
      <w:pPr>
        <w:spacing w:line="480" w:lineRule="auto"/>
        <w:ind w:firstLine="720"/>
        <w:jc w:val="both"/>
      </w:pPr>
      <w:r w:rsidRPr="00A762C7">
        <w:t>We perform h</w:t>
      </w:r>
      <w:r w:rsidR="00F632D4" w:rsidRPr="00A762C7">
        <w:t xml:space="preserve">ierarchical </w:t>
      </w:r>
      <w:r w:rsidRPr="00A762C7">
        <w:t xml:space="preserve">binary logistic regression </w:t>
      </w:r>
      <w:r w:rsidR="0097410F" w:rsidRPr="00A762C7">
        <w:t xml:space="preserve">analyses </w:t>
      </w:r>
      <w:r w:rsidR="00F632D4" w:rsidRPr="00A762C7">
        <w:t>to p</w:t>
      </w:r>
      <w:r w:rsidR="0097410F" w:rsidRPr="00A762C7">
        <w:t>redict whether Turkish Cypriot voters</w:t>
      </w:r>
      <w:r w:rsidR="00F632D4" w:rsidRPr="00A762C7">
        <w:t xml:space="preserve"> </w:t>
      </w:r>
      <w:r w:rsidR="00EC72DF" w:rsidRPr="00A762C7">
        <w:t xml:space="preserve">will </w:t>
      </w:r>
      <w:r w:rsidR="0097410F" w:rsidRPr="00A762C7">
        <w:t xml:space="preserve">accept Greek Cypriots </w:t>
      </w:r>
      <w:r w:rsidR="00F632D4" w:rsidRPr="00A762C7">
        <w:t xml:space="preserve">as </w:t>
      </w:r>
      <w:r w:rsidR="0097410F" w:rsidRPr="00A762C7">
        <w:t>neighbo</w:t>
      </w:r>
      <w:r w:rsidRPr="00A762C7">
        <w:t>u</w:t>
      </w:r>
      <w:r w:rsidR="0097410F" w:rsidRPr="00A762C7">
        <w:t>rs</w:t>
      </w:r>
      <w:r w:rsidRPr="00A762C7">
        <w:t xml:space="preserve"> and use</w:t>
      </w:r>
      <w:r w:rsidR="00F632D4" w:rsidRPr="00A762C7">
        <w:t xml:space="preserve"> Cox &amp; Snell R</w:t>
      </w:r>
      <w:r w:rsidR="00F632D4" w:rsidRPr="00A762C7">
        <w:rPr>
          <w:vertAlign w:val="superscript"/>
        </w:rPr>
        <w:t>2</w:t>
      </w:r>
      <w:r w:rsidR="00F632D4" w:rsidRPr="00A762C7">
        <w:t xml:space="preserve"> values </w:t>
      </w:r>
      <w:r w:rsidRPr="00A762C7">
        <w:t>to determine</w:t>
      </w:r>
      <w:r w:rsidR="00F632D4" w:rsidRPr="00A762C7">
        <w:t xml:space="preserve"> goodness-of-fit. First, we consider the full sample of survey respondents (Table 4). In Model 1, only structural variables (ethnicity, gender, income, age, university education) were entered as predictors. </w:t>
      </w:r>
      <w:r w:rsidRPr="00A762C7">
        <w:t>The responses of those</w:t>
      </w:r>
      <w:r w:rsidR="00F632D4" w:rsidRPr="00A762C7">
        <w:t xml:space="preserve"> of mixed background</w:t>
      </w:r>
      <w:r w:rsidRPr="00A762C7">
        <w:t xml:space="preserve"> and</w:t>
      </w:r>
      <w:r w:rsidR="00F632D4" w:rsidRPr="00A762C7">
        <w:t xml:space="preserve"> indigenous TC (either IDP or </w:t>
      </w:r>
      <w:r w:rsidRPr="00A762C7">
        <w:t>non-IDP</w:t>
      </w:r>
      <w:r w:rsidR="00F632D4" w:rsidRPr="00A762C7">
        <w:t>)</w:t>
      </w:r>
      <w:r w:rsidRPr="00A762C7">
        <w:t xml:space="preserve"> d</w:t>
      </w:r>
      <w:r w:rsidR="00EC72DF" w:rsidRPr="00A762C7">
        <w:t>o</w:t>
      </w:r>
      <w:r w:rsidRPr="00A762C7">
        <w:t xml:space="preserve"> not</w:t>
      </w:r>
      <w:r w:rsidR="00F632D4" w:rsidRPr="00A762C7">
        <w:t xml:space="preserve"> differ from </w:t>
      </w:r>
      <w:r w:rsidRPr="00A762C7">
        <w:t>those</w:t>
      </w:r>
      <w:r w:rsidR="00F632D4" w:rsidRPr="00A762C7">
        <w:t xml:space="preserve"> of the TSs used </w:t>
      </w:r>
      <w:r w:rsidRPr="00A762C7">
        <w:t xml:space="preserve">as </w:t>
      </w:r>
      <w:r w:rsidR="00F632D4" w:rsidRPr="00A762C7">
        <w:t xml:space="preserve">a reference category. Higher levels of income </w:t>
      </w:r>
      <w:r w:rsidR="00EC72DF" w:rsidRPr="00A762C7">
        <w:t xml:space="preserve">are </w:t>
      </w:r>
      <w:r w:rsidR="00F632D4" w:rsidRPr="00A762C7">
        <w:t xml:space="preserve">predictive of increased likelihood of </w:t>
      </w:r>
      <w:r w:rsidR="00886D12" w:rsidRPr="00A762C7">
        <w:t>acceptance of cohabitation</w:t>
      </w:r>
      <w:r w:rsidR="00F632D4" w:rsidRPr="00A762C7">
        <w:t xml:space="preserve">, and this relationship </w:t>
      </w:r>
      <w:r w:rsidR="00EC72DF" w:rsidRPr="00A762C7">
        <w:t xml:space="preserve">is </w:t>
      </w:r>
      <w:r w:rsidR="00F632D4" w:rsidRPr="00A762C7">
        <w:t xml:space="preserve">statistically significant. Females </w:t>
      </w:r>
      <w:r w:rsidR="00EC72DF" w:rsidRPr="00A762C7">
        <w:t xml:space="preserve">are </w:t>
      </w:r>
      <w:r w:rsidR="00F632D4" w:rsidRPr="00A762C7">
        <w:t>roughly 1.3 times more likely to be</w:t>
      </w:r>
      <w:r w:rsidR="00886D12" w:rsidRPr="00A762C7">
        <w:t xml:space="preserve"> accepting</w:t>
      </w:r>
      <w:r w:rsidR="00F632D4" w:rsidRPr="00A762C7">
        <w:t xml:space="preserve"> of GC </w:t>
      </w:r>
      <w:r w:rsidR="0097410F" w:rsidRPr="00A762C7">
        <w:t>neighbo</w:t>
      </w:r>
      <w:r w:rsidRPr="00A762C7">
        <w:t>u</w:t>
      </w:r>
      <w:r w:rsidR="0097410F" w:rsidRPr="00A762C7">
        <w:t>rs</w:t>
      </w:r>
      <w:r w:rsidR="00F632D4" w:rsidRPr="00A762C7">
        <w:t xml:space="preserve"> than males, </w:t>
      </w:r>
      <w:r w:rsidRPr="00A762C7">
        <w:t>albeit</w:t>
      </w:r>
      <w:r w:rsidR="00F632D4" w:rsidRPr="00A762C7">
        <w:t xml:space="preserve"> only significant at </w:t>
      </w:r>
      <w:r w:rsidR="00F632D4" w:rsidRPr="00A762C7">
        <w:rPr>
          <w:i/>
        </w:rPr>
        <w:t>p</w:t>
      </w:r>
      <w:r w:rsidR="00F632D4" w:rsidRPr="00A762C7">
        <w:t xml:space="preserve">&lt;.10. </w:t>
      </w:r>
      <w:r w:rsidR="00886D12" w:rsidRPr="00A762C7">
        <w:t>Older</w:t>
      </w:r>
      <w:r w:rsidR="00F632D4" w:rsidRPr="00A762C7">
        <w:t xml:space="preserve"> age </w:t>
      </w:r>
      <w:r w:rsidR="00EC72DF" w:rsidRPr="00A762C7">
        <w:t xml:space="preserve">is </w:t>
      </w:r>
      <w:r w:rsidR="00F632D4" w:rsidRPr="00A762C7">
        <w:t>a significant predictor of lower</w:t>
      </w:r>
      <w:r w:rsidR="00561462" w:rsidRPr="00A762C7">
        <w:t xml:space="preserve"> acceptance of GCs</w:t>
      </w:r>
      <w:r w:rsidR="00F632D4" w:rsidRPr="00A762C7">
        <w:t xml:space="preserve">, but university education </w:t>
      </w:r>
      <w:r w:rsidR="00EC72DF" w:rsidRPr="00A762C7">
        <w:t xml:space="preserve">is </w:t>
      </w:r>
      <w:r w:rsidR="00F632D4" w:rsidRPr="00A762C7">
        <w:t>not.</w:t>
      </w:r>
    </w:p>
    <w:p w14:paraId="3D5ED925" w14:textId="4034C3FD" w:rsidR="00F632D4" w:rsidRPr="00A762C7" w:rsidRDefault="00F632D4" w:rsidP="00210D9E">
      <w:pPr>
        <w:spacing w:line="480" w:lineRule="auto"/>
        <w:ind w:firstLine="720"/>
        <w:jc w:val="both"/>
      </w:pPr>
      <w:r w:rsidRPr="00A762C7">
        <w:t>Model 2</w:t>
      </w:r>
      <w:r w:rsidR="00060E38" w:rsidRPr="00A762C7">
        <w:t xml:space="preserve"> add</w:t>
      </w:r>
      <w:r w:rsidR="00EC72DF" w:rsidRPr="00A762C7">
        <w:t>s</w:t>
      </w:r>
      <w:r w:rsidRPr="00A762C7">
        <w:t xml:space="preserve"> war</w:t>
      </w:r>
      <w:r w:rsidR="00B64ECC" w:rsidRPr="00A762C7">
        <w:t>-</w:t>
      </w:r>
      <w:r w:rsidRPr="00A762C7">
        <w:t>time trauma experiences</w:t>
      </w:r>
      <w:r w:rsidR="00060E38" w:rsidRPr="00A762C7">
        <w:t xml:space="preserve">; </w:t>
      </w:r>
      <w:r w:rsidR="003941CC">
        <w:t>neither self-endured n</w:t>
      </w:r>
      <w:r w:rsidRPr="00A762C7">
        <w:t xml:space="preserve">or close family-endured trauma </w:t>
      </w:r>
      <w:r w:rsidR="00EC72DF" w:rsidRPr="00A762C7">
        <w:t xml:space="preserve">is </w:t>
      </w:r>
      <w:r w:rsidRPr="00A762C7">
        <w:t xml:space="preserve">significantly predictive. The pattern of prediction for the structural variables </w:t>
      </w:r>
      <w:r w:rsidR="00EC72DF" w:rsidRPr="00A762C7">
        <w:t xml:space="preserve">remains </w:t>
      </w:r>
      <w:r w:rsidRPr="00A762C7">
        <w:t xml:space="preserve">the same as in Model 1, </w:t>
      </w:r>
      <w:r w:rsidR="00060E38" w:rsidRPr="00A762C7">
        <w:t>but</w:t>
      </w:r>
      <w:r w:rsidRPr="00A762C7">
        <w:t xml:space="preserve"> age </w:t>
      </w:r>
      <w:r w:rsidR="00EC72DF" w:rsidRPr="00A762C7">
        <w:t xml:space="preserve">is </w:t>
      </w:r>
      <w:r w:rsidRPr="00A762C7">
        <w:t>non-significant in every subsequent model.</w:t>
      </w:r>
    </w:p>
    <w:p w14:paraId="7ABD3DF3" w14:textId="77777777" w:rsidR="00F632D4" w:rsidRPr="00A762C7" w:rsidRDefault="00F632D4" w:rsidP="00210D9E">
      <w:pPr>
        <w:spacing w:line="480" w:lineRule="auto"/>
        <w:ind w:firstLine="720"/>
        <w:jc w:val="both"/>
      </w:pPr>
      <w:r w:rsidRPr="00A762C7">
        <w:t xml:space="preserve">In Model 3, addition of the perceptions of justice variables </w:t>
      </w:r>
      <w:r w:rsidR="00EC72DF" w:rsidRPr="00A762C7">
        <w:t xml:space="preserve">demonstrates </w:t>
      </w:r>
      <w:r w:rsidRPr="00A762C7">
        <w:t xml:space="preserve">that those who want GCs to receive amnesty </w:t>
      </w:r>
      <w:r w:rsidR="00EC72DF" w:rsidRPr="00A762C7">
        <w:t xml:space="preserve">are </w:t>
      </w:r>
      <w:r w:rsidRPr="00A762C7">
        <w:t xml:space="preserve">more likely to be </w:t>
      </w:r>
      <w:r w:rsidR="00E55446" w:rsidRPr="00A762C7">
        <w:t>accepting</w:t>
      </w:r>
      <w:r w:rsidRPr="00A762C7">
        <w:t xml:space="preserve"> of GCs as neighbours. </w:t>
      </w:r>
      <w:r w:rsidR="00060E38" w:rsidRPr="00A762C7">
        <w:t>T</w:t>
      </w:r>
      <w:r w:rsidRPr="00A762C7">
        <w:t>hose who want them to beg for forgiveness, as well as those who want them to receive a fair trial and be harshly punished if found guilty</w:t>
      </w:r>
      <w:r w:rsidR="00060E38" w:rsidRPr="00A762C7">
        <w:t>,</w:t>
      </w:r>
      <w:r w:rsidRPr="00A762C7">
        <w:t xml:space="preserve"> </w:t>
      </w:r>
      <w:r w:rsidR="00EC72DF" w:rsidRPr="00A762C7">
        <w:t xml:space="preserve">are </w:t>
      </w:r>
      <w:r w:rsidRPr="00A762C7">
        <w:t xml:space="preserve">less likely to be </w:t>
      </w:r>
      <w:r w:rsidR="00ED1AEA" w:rsidRPr="00A762C7">
        <w:t>accepting of cohabitation</w:t>
      </w:r>
      <w:r w:rsidRPr="00A762C7">
        <w:t xml:space="preserve">. Interestingly, not having a university education significantly </w:t>
      </w:r>
      <w:r w:rsidR="00EC72DF" w:rsidRPr="00A762C7">
        <w:t xml:space="preserve">predicts </w:t>
      </w:r>
      <w:r w:rsidRPr="00A762C7">
        <w:t>lower likelihood of</w:t>
      </w:r>
      <w:r w:rsidR="00ED1AEA" w:rsidRPr="00A762C7">
        <w:t xml:space="preserve"> acceptance</w:t>
      </w:r>
      <w:r w:rsidRPr="00A762C7">
        <w:t xml:space="preserve">. Gender and income remain predictive at </w:t>
      </w:r>
      <w:r w:rsidRPr="00A762C7">
        <w:rPr>
          <w:i/>
        </w:rPr>
        <w:t>p</w:t>
      </w:r>
      <w:r w:rsidRPr="00A762C7">
        <w:t xml:space="preserve"> &lt; .10. </w:t>
      </w:r>
    </w:p>
    <w:p w14:paraId="48FE9E7E" w14:textId="77777777" w:rsidR="00F632D4" w:rsidRDefault="00F632D4" w:rsidP="00210D9E">
      <w:pPr>
        <w:spacing w:line="480" w:lineRule="auto"/>
        <w:ind w:firstLine="720"/>
        <w:jc w:val="both"/>
      </w:pPr>
      <w:r w:rsidRPr="00A762C7">
        <w:t>Model 4</w:t>
      </w:r>
      <w:r w:rsidR="00060E38" w:rsidRPr="00A762C7">
        <w:t xml:space="preserve"> add</w:t>
      </w:r>
      <w:r w:rsidR="00EC72DF" w:rsidRPr="00A762C7">
        <w:t>s</w:t>
      </w:r>
      <w:r w:rsidRPr="00A762C7">
        <w:t xml:space="preserve"> quality and quantity of contact with GCs as predictors. While increased quantity of contact </w:t>
      </w:r>
      <w:r w:rsidR="0074296D" w:rsidRPr="00A762C7">
        <w:t>somewhat reduces the levels of acceptance,</w:t>
      </w:r>
      <w:r w:rsidRPr="00A762C7">
        <w:t xml:space="preserve"> increased quality of contact </w:t>
      </w:r>
      <w:r w:rsidRPr="00A762C7">
        <w:lastRenderedPageBreak/>
        <w:t xml:space="preserve">almost </w:t>
      </w:r>
      <w:r w:rsidR="00EC72DF" w:rsidRPr="00A762C7">
        <w:t xml:space="preserve">doubles </w:t>
      </w:r>
      <w:r w:rsidRPr="00A762C7">
        <w:t xml:space="preserve">the likelihood </w:t>
      </w:r>
      <w:r w:rsidR="00EC72DF" w:rsidRPr="00A762C7">
        <w:t xml:space="preserve">of </w:t>
      </w:r>
      <w:r w:rsidRPr="00A762C7">
        <w:t xml:space="preserve">TCs </w:t>
      </w:r>
      <w:r w:rsidR="00EC72DF" w:rsidRPr="00A762C7">
        <w:t>accepting</w:t>
      </w:r>
      <w:r w:rsidRPr="00A762C7">
        <w:t xml:space="preserve"> GCs as neighbours. Wanting amnesty </w:t>
      </w:r>
      <w:r w:rsidR="00EC72DF" w:rsidRPr="00A762C7">
        <w:t xml:space="preserve">predicts </w:t>
      </w:r>
      <w:r w:rsidRPr="00A762C7">
        <w:t xml:space="preserve">increased </w:t>
      </w:r>
      <w:r w:rsidR="00093A17" w:rsidRPr="00A762C7">
        <w:t>acceptance</w:t>
      </w:r>
      <w:r w:rsidRPr="00A762C7">
        <w:t xml:space="preserve">, while wanting a trial and punishment if found guilty or wanting GCs to beg for forgiveness </w:t>
      </w:r>
      <w:r w:rsidR="00EC72DF" w:rsidRPr="00A762C7">
        <w:t xml:space="preserve">predicts </w:t>
      </w:r>
      <w:r w:rsidRPr="00A762C7">
        <w:t xml:space="preserve">less </w:t>
      </w:r>
      <w:r w:rsidR="00093A17" w:rsidRPr="00A762C7">
        <w:t>acceptance</w:t>
      </w:r>
      <w:r w:rsidRPr="00A762C7">
        <w:t xml:space="preserve">. Gender and university education remain predictive in the same directions, but income </w:t>
      </w:r>
      <w:r w:rsidR="00EC72DF" w:rsidRPr="00A762C7">
        <w:t xml:space="preserve">is </w:t>
      </w:r>
      <w:r w:rsidRPr="00A762C7">
        <w:t xml:space="preserve">no longer a significant predictor. </w:t>
      </w:r>
    </w:p>
    <w:p w14:paraId="6B13347E" w14:textId="77777777" w:rsidR="009D0651" w:rsidRDefault="009D0651" w:rsidP="00210D9E">
      <w:pPr>
        <w:spacing w:line="480" w:lineRule="auto"/>
        <w:ind w:firstLine="720"/>
        <w:jc w:val="both"/>
      </w:pPr>
    </w:p>
    <w:p w14:paraId="5AD1B51E" w14:textId="77777777" w:rsidR="009D0651" w:rsidRPr="00A762C7" w:rsidRDefault="009D0651" w:rsidP="009D0651">
      <w:pPr>
        <w:rPr>
          <w:lang w:eastAsia="en-US"/>
        </w:rPr>
      </w:pPr>
      <w:r>
        <w:t>-------------------PLEASE INSERT TABLE 4 ABOUT HERE-------------------</w:t>
      </w:r>
    </w:p>
    <w:p w14:paraId="3A1E16BE" w14:textId="77777777" w:rsidR="009D0651" w:rsidRPr="00A762C7" w:rsidRDefault="009D0651" w:rsidP="00210D9E">
      <w:pPr>
        <w:spacing w:line="480" w:lineRule="auto"/>
        <w:ind w:firstLine="720"/>
        <w:jc w:val="both"/>
      </w:pPr>
    </w:p>
    <w:p w14:paraId="2F5B3E82" w14:textId="77777777" w:rsidR="00F632D4" w:rsidRPr="00A762C7" w:rsidRDefault="00F632D4" w:rsidP="00F632D4">
      <w:pPr>
        <w:rPr>
          <w:rFonts w:eastAsia="Times New Roman"/>
        </w:rPr>
      </w:pPr>
      <w:bookmarkStart w:id="1" w:name="_Hlk504727569"/>
    </w:p>
    <w:bookmarkEnd w:id="1"/>
    <w:p w14:paraId="5A79BFA4" w14:textId="77777777" w:rsidR="00F632D4" w:rsidRPr="00A762C7" w:rsidRDefault="00F632D4" w:rsidP="00F632D4"/>
    <w:p w14:paraId="0BB9DC2F" w14:textId="77777777" w:rsidR="00DA6084" w:rsidRPr="00A762C7" w:rsidRDefault="00DA6084">
      <w:pPr>
        <w:rPr>
          <w:i/>
        </w:rPr>
      </w:pPr>
    </w:p>
    <w:p w14:paraId="7440B63C" w14:textId="77777777" w:rsidR="00391FC9" w:rsidRPr="00A762C7" w:rsidRDefault="00391FC9" w:rsidP="00210D9E">
      <w:pPr>
        <w:spacing w:line="480" w:lineRule="auto"/>
        <w:jc w:val="both"/>
        <w:rPr>
          <w:i/>
        </w:rPr>
      </w:pPr>
      <w:r w:rsidRPr="00A762C7">
        <w:rPr>
          <w:i/>
        </w:rPr>
        <w:t xml:space="preserve">Indigenous Turkish Cypriots </w:t>
      </w:r>
    </w:p>
    <w:p w14:paraId="719C20B8" w14:textId="77777777" w:rsidR="00391FC9" w:rsidRPr="00A762C7" w:rsidRDefault="0074296D" w:rsidP="00210D9E">
      <w:pPr>
        <w:spacing w:line="480" w:lineRule="auto"/>
        <w:ind w:firstLine="709"/>
        <w:jc w:val="both"/>
      </w:pPr>
      <w:r w:rsidRPr="00A762C7">
        <w:t>We</w:t>
      </w:r>
      <w:r w:rsidR="00EC72DF" w:rsidRPr="00A762C7">
        <w:t xml:space="preserve"> run</w:t>
      </w:r>
      <w:r w:rsidR="00391FC9" w:rsidRPr="00A762C7">
        <w:t xml:space="preserve"> predictive models for </w:t>
      </w:r>
      <w:r w:rsidR="00EB6E94" w:rsidRPr="00A762C7">
        <w:t xml:space="preserve">indigenous </w:t>
      </w:r>
      <w:r w:rsidR="00391FC9" w:rsidRPr="00A762C7">
        <w:t xml:space="preserve">Turkish Cypriot respondents (Table 5). Model 1 </w:t>
      </w:r>
      <w:r w:rsidR="00EC72DF" w:rsidRPr="00A762C7">
        <w:t xml:space="preserve">includes </w:t>
      </w:r>
      <w:r w:rsidR="00391FC9" w:rsidRPr="00A762C7">
        <w:t xml:space="preserve">structural variables as predictors. Higher income </w:t>
      </w:r>
      <w:r w:rsidR="00EC72DF" w:rsidRPr="00A762C7">
        <w:t xml:space="preserve">predicts </w:t>
      </w:r>
      <w:r w:rsidR="00391FC9" w:rsidRPr="00A762C7">
        <w:t xml:space="preserve">increased </w:t>
      </w:r>
      <w:r w:rsidR="00093A17" w:rsidRPr="00A762C7">
        <w:t>acceptance</w:t>
      </w:r>
      <w:r w:rsidR="00391FC9" w:rsidRPr="00A762C7">
        <w:t xml:space="preserve"> </w:t>
      </w:r>
      <w:r w:rsidR="00EB6E94" w:rsidRPr="00A762C7">
        <w:t xml:space="preserve">of </w:t>
      </w:r>
      <w:r w:rsidR="00391FC9" w:rsidRPr="00A762C7">
        <w:t xml:space="preserve">GCs as neighbours. Not having a university education </w:t>
      </w:r>
      <w:r w:rsidR="00EC72DF" w:rsidRPr="00A762C7">
        <w:t xml:space="preserve">predicts </w:t>
      </w:r>
      <w:r w:rsidR="00391FC9" w:rsidRPr="00A762C7">
        <w:t xml:space="preserve">lower levels of </w:t>
      </w:r>
      <w:r w:rsidR="00093A17" w:rsidRPr="00A762C7">
        <w:t>acceptance</w:t>
      </w:r>
      <w:r w:rsidR="00391FC9" w:rsidRPr="00A762C7">
        <w:t>.</w:t>
      </w:r>
    </w:p>
    <w:p w14:paraId="0DA015AD" w14:textId="19332248" w:rsidR="00391FC9" w:rsidRPr="00A762C7" w:rsidRDefault="00391FC9" w:rsidP="00210D9E">
      <w:pPr>
        <w:spacing w:line="480" w:lineRule="auto"/>
        <w:ind w:firstLine="709"/>
        <w:jc w:val="both"/>
      </w:pPr>
      <w:r w:rsidRPr="00A762C7">
        <w:t xml:space="preserve">Model 2 </w:t>
      </w:r>
      <w:r w:rsidR="00EC72DF" w:rsidRPr="00A762C7">
        <w:t xml:space="preserve">includes </w:t>
      </w:r>
      <w:r w:rsidRPr="00A762C7">
        <w:t xml:space="preserve">trauma experiences as </w:t>
      </w:r>
      <w:r w:rsidR="00EC72DF" w:rsidRPr="00A762C7">
        <w:t xml:space="preserve">a </w:t>
      </w:r>
      <w:r w:rsidRPr="00A762C7">
        <w:t xml:space="preserve">predictive factor. While self-endured trauma experiences </w:t>
      </w:r>
      <w:r w:rsidR="00EC72DF" w:rsidRPr="00A762C7">
        <w:t xml:space="preserve">do </w:t>
      </w:r>
      <w:r w:rsidRPr="00A762C7">
        <w:t xml:space="preserve">not significantly predict </w:t>
      </w:r>
      <w:r w:rsidR="00093A17" w:rsidRPr="00A762C7">
        <w:t>acceptance</w:t>
      </w:r>
      <w:r w:rsidRPr="00A762C7">
        <w:t>,</w:t>
      </w:r>
      <w:r w:rsidR="000F4DCE" w:rsidRPr="00A762C7">
        <w:t xml:space="preserve"> </w:t>
      </w:r>
      <w:r w:rsidRPr="00A762C7">
        <w:t xml:space="preserve">not having a close family member who experienced trauma </w:t>
      </w:r>
      <w:r w:rsidR="00831C01">
        <w:t>predicted less acceptance</w:t>
      </w:r>
      <w:r w:rsidRPr="00A762C7">
        <w:t xml:space="preserve"> of GCs as neighbours. Higher income</w:t>
      </w:r>
      <w:r w:rsidR="00831C01">
        <w:t xml:space="preserve"> positively predicted acceptance, while not having a university education</w:t>
      </w:r>
      <w:r w:rsidRPr="00A762C7">
        <w:t xml:space="preserve"> </w:t>
      </w:r>
      <w:r w:rsidR="00831C01">
        <w:t>predicted</w:t>
      </w:r>
      <w:r w:rsidRPr="00A762C7">
        <w:t xml:space="preserve"> lower likelihood of </w:t>
      </w:r>
      <w:r w:rsidR="00093A17" w:rsidRPr="00A762C7">
        <w:t>acceptance</w:t>
      </w:r>
      <w:r w:rsidRPr="00A762C7">
        <w:t xml:space="preserve">, though university </w:t>
      </w:r>
      <w:r w:rsidR="00093A17" w:rsidRPr="00A762C7">
        <w:t xml:space="preserve">education </w:t>
      </w:r>
      <w:r w:rsidR="00831C01">
        <w:t xml:space="preserve">was </w:t>
      </w:r>
      <w:r w:rsidRPr="00A762C7">
        <w:t xml:space="preserve">only </w:t>
      </w:r>
      <w:r w:rsidR="000F4DCE" w:rsidRPr="00A762C7">
        <w:t>predict</w:t>
      </w:r>
      <w:r w:rsidR="00831C01">
        <w:t>ive</w:t>
      </w:r>
      <w:r w:rsidR="000F4DCE" w:rsidRPr="00A762C7">
        <w:t xml:space="preserve"> </w:t>
      </w:r>
      <w:r w:rsidRPr="00A762C7">
        <w:t xml:space="preserve">at </w:t>
      </w:r>
      <w:r w:rsidRPr="00A762C7">
        <w:rPr>
          <w:i/>
        </w:rPr>
        <w:t>p</w:t>
      </w:r>
      <w:r w:rsidRPr="00A762C7">
        <w:t>&lt;.10.</w:t>
      </w:r>
      <w:r w:rsidR="000F4DCE" w:rsidRPr="00A762C7">
        <w:t xml:space="preserve"> </w:t>
      </w:r>
      <w:r w:rsidRPr="00A762C7">
        <w:t xml:space="preserve">Model 3 </w:t>
      </w:r>
      <w:r w:rsidR="000F4DCE" w:rsidRPr="00A762C7">
        <w:t xml:space="preserve">focuses </w:t>
      </w:r>
      <w:r w:rsidRPr="00A762C7">
        <w:t xml:space="preserve">on perceptions of justice as </w:t>
      </w:r>
      <w:r w:rsidR="000F4DCE" w:rsidRPr="00A762C7">
        <w:t xml:space="preserve">a </w:t>
      </w:r>
      <w:r w:rsidRPr="00A762C7">
        <w:t xml:space="preserve">predictor of </w:t>
      </w:r>
      <w:r w:rsidR="00093A17" w:rsidRPr="00A762C7">
        <w:t>acceptance</w:t>
      </w:r>
      <w:r w:rsidRPr="00A762C7">
        <w:t xml:space="preserve">. Wanting GCs to receive amnesty </w:t>
      </w:r>
      <w:r w:rsidR="000F4DCE" w:rsidRPr="00A762C7">
        <w:t xml:space="preserve">predicts </w:t>
      </w:r>
      <w:r w:rsidRPr="00A762C7">
        <w:t xml:space="preserve">higher likelihood of </w:t>
      </w:r>
      <w:r w:rsidR="00093A17" w:rsidRPr="00A762C7">
        <w:t>acceptance</w:t>
      </w:r>
      <w:r w:rsidRPr="00A762C7">
        <w:t xml:space="preserve">, </w:t>
      </w:r>
      <w:r w:rsidR="00EB6E94" w:rsidRPr="00A762C7">
        <w:t xml:space="preserve">and </w:t>
      </w:r>
      <w:r w:rsidRPr="00A762C7">
        <w:t xml:space="preserve">wanting them to beg for forgiveness </w:t>
      </w:r>
      <w:r w:rsidR="000F4DCE" w:rsidRPr="00A762C7">
        <w:t xml:space="preserve">predicts </w:t>
      </w:r>
      <w:r w:rsidRPr="00A762C7">
        <w:t xml:space="preserve">lower </w:t>
      </w:r>
      <w:r w:rsidR="00093A17" w:rsidRPr="00A762C7">
        <w:t>acceptance</w:t>
      </w:r>
      <w:r w:rsidRPr="00A762C7">
        <w:t xml:space="preserve">. Not having a university education </w:t>
      </w:r>
      <w:r w:rsidR="00EB6E94" w:rsidRPr="00A762C7">
        <w:t>ha</w:t>
      </w:r>
      <w:r w:rsidR="000F4DCE" w:rsidRPr="00A762C7">
        <w:t>s</w:t>
      </w:r>
      <w:r w:rsidR="00EB6E94" w:rsidRPr="00A762C7">
        <w:t xml:space="preserve"> </w:t>
      </w:r>
      <w:r w:rsidRPr="00A762C7">
        <w:t xml:space="preserve">the same predictive results as in Model 2, as </w:t>
      </w:r>
      <w:r w:rsidR="000F4DCE" w:rsidRPr="00A762C7">
        <w:t xml:space="preserve">do </w:t>
      </w:r>
      <w:r w:rsidRPr="00A762C7">
        <w:t xml:space="preserve">income and trauma </w:t>
      </w:r>
      <w:r w:rsidR="000F4DCE" w:rsidRPr="00A762C7">
        <w:t xml:space="preserve">experienced </w:t>
      </w:r>
      <w:r w:rsidRPr="00A762C7">
        <w:t>by a close family member.</w:t>
      </w:r>
      <w:r w:rsidR="000F4DCE" w:rsidRPr="00A762C7">
        <w:t xml:space="preserve"> </w:t>
      </w:r>
      <w:r w:rsidRPr="00A762C7">
        <w:t xml:space="preserve">Model 4 </w:t>
      </w:r>
      <w:r w:rsidR="000F4DCE" w:rsidRPr="00A762C7">
        <w:t xml:space="preserve">includes </w:t>
      </w:r>
      <w:r w:rsidRPr="00A762C7">
        <w:t>the quantity and quality of contact variables. Higher quantity of contact predict</w:t>
      </w:r>
      <w:r w:rsidR="000F4DCE" w:rsidRPr="00A762C7">
        <w:t xml:space="preserve">s </w:t>
      </w:r>
      <w:r w:rsidRPr="00A762C7">
        <w:t xml:space="preserve">less </w:t>
      </w:r>
      <w:r w:rsidR="00093A17" w:rsidRPr="00A762C7">
        <w:t>acceptance</w:t>
      </w:r>
      <w:r w:rsidRPr="00A762C7">
        <w:t xml:space="preserve"> for GCs as neighbours (but only at </w:t>
      </w:r>
      <w:r w:rsidRPr="00A762C7">
        <w:rPr>
          <w:i/>
        </w:rPr>
        <w:t>p</w:t>
      </w:r>
      <w:r w:rsidRPr="00A762C7">
        <w:t xml:space="preserve">&lt;.10). Higher quality of contact, however, </w:t>
      </w:r>
      <w:r w:rsidR="000F4DCE" w:rsidRPr="00A762C7">
        <w:t xml:space="preserve">predicts </w:t>
      </w:r>
      <w:r w:rsidRPr="00A762C7">
        <w:t xml:space="preserve">that </w:t>
      </w:r>
      <w:r w:rsidR="00EB6E94" w:rsidRPr="00A762C7">
        <w:t xml:space="preserve">indigenous </w:t>
      </w:r>
      <w:r w:rsidRPr="00A762C7">
        <w:t xml:space="preserve">Turkish Cypriots </w:t>
      </w:r>
      <w:r w:rsidR="000F4DCE" w:rsidRPr="00A762C7">
        <w:t>a</w:t>
      </w:r>
      <w:r w:rsidR="00EB6E94" w:rsidRPr="00A762C7">
        <w:t>r</w:t>
      </w:r>
      <w:r w:rsidRPr="00A762C7">
        <w:t xml:space="preserve">e twice as likely to be </w:t>
      </w:r>
      <w:r w:rsidR="00E55446" w:rsidRPr="00A762C7">
        <w:t>accepting</w:t>
      </w:r>
      <w:r w:rsidR="000445F8">
        <w:t xml:space="preserve"> of GCs</w:t>
      </w:r>
      <w:r w:rsidRPr="00A762C7">
        <w:t>. All other variables retain their previous predictive patterns, with the exception of income</w:t>
      </w:r>
      <w:r w:rsidR="000445F8">
        <w:t>.</w:t>
      </w:r>
    </w:p>
    <w:p w14:paraId="516C57CD" w14:textId="77777777" w:rsidR="009D0651" w:rsidRPr="00A762C7" w:rsidRDefault="009D0651" w:rsidP="009D0651">
      <w:pPr>
        <w:rPr>
          <w:lang w:eastAsia="en-US"/>
        </w:rPr>
      </w:pPr>
      <w:r>
        <w:lastRenderedPageBreak/>
        <w:t>-------------------PLEASE INSERT TABLE 5 ABOUT HERE-------------------</w:t>
      </w:r>
    </w:p>
    <w:p w14:paraId="0FCDCAC8" w14:textId="77777777" w:rsidR="00BF1869" w:rsidRPr="00A762C7" w:rsidRDefault="00BF1869" w:rsidP="00BF1869">
      <w:pPr>
        <w:rPr>
          <w:lang w:eastAsia="en-US"/>
        </w:rPr>
      </w:pPr>
    </w:p>
    <w:p w14:paraId="64E907B0" w14:textId="77777777" w:rsidR="00C81A3B" w:rsidRPr="00A762C7" w:rsidRDefault="00C81A3B" w:rsidP="00C81A3B"/>
    <w:p w14:paraId="5AD8CB25" w14:textId="77777777" w:rsidR="00C81A3B" w:rsidRPr="00A762C7" w:rsidRDefault="00C81A3B" w:rsidP="00210D9E">
      <w:pPr>
        <w:spacing w:line="480" w:lineRule="auto"/>
        <w:jc w:val="both"/>
        <w:rPr>
          <w:i/>
        </w:rPr>
      </w:pPr>
      <w:r w:rsidRPr="00A762C7">
        <w:rPr>
          <w:i/>
        </w:rPr>
        <w:t>Turkish-Born Respondents</w:t>
      </w:r>
    </w:p>
    <w:p w14:paraId="49F62CF9" w14:textId="77777777" w:rsidR="00E53948" w:rsidRPr="00A762C7" w:rsidRDefault="00C81A3B" w:rsidP="00210D9E">
      <w:pPr>
        <w:spacing w:line="480" w:lineRule="auto"/>
        <w:ind w:firstLine="709"/>
        <w:jc w:val="both"/>
      </w:pPr>
      <w:r w:rsidRPr="00A762C7">
        <w:t xml:space="preserve">The last predictive models </w:t>
      </w:r>
      <w:r w:rsidR="00A15469" w:rsidRPr="00A762C7">
        <w:t>a</w:t>
      </w:r>
      <w:r w:rsidRPr="00A762C7">
        <w:t xml:space="preserve">re for the Turkish-born (Table </w:t>
      </w:r>
      <w:r w:rsidR="00BD0A20">
        <w:t>6</w:t>
      </w:r>
      <w:r w:rsidRPr="00A762C7">
        <w:t xml:space="preserve">). This subsample was not directly impacted by the events of 1974, so we </w:t>
      </w:r>
      <w:r w:rsidR="00A15469" w:rsidRPr="00A762C7">
        <w:t xml:space="preserve">do </w:t>
      </w:r>
      <w:r w:rsidRPr="00A762C7">
        <w:t xml:space="preserve">not include such variables as trauma experiences in any of the models. </w:t>
      </w:r>
      <w:r w:rsidR="00E53948" w:rsidRPr="00A762C7">
        <w:t>Even so</w:t>
      </w:r>
      <w:r w:rsidRPr="00A762C7">
        <w:t xml:space="preserve">, it </w:t>
      </w:r>
      <w:r w:rsidR="00A15469" w:rsidRPr="00A762C7">
        <w:t xml:space="preserve">is </w:t>
      </w:r>
      <w:r w:rsidRPr="00A762C7">
        <w:t>important to see what, if any, predictors differ for this sample. Model 1 include</w:t>
      </w:r>
      <w:r w:rsidR="00A15469" w:rsidRPr="00A762C7">
        <w:t>s</w:t>
      </w:r>
      <w:r w:rsidRPr="00A762C7">
        <w:t xml:space="preserve"> the structural variables, </w:t>
      </w:r>
      <w:r w:rsidR="00E53948" w:rsidRPr="00A762C7">
        <w:t xml:space="preserve">but </w:t>
      </w:r>
      <w:r w:rsidR="00A15469" w:rsidRPr="00A762C7">
        <w:t>these are not</w:t>
      </w:r>
      <w:r w:rsidR="00E53948" w:rsidRPr="00A762C7">
        <w:t xml:space="preserve"> </w:t>
      </w:r>
      <w:r w:rsidRPr="00A762C7">
        <w:t>significant predictor</w:t>
      </w:r>
      <w:r w:rsidR="00A15469" w:rsidRPr="00A762C7">
        <w:t>s</w:t>
      </w:r>
      <w:r w:rsidRPr="00A762C7">
        <w:t xml:space="preserve"> in any model.</w:t>
      </w:r>
      <w:r w:rsidR="00E53948" w:rsidRPr="00A762C7">
        <w:t xml:space="preserve"> </w:t>
      </w:r>
      <w:r w:rsidRPr="00A762C7">
        <w:t xml:space="preserve">Model 2 </w:t>
      </w:r>
      <w:r w:rsidR="00A15469" w:rsidRPr="00A762C7">
        <w:t xml:space="preserve">includes </w:t>
      </w:r>
      <w:r w:rsidRPr="00A762C7">
        <w:t>the perceptions of justice variables</w:t>
      </w:r>
      <w:r w:rsidR="00A15469" w:rsidRPr="00A762C7">
        <w:t xml:space="preserve">. Two emerge as significant predictors: </w:t>
      </w:r>
      <w:r w:rsidRPr="00A762C7">
        <w:t>GCs should receive a fair trial and be harshly punished if found guilty and war criminal</w:t>
      </w:r>
      <w:r w:rsidR="006A09EF" w:rsidRPr="00A762C7">
        <w:t>s</w:t>
      </w:r>
      <w:r w:rsidRPr="00A762C7">
        <w:t xml:space="preserve"> should pay financial compensation for their crimes. Wanting harsh punishment if found guilty in a fair trial </w:t>
      </w:r>
      <w:r w:rsidR="00A15469" w:rsidRPr="00A762C7">
        <w:t xml:space="preserve">predicts </w:t>
      </w:r>
      <w:r w:rsidRPr="00A762C7">
        <w:t xml:space="preserve">less </w:t>
      </w:r>
      <w:r w:rsidR="00093A17" w:rsidRPr="00A762C7">
        <w:t>acceptance</w:t>
      </w:r>
      <w:r w:rsidR="00A15469" w:rsidRPr="00A762C7">
        <w:t xml:space="preserve"> of GCs as neighbours</w:t>
      </w:r>
      <w:r w:rsidRPr="00A762C7">
        <w:t xml:space="preserve">, while wanting financial compensation from war criminals </w:t>
      </w:r>
      <w:r w:rsidR="00A15469" w:rsidRPr="00A762C7">
        <w:t xml:space="preserve">predicts </w:t>
      </w:r>
      <w:r w:rsidRPr="00A762C7">
        <w:t xml:space="preserve">more </w:t>
      </w:r>
      <w:r w:rsidR="00093A17" w:rsidRPr="00A762C7">
        <w:t>acceptance</w:t>
      </w:r>
      <w:r w:rsidRPr="00A762C7">
        <w:t xml:space="preserve">. This pattern </w:t>
      </w:r>
      <w:r w:rsidR="00A15469" w:rsidRPr="00A762C7">
        <w:t xml:space="preserve">persists </w:t>
      </w:r>
      <w:r w:rsidRPr="00A762C7">
        <w:t>in Model 3</w:t>
      </w:r>
      <w:r w:rsidR="00A15469" w:rsidRPr="00A762C7">
        <w:t xml:space="preserve">, where we test </w:t>
      </w:r>
      <w:r w:rsidRPr="00A762C7">
        <w:t xml:space="preserve">the quantity and quality of contact variables. </w:t>
      </w:r>
      <w:r w:rsidR="00A15469" w:rsidRPr="00A762C7">
        <w:t>Q</w:t>
      </w:r>
      <w:r w:rsidRPr="00A762C7">
        <w:t xml:space="preserve">uantity of contact </w:t>
      </w:r>
      <w:r w:rsidR="00A15469" w:rsidRPr="00A762C7">
        <w:t>does not significantly predict</w:t>
      </w:r>
      <w:r w:rsidRPr="00A762C7">
        <w:t xml:space="preserve"> </w:t>
      </w:r>
      <w:r w:rsidR="00093A17" w:rsidRPr="00A762C7">
        <w:t>acceptance</w:t>
      </w:r>
      <w:r w:rsidRPr="00A762C7">
        <w:t xml:space="preserve">, </w:t>
      </w:r>
      <w:r w:rsidR="00A15469" w:rsidRPr="00A762C7">
        <w:t xml:space="preserve">but </w:t>
      </w:r>
      <w:r w:rsidRPr="00A762C7">
        <w:t xml:space="preserve">higher quality of contact </w:t>
      </w:r>
      <w:r w:rsidR="00A15469" w:rsidRPr="00A762C7">
        <w:t>does</w:t>
      </w:r>
      <w:r w:rsidRPr="00A762C7">
        <w:t>.</w:t>
      </w:r>
    </w:p>
    <w:p w14:paraId="042820D5" w14:textId="77777777" w:rsidR="00CE6706" w:rsidRPr="00A762C7" w:rsidRDefault="00CE6706" w:rsidP="00CE6706">
      <w:pPr>
        <w:rPr>
          <w:lang w:eastAsia="en-US"/>
        </w:rPr>
      </w:pPr>
      <w:r>
        <w:t xml:space="preserve">-------------------PLEASE INSERT TABLE </w:t>
      </w:r>
      <w:r w:rsidR="00BD0A20">
        <w:t>6</w:t>
      </w:r>
      <w:r>
        <w:t xml:space="preserve"> ABOUT HERE-------------------</w:t>
      </w:r>
    </w:p>
    <w:p w14:paraId="12802CBA" w14:textId="77777777" w:rsidR="00C81A3B" w:rsidRPr="00A762C7" w:rsidRDefault="00C81A3B" w:rsidP="00B71CD0">
      <w:pPr>
        <w:spacing w:line="480" w:lineRule="auto"/>
        <w:ind w:firstLine="709"/>
      </w:pPr>
    </w:p>
    <w:p w14:paraId="5A408887" w14:textId="77777777" w:rsidR="00C81A3B" w:rsidRPr="00A762C7" w:rsidRDefault="00C81A3B" w:rsidP="00C81A3B"/>
    <w:p w14:paraId="78C27C48" w14:textId="77777777" w:rsidR="00C81A3B" w:rsidRPr="00A762C7" w:rsidRDefault="00C81A3B" w:rsidP="003822D7">
      <w:pPr>
        <w:rPr>
          <w:b/>
        </w:rPr>
      </w:pPr>
    </w:p>
    <w:p w14:paraId="5826BCCF" w14:textId="77777777" w:rsidR="00822E82" w:rsidRPr="00A762C7" w:rsidRDefault="00D31A85" w:rsidP="00210D9E">
      <w:pPr>
        <w:spacing w:line="480" w:lineRule="auto"/>
        <w:jc w:val="both"/>
        <w:rPr>
          <w:b/>
        </w:rPr>
      </w:pPr>
      <w:r w:rsidRPr="00A762C7">
        <w:rPr>
          <w:b/>
        </w:rPr>
        <w:t>Discussion</w:t>
      </w:r>
    </w:p>
    <w:p w14:paraId="61262558" w14:textId="67CAF69F" w:rsidR="00FE3153" w:rsidRPr="00A762C7" w:rsidRDefault="00332AB5" w:rsidP="00210D9E">
      <w:pPr>
        <w:spacing w:line="480" w:lineRule="auto"/>
        <w:ind w:firstLine="709"/>
        <w:jc w:val="both"/>
      </w:pPr>
      <w:r w:rsidRPr="00A762C7">
        <w:t>Study 1</w:t>
      </w:r>
      <w:r w:rsidR="00270B7A" w:rsidRPr="00A762C7">
        <w:t xml:space="preserve"> </w:t>
      </w:r>
      <w:r w:rsidR="00E53948" w:rsidRPr="00A762C7">
        <w:t>show</w:t>
      </w:r>
      <w:r w:rsidR="00A15469" w:rsidRPr="00A762C7">
        <w:t>s</w:t>
      </w:r>
      <w:r w:rsidR="00270B7A" w:rsidRPr="00A762C7">
        <w:t xml:space="preserve"> </w:t>
      </w:r>
      <w:r w:rsidR="00E966C6" w:rsidRPr="00A762C7">
        <w:t xml:space="preserve">GCs </w:t>
      </w:r>
      <w:r w:rsidR="00A15469" w:rsidRPr="00A762C7">
        <w:t>a</w:t>
      </w:r>
      <w:r w:rsidR="00E53948" w:rsidRPr="00A762C7">
        <w:t>re</w:t>
      </w:r>
      <w:r w:rsidR="00A762C7" w:rsidRPr="00A762C7">
        <w:t xml:space="preserve"> more</w:t>
      </w:r>
      <w:r w:rsidR="00E53948" w:rsidRPr="00A762C7">
        <w:t xml:space="preserve"> </w:t>
      </w:r>
      <w:r w:rsidR="00A15469" w:rsidRPr="00A762C7">
        <w:t>likely to accept</w:t>
      </w:r>
      <w:r w:rsidR="00270B7A" w:rsidRPr="00A762C7">
        <w:t xml:space="preserve"> a TC neighbo</w:t>
      </w:r>
      <w:r w:rsidR="00591C92" w:rsidRPr="00A762C7">
        <w:t>u</w:t>
      </w:r>
      <w:r w:rsidR="00270B7A" w:rsidRPr="00A762C7">
        <w:t xml:space="preserve">r </w:t>
      </w:r>
      <w:r w:rsidR="00E53948" w:rsidRPr="00A762C7">
        <w:t>than</w:t>
      </w:r>
      <w:r w:rsidR="00270B7A" w:rsidRPr="00A762C7">
        <w:t xml:space="preserve"> a </w:t>
      </w:r>
      <w:r w:rsidR="00A15469" w:rsidRPr="00A762C7">
        <w:t>TS</w:t>
      </w:r>
      <w:r w:rsidR="00E53948" w:rsidRPr="00A762C7">
        <w:t xml:space="preserve"> neighbour</w:t>
      </w:r>
      <w:r w:rsidR="00270B7A" w:rsidRPr="00A762C7">
        <w:t xml:space="preserve">. </w:t>
      </w:r>
      <w:r w:rsidR="00E966C6" w:rsidRPr="00A762C7">
        <w:t xml:space="preserve">This </w:t>
      </w:r>
      <w:r w:rsidR="00E53948" w:rsidRPr="00A762C7">
        <w:t xml:space="preserve">finding </w:t>
      </w:r>
      <w:r w:rsidR="00E966C6" w:rsidRPr="00A762C7">
        <w:t xml:space="preserve">is consistent with the official master narrative of the conflict in the GC community </w:t>
      </w:r>
      <w:r w:rsidR="002D1981">
        <w:t>that</w:t>
      </w:r>
      <w:r w:rsidR="002D1981" w:rsidRPr="00A762C7">
        <w:t xml:space="preserve"> </w:t>
      </w:r>
      <w:r w:rsidR="00E966C6" w:rsidRPr="00A762C7">
        <w:t xml:space="preserve">revolves around the </w:t>
      </w:r>
      <w:r w:rsidR="00E53948" w:rsidRPr="00A762C7">
        <w:t xml:space="preserve">Turkish </w:t>
      </w:r>
      <w:r w:rsidR="00E966C6" w:rsidRPr="00A762C7">
        <w:t xml:space="preserve">invasion and occupation. </w:t>
      </w:r>
      <w:r w:rsidR="00E53948" w:rsidRPr="00A762C7">
        <w:t>Typical discourse</w:t>
      </w:r>
      <w:r w:rsidR="00D80E36">
        <w:t xml:space="preserve"> in the media and public education</w:t>
      </w:r>
      <w:r w:rsidR="00E53948" w:rsidRPr="00A762C7">
        <w:t xml:space="preserve"> includes the following comments</w:t>
      </w:r>
      <w:r w:rsidR="00DB1A9D" w:rsidRPr="00A762C7">
        <w:t>:</w:t>
      </w:r>
      <w:r w:rsidR="00E966C6" w:rsidRPr="00A762C7">
        <w:t xml:space="preserve"> </w:t>
      </w:r>
      <w:r w:rsidR="00CD1F67" w:rsidRPr="00A762C7">
        <w:t>‘</w:t>
      </w:r>
      <w:r w:rsidR="00E53948" w:rsidRPr="00A762C7">
        <w:t xml:space="preserve">Our </w:t>
      </w:r>
      <w:r w:rsidR="00E966C6" w:rsidRPr="00A762C7">
        <w:t>probl</w:t>
      </w:r>
      <w:r w:rsidR="005076BA" w:rsidRPr="00A762C7">
        <w:t>em is not with Turkish Cypriots</w:t>
      </w:r>
      <w:r w:rsidR="00E966C6" w:rsidRPr="00A762C7">
        <w:t xml:space="preserve"> but Turk</w:t>
      </w:r>
      <w:r w:rsidR="007003C5" w:rsidRPr="00A762C7">
        <w:t>ey who violated international la</w:t>
      </w:r>
      <w:r w:rsidR="00E966C6" w:rsidRPr="00A762C7">
        <w:t>w by invading and occupying Cyprus until today. We used to live together with TCs and we can do it again in case of a solution as long as Turkey withdraws its troops from Cyprus</w:t>
      </w:r>
      <w:r w:rsidR="00CD1F67" w:rsidRPr="00A762C7">
        <w:t>’</w:t>
      </w:r>
      <w:r w:rsidR="005076BA" w:rsidRPr="00A762C7">
        <w:t xml:space="preserve"> </w:t>
      </w:r>
      <w:r w:rsidR="00E966C6" w:rsidRPr="00A762C7">
        <w:t>(</w:t>
      </w:r>
      <w:r w:rsidR="0026180E" w:rsidRPr="00A762C7">
        <w:t>Dagli, 2016</w:t>
      </w:r>
      <w:r w:rsidR="00E966C6" w:rsidRPr="00A762C7">
        <w:t xml:space="preserve">).  </w:t>
      </w:r>
      <w:r w:rsidR="00E53948" w:rsidRPr="00A762C7">
        <w:t>Our</w:t>
      </w:r>
      <w:r w:rsidR="005076BA" w:rsidRPr="00A762C7">
        <w:t xml:space="preserve"> findings also suggest that rejecting TSs whilst accepting TCs is more </w:t>
      </w:r>
      <w:r w:rsidR="00E53948" w:rsidRPr="00A762C7">
        <w:t xml:space="preserve">common among those </w:t>
      </w:r>
      <w:r w:rsidR="005076BA" w:rsidRPr="00A762C7">
        <w:t xml:space="preserve">who were 18+ in 1974. </w:t>
      </w:r>
      <w:r w:rsidR="00E966C6" w:rsidRPr="00A762C7">
        <w:t>In this context</w:t>
      </w:r>
      <w:r w:rsidR="00111979" w:rsidRPr="00A762C7">
        <w:t>,</w:t>
      </w:r>
      <w:r w:rsidR="00E966C6" w:rsidRPr="00A762C7">
        <w:t xml:space="preserve"> </w:t>
      </w:r>
      <w:r w:rsidR="00E966C6" w:rsidRPr="00A762C7">
        <w:lastRenderedPageBreak/>
        <w:t xml:space="preserve">Turkish settlers are </w:t>
      </w:r>
      <w:r w:rsidR="00E53948" w:rsidRPr="00A762C7">
        <w:t>part of</w:t>
      </w:r>
      <w:r w:rsidR="00E966C6" w:rsidRPr="00A762C7">
        <w:t xml:space="preserve"> </w:t>
      </w:r>
      <w:r w:rsidR="007003C5" w:rsidRPr="00A762C7">
        <w:t xml:space="preserve">a </w:t>
      </w:r>
      <w:r w:rsidR="00E53948" w:rsidRPr="00A762C7">
        <w:t xml:space="preserve">larger </w:t>
      </w:r>
      <w:r w:rsidR="007003C5" w:rsidRPr="00A762C7">
        <w:t>war crime</w:t>
      </w:r>
      <w:r w:rsidR="00E53948" w:rsidRPr="00A762C7">
        <w:t>;</w:t>
      </w:r>
      <w:r w:rsidR="007003C5" w:rsidRPr="00A762C7">
        <w:t xml:space="preserve"> if this war crime is to be rectified</w:t>
      </w:r>
      <w:r w:rsidR="00E53948" w:rsidRPr="00A762C7">
        <w:t>,</w:t>
      </w:r>
      <w:r w:rsidR="007003C5" w:rsidRPr="00A762C7">
        <w:t xml:space="preserve"> Turkish settlers have to leave Cyprus. </w:t>
      </w:r>
    </w:p>
    <w:p w14:paraId="0F737A23" w14:textId="792EC7FC" w:rsidR="00E966C6" w:rsidRPr="00A762C7" w:rsidRDefault="007003C5" w:rsidP="00210D9E">
      <w:pPr>
        <w:spacing w:line="480" w:lineRule="auto"/>
        <w:ind w:firstLine="709"/>
        <w:jc w:val="both"/>
      </w:pPr>
      <w:r w:rsidRPr="00A762C7">
        <w:t xml:space="preserve">Such a set of beliefs is </w:t>
      </w:r>
      <w:r w:rsidR="00B52D16" w:rsidRPr="00A762C7">
        <w:t>exacerbated by the experience of being internally displaced in 1974 by the invading Turkish troops</w:t>
      </w:r>
      <w:r w:rsidR="00A15469" w:rsidRPr="00A762C7">
        <w:t>,</w:t>
      </w:r>
      <w:r w:rsidR="00B52D16" w:rsidRPr="00A762C7">
        <w:t xml:space="preserve"> as shown in Table 2</w:t>
      </w:r>
      <w:r w:rsidR="00A15469" w:rsidRPr="00A762C7">
        <w:t>,</w:t>
      </w:r>
      <w:r w:rsidR="00B52D16" w:rsidRPr="00A762C7">
        <w:t xml:space="preserve"> and is</w:t>
      </w:r>
      <w:r w:rsidRPr="00A762C7">
        <w:t xml:space="preserve"> supported by a legalistic interpretation of the issue of settlers</w:t>
      </w:r>
      <w:r w:rsidR="00A15469" w:rsidRPr="00A762C7">
        <w:t xml:space="preserve">. </w:t>
      </w:r>
      <w:r w:rsidR="00B52D16" w:rsidRPr="00A762C7">
        <w:t xml:space="preserve"> </w:t>
      </w:r>
      <w:r w:rsidR="00A15469" w:rsidRPr="00A762C7">
        <w:t xml:space="preserve">In this group, </w:t>
      </w:r>
      <w:r w:rsidRPr="00A762C7">
        <w:t xml:space="preserve">a retributive sense of justice </w:t>
      </w:r>
      <w:r w:rsidR="00A15469" w:rsidRPr="00A762C7">
        <w:t xml:space="preserve">is expressed </w:t>
      </w:r>
      <w:r w:rsidR="00822FB4" w:rsidRPr="00A762C7">
        <w:t>by</w:t>
      </w:r>
      <w:r w:rsidR="00A15469" w:rsidRPr="00A762C7">
        <w:t xml:space="preserve"> wanting </w:t>
      </w:r>
      <w:r w:rsidR="002F603F" w:rsidRPr="00A762C7">
        <w:t>to inflict harm</w:t>
      </w:r>
      <w:r w:rsidR="00822FB4" w:rsidRPr="00A762C7">
        <w:t xml:space="preserve"> on perpetrators – </w:t>
      </w:r>
      <w:r w:rsidR="00587668" w:rsidRPr="00A762C7">
        <w:t xml:space="preserve">making </w:t>
      </w:r>
      <w:r w:rsidR="00822FB4" w:rsidRPr="00A762C7">
        <w:t xml:space="preserve">them </w:t>
      </w:r>
      <w:r w:rsidR="00587668" w:rsidRPr="00A762C7">
        <w:t>beg for forgiveness, withholding amnesty</w:t>
      </w:r>
      <w:r w:rsidR="00822FB4" w:rsidRPr="00A762C7">
        <w:t>,</w:t>
      </w:r>
      <w:r w:rsidR="00587668" w:rsidRPr="00A762C7">
        <w:t xml:space="preserve"> </w:t>
      </w:r>
      <w:r w:rsidR="00822FB4" w:rsidRPr="00A762C7">
        <w:t>assigning</w:t>
      </w:r>
      <w:r w:rsidR="00587668" w:rsidRPr="00A762C7">
        <w:t xml:space="preserve"> harsh punishments </w:t>
      </w:r>
      <w:r w:rsidR="00822FB4" w:rsidRPr="00A762C7">
        <w:t xml:space="preserve">or seeking </w:t>
      </w:r>
      <w:r w:rsidR="00587668" w:rsidRPr="00A762C7">
        <w:t>compensation</w:t>
      </w:r>
      <w:r w:rsidR="00AC5980">
        <w:t>, not as a means to restore relations with Turkish Cypriots or Turkey but as another means of inflicting a cost to the main perpetrator (Turkey)</w:t>
      </w:r>
      <w:r w:rsidR="00822FB4" w:rsidRPr="00A762C7">
        <w:t>.</w:t>
      </w:r>
      <w:r w:rsidR="002F603F" w:rsidRPr="00A762C7">
        <w:t xml:space="preserve"> </w:t>
      </w:r>
      <w:r w:rsidR="00822FB4" w:rsidRPr="00A762C7">
        <w:t>They</w:t>
      </w:r>
      <w:r w:rsidR="005076BA" w:rsidRPr="00A762C7">
        <w:t xml:space="preserve"> </w:t>
      </w:r>
      <w:r w:rsidR="00983C71">
        <w:t>shy away from</w:t>
      </w:r>
      <w:r w:rsidR="005076BA" w:rsidRPr="00A762C7">
        <w:t xml:space="preserve"> a more pragmatic, </w:t>
      </w:r>
      <w:r w:rsidR="00587668" w:rsidRPr="00A762C7">
        <w:t xml:space="preserve">and restorative sense of justice </w:t>
      </w:r>
      <w:r w:rsidR="00822FB4" w:rsidRPr="00A762C7">
        <w:t>expressed in</w:t>
      </w:r>
      <w:r w:rsidR="00587668" w:rsidRPr="00A762C7">
        <w:t xml:space="preserve"> </w:t>
      </w:r>
      <w:r w:rsidR="00AC5980">
        <w:t xml:space="preserve">forgiveness conditioned on </w:t>
      </w:r>
      <w:r w:rsidR="00DD529F" w:rsidRPr="00A762C7">
        <w:t>giving testament in a</w:t>
      </w:r>
      <w:r w:rsidR="00587668" w:rsidRPr="00A762C7">
        <w:t xml:space="preserve"> truth and reconciliation committee</w:t>
      </w:r>
      <w:r w:rsidR="00AC5980">
        <w:t>.</w:t>
      </w:r>
    </w:p>
    <w:p w14:paraId="376F58AC" w14:textId="2FD10881" w:rsidR="00F939DC" w:rsidRDefault="00FE3153" w:rsidP="00210D9E">
      <w:pPr>
        <w:spacing w:line="480" w:lineRule="auto"/>
        <w:ind w:firstLine="709"/>
        <w:jc w:val="both"/>
      </w:pPr>
      <w:r w:rsidRPr="00A762C7">
        <w:t>T</w:t>
      </w:r>
      <w:r w:rsidR="007003C5" w:rsidRPr="00A762C7">
        <w:t>he</w:t>
      </w:r>
      <w:r w:rsidR="00270B7A" w:rsidRPr="00A762C7">
        <w:t xml:space="preserve"> most consistent predictor across all four models in </w:t>
      </w:r>
      <w:r w:rsidR="00F670D8" w:rsidRPr="00A762C7">
        <w:t>Study 1</w:t>
      </w:r>
      <w:r w:rsidR="00270B7A" w:rsidRPr="00A762C7">
        <w:t xml:space="preserve"> </w:t>
      </w:r>
      <w:r w:rsidRPr="00A762C7">
        <w:t xml:space="preserve">is </w:t>
      </w:r>
      <w:r w:rsidR="00270B7A" w:rsidRPr="00A762C7">
        <w:t>perception</w:t>
      </w:r>
      <w:r w:rsidR="006F34E1" w:rsidRPr="00A762C7">
        <w:t>s</w:t>
      </w:r>
      <w:r w:rsidR="00270B7A" w:rsidRPr="00A762C7">
        <w:t xml:space="preserve"> of transitional justice. The more </w:t>
      </w:r>
      <w:r w:rsidR="00687BF4" w:rsidRPr="00A762C7">
        <w:t xml:space="preserve">GC </w:t>
      </w:r>
      <w:r w:rsidR="00270B7A" w:rsidRPr="00A762C7">
        <w:t>participants adhere to notions of retributive justice</w:t>
      </w:r>
      <w:r w:rsidR="00513431" w:rsidRPr="00A762C7">
        <w:t>,</w:t>
      </w:r>
      <w:r w:rsidR="00270B7A" w:rsidRPr="00A762C7">
        <w:t xml:space="preserve"> the less they are ready to live together with Turkish </w:t>
      </w:r>
      <w:r w:rsidRPr="00A762C7">
        <w:t>settlers</w:t>
      </w:r>
      <w:r w:rsidR="00270B7A" w:rsidRPr="00A762C7">
        <w:t xml:space="preserve">. </w:t>
      </w:r>
      <w:r w:rsidR="007608F3" w:rsidRPr="00A762C7">
        <w:t>This finding extends to attitudes to</w:t>
      </w:r>
      <w:r w:rsidRPr="00A762C7">
        <w:t xml:space="preserve"> </w:t>
      </w:r>
      <w:r w:rsidR="007608F3" w:rsidRPr="00A762C7">
        <w:t>living with TCs</w:t>
      </w:r>
      <w:r w:rsidR="00293B90" w:rsidRPr="00A762C7">
        <w:t>,</w:t>
      </w:r>
      <w:r w:rsidR="007608F3" w:rsidRPr="00A762C7">
        <w:t xml:space="preserve"> </w:t>
      </w:r>
      <w:r w:rsidRPr="00A762C7">
        <w:t>suggesting</w:t>
      </w:r>
      <w:r w:rsidR="007608F3" w:rsidRPr="00A762C7">
        <w:t xml:space="preserve"> </w:t>
      </w:r>
      <w:r w:rsidR="00AC5980">
        <w:t>a troubling dimension of</w:t>
      </w:r>
      <w:r w:rsidR="007608F3" w:rsidRPr="00A762C7">
        <w:t xml:space="preserve"> </w:t>
      </w:r>
      <w:r w:rsidR="00587668" w:rsidRPr="00A762C7">
        <w:t>retributive</w:t>
      </w:r>
      <w:r w:rsidR="007608F3" w:rsidRPr="00A762C7">
        <w:t xml:space="preserve"> justice views </w:t>
      </w:r>
      <w:r w:rsidR="00AC5980">
        <w:t xml:space="preserve">as they </w:t>
      </w:r>
      <w:r w:rsidR="007608F3" w:rsidRPr="00A762C7">
        <w:t xml:space="preserve">generalize well beyond the primary </w:t>
      </w:r>
      <w:r w:rsidRPr="00A762C7">
        <w:t xml:space="preserve">image of Turks as the </w:t>
      </w:r>
      <w:r w:rsidR="00AC5980">
        <w:t>enemy suggesting an underlying ethnocentric view of one</w:t>
      </w:r>
      <w:r w:rsidR="00F939DC">
        <w:t>-</w:t>
      </w:r>
      <w:r w:rsidR="00AC5980">
        <w:t xml:space="preserve">sided victimisation. </w:t>
      </w:r>
      <w:r w:rsidR="007608F3" w:rsidRPr="00A762C7">
        <w:t xml:space="preserve"> </w:t>
      </w:r>
      <w:r w:rsidR="00F939DC">
        <w:t>Elite framing as it relates to official discourses, the media and history teaching drives these attitudes (Kovras, 2014) while a counter-mechanism seems to be in place through the positive impact of contact which offers individuals new opportunities to reframe the Cyprus issue at the personal</w:t>
      </w:r>
      <w:r w:rsidR="00747E6A">
        <w:t xml:space="preserve"> and communal</w:t>
      </w:r>
      <w:r w:rsidR="00F939DC">
        <w:t xml:space="preserve"> level. </w:t>
      </w:r>
    </w:p>
    <w:p w14:paraId="5C214A09" w14:textId="1D4CB4AF" w:rsidR="00270B7A" w:rsidRPr="00DD4307" w:rsidRDefault="00F939DC" w:rsidP="00210D9E">
      <w:pPr>
        <w:spacing w:line="480" w:lineRule="auto"/>
        <w:ind w:firstLine="709"/>
        <w:jc w:val="both"/>
        <w:rPr>
          <w:lang w:val="en-US"/>
        </w:rPr>
      </w:pPr>
      <w:r>
        <w:t>In terms of demographics, w</w:t>
      </w:r>
      <w:r w:rsidR="00B52D16" w:rsidRPr="00A762C7">
        <w:t xml:space="preserve">omen are less </w:t>
      </w:r>
      <w:r w:rsidR="00E55446" w:rsidRPr="00A762C7">
        <w:t>accepting</w:t>
      </w:r>
      <w:r w:rsidR="00B52D16" w:rsidRPr="00A762C7">
        <w:t xml:space="preserve"> </w:t>
      </w:r>
      <w:r w:rsidR="00FE3153" w:rsidRPr="00A762C7">
        <w:t xml:space="preserve">than </w:t>
      </w:r>
      <w:r w:rsidR="002F603F" w:rsidRPr="00A762C7">
        <w:t xml:space="preserve">men, and </w:t>
      </w:r>
      <w:r w:rsidR="006F34E1" w:rsidRPr="00A762C7">
        <w:t>younger</w:t>
      </w:r>
      <w:r w:rsidR="002F603F" w:rsidRPr="00A762C7">
        <w:t xml:space="preserve"> people </w:t>
      </w:r>
      <w:r w:rsidR="00687BF4" w:rsidRPr="00A762C7">
        <w:t xml:space="preserve">are </w:t>
      </w:r>
      <w:r w:rsidR="006F34E1" w:rsidRPr="00A762C7">
        <w:t>less</w:t>
      </w:r>
      <w:r w:rsidR="002F603F" w:rsidRPr="00A762C7">
        <w:t xml:space="preserve"> </w:t>
      </w:r>
      <w:r w:rsidR="00E55446" w:rsidRPr="00A762C7">
        <w:t>accepting</w:t>
      </w:r>
      <w:r w:rsidR="002F603F" w:rsidRPr="00A762C7">
        <w:t xml:space="preserve"> </w:t>
      </w:r>
      <w:r w:rsidR="00687BF4" w:rsidRPr="00A762C7">
        <w:t>than</w:t>
      </w:r>
      <w:r w:rsidR="002F603F" w:rsidRPr="00A762C7">
        <w:t xml:space="preserve"> </w:t>
      </w:r>
      <w:r w:rsidR="006F34E1" w:rsidRPr="00A762C7">
        <w:t>older</w:t>
      </w:r>
      <w:r w:rsidR="002F603F" w:rsidRPr="00A762C7">
        <w:t xml:space="preserve"> people. </w:t>
      </w:r>
      <w:r w:rsidR="00687BF4" w:rsidRPr="00A762C7">
        <w:t>To explain</w:t>
      </w:r>
      <w:r w:rsidR="002F603F" w:rsidRPr="00A762C7">
        <w:t xml:space="preserve"> the reluctance of younger GCs to l</w:t>
      </w:r>
      <w:r w:rsidR="00DB1A9D" w:rsidRPr="00A762C7">
        <w:t>ive</w:t>
      </w:r>
      <w:r w:rsidR="002F603F" w:rsidRPr="00A762C7">
        <w:t xml:space="preserve"> together with </w:t>
      </w:r>
      <w:r w:rsidR="00822FB4" w:rsidRPr="00A762C7">
        <w:t>TCs</w:t>
      </w:r>
      <w:r w:rsidR="00687BF4" w:rsidRPr="00A762C7">
        <w:t>,</w:t>
      </w:r>
      <w:r w:rsidR="002F603F" w:rsidRPr="00A762C7">
        <w:t xml:space="preserve"> </w:t>
      </w:r>
      <w:r w:rsidR="00687BF4" w:rsidRPr="00A762C7">
        <w:t>some point</w:t>
      </w:r>
      <w:r w:rsidR="002F603F" w:rsidRPr="00A762C7">
        <w:t xml:space="preserve"> </w:t>
      </w:r>
      <w:r w:rsidR="00687BF4" w:rsidRPr="00A762C7">
        <w:t xml:space="preserve">to </w:t>
      </w:r>
      <w:r w:rsidR="002F603F" w:rsidRPr="00A762C7">
        <w:t xml:space="preserve">the content of </w:t>
      </w:r>
      <w:r w:rsidR="00687BF4" w:rsidRPr="00A762C7">
        <w:t>history</w:t>
      </w:r>
      <w:r w:rsidR="00F601D7">
        <w:t xml:space="preserve"> </w:t>
      </w:r>
      <w:r w:rsidR="002F603F" w:rsidRPr="00A762C7">
        <w:t xml:space="preserve">and citizenship </w:t>
      </w:r>
      <w:r w:rsidR="00687BF4" w:rsidRPr="00A762C7">
        <w:t xml:space="preserve">courses </w:t>
      </w:r>
      <w:r w:rsidR="006F34E1" w:rsidRPr="00A762C7">
        <w:t>(Philippou and Klerides</w:t>
      </w:r>
      <w:r w:rsidR="001734C5" w:rsidRPr="00A762C7">
        <w:t xml:space="preserve"> 2010) in public elementary and high schools</w:t>
      </w:r>
      <w:r w:rsidR="00DB1A9D" w:rsidRPr="00A762C7">
        <w:t>. These are typically</w:t>
      </w:r>
      <w:r w:rsidR="00384A2A" w:rsidRPr="00A762C7">
        <w:t xml:space="preserve"> ethnocentric and often </w:t>
      </w:r>
      <w:r w:rsidR="001734C5" w:rsidRPr="00A762C7">
        <w:t>fail to differentiate between Turkish Cypriots and Turks</w:t>
      </w:r>
      <w:r w:rsidR="00DB1A9D" w:rsidRPr="00A762C7">
        <w:t>,</w:t>
      </w:r>
      <w:r w:rsidR="001734C5" w:rsidRPr="00A762C7">
        <w:t xml:space="preserve"> </w:t>
      </w:r>
      <w:r w:rsidR="00384A2A" w:rsidRPr="00A762C7">
        <w:t>presenting a</w:t>
      </w:r>
      <w:r w:rsidR="001734C5" w:rsidRPr="00A762C7">
        <w:t xml:space="preserve"> one</w:t>
      </w:r>
      <w:r w:rsidR="00DB1A9D" w:rsidRPr="00A762C7">
        <w:t>-</w:t>
      </w:r>
      <w:r w:rsidR="001734C5" w:rsidRPr="00A762C7">
        <w:t xml:space="preserve">sided victimization </w:t>
      </w:r>
      <w:r w:rsidR="00A24D1F" w:rsidRPr="00A762C7">
        <w:lastRenderedPageBreak/>
        <w:t xml:space="preserve">narrative </w:t>
      </w:r>
      <w:r w:rsidR="001734C5" w:rsidRPr="00A762C7">
        <w:t>to students</w:t>
      </w:r>
      <w:r w:rsidR="00687BF4" w:rsidRPr="00A762C7">
        <w:t>,</w:t>
      </w:r>
      <w:r w:rsidR="001734C5" w:rsidRPr="00A762C7">
        <w:t xml:space="preserve"> emphasizing the violation of international law and human rights by Turkey </w:t>
      </w:r>
      <w:r w:rsidR="006F34E1" w:rsidRPr="00A762C7">
        <w:t xml:space="preserve">expressed through the </w:t>
      </w:r>
      <w:r w:rsidR="00831C01" w:rsidRPr="00A762C7">
        <w:t>well-known</w:t>
      </w:r>
      <w:r w:rsidR="006F34E1" w:rsidRPr="00A762C7">
        <w:t xml:space="preserve"> educational policy of</w:t>
      </w:r>
      <w:r w:rsidR="00012A03" w:rsidRPr="00A762C7">
        <w:t xml:space="preserve"> </w:t>
      </w:r>
      <w:r w:rsidR="00012A03" w:rsidRPr="00A762C7">
        <w:rPr>
          <w:i/>
        </w:rPr>
        <w:t>Δεν Ξεχνώ και Αγωνίζομαι</w:t>
      </w:r>
      <w:r w:rsidR="00012A03" w:rsidRPr="00A762C7">
        <w:t xml:space="preserve"> </w:t>
      </w:r>
      <w:r w:rsidR="001734C5" w:rsidRPr="00A762C7">
        <w:t>(</w:t>
      </w:r>
      <w:r w:rsidR="00831C01">
        <w:t>“</w:t>
      </w:r>
      <w:r w:rsidR="001734C5" w:rsidRPr="00A762C7">
        <w:t>I do not forget and I struggle</w:t>
      </w:r>
      <w:r w:rsidR="00831C01">
        <w:t>”</w:t>
      </w:r>
      <w:r w:rsidR="001734C5" w:rsidRPr="00A762C7">
        <w:t>)</w:t>
      </w:r>
      <w:r w:rsidR="001A407F">
        <w:t xml:space="preserve"> and its more recent variant of </w:t>
      </w:r>
      <w:r w:rsidR="001A407F">
        <w:rPr>
          <w:lang w:val="el-GR"/>
        </w:rPr>
        <w:t>Γνωρίζω</w:t>
      </w:r>
      <w:r w:rsidR="001A407F" w:rsidRPr="001A407F">
        <w:rPr>
          <w:lang w:val="en-US"/>
        </w:rPr>
        <w:t xml:space="preserve">, </w:t>
      </w:r>
      <w:r w:rsidR="001A407F">
        <w:rPr>
          <w:lang w:val="el-GR"/>
        </w:rPr>
        <w:t>Δεν</w:t>
      </w:r>
      <w:r w:rsidR="001A407F" w:rsidRPr="001A407F">
        <w:rPr>
          <w:lang w:val="en-US"/>
        </w:rPr>
        <w:t xml:space="preserve"> </w:t>
      </w:r>
      <w:r w:rsidR="001A407F">
        <w:rPr>
          <w:lang w:val="el-GR"/>
        </w:rPr>
        <w:t>Ξεχνώ</w:t>
      </w:r>
      <w:r w:rsidR="001A407F" w:rsidRPr="001A407F">
        <w:rPr>
          <w:lang w:val="en-US"/>
        </w:rPr>
        <w:t xml:space="preserve"> </w:t>
      </w:r>
      <w:r w:rsidR="001A407F">
        <w:rPr>
          <w:lang w:val="el-GR"/>
        </w:rPr>
        <w:t>και</w:t>
      </w:r>
      <w:r w:rsidR="001A407F" w:rsidRPr="001A407F">
        <w:rPr>
          <w:lang w:val="en-US"/>
        </w:rPr>
        <w:t xml:space="preserve"> </w:t>
      </w:r>
      <w:r w:rsidR="001A407F">
        <w:rPr>
          <w:lang w:val="el-GR"/>
        </w:rPr>
        <w:t>Διεκδικώ</w:t>
      </w:r>
      <w:r w:rsidR="001A407F" w:rsidRPr="001A407F">
        <w:rPr>
          <w:lang w:val="en-US"/>
        </w:rPr>
        <w:t xml:space="preserve"> </w:t>
      </w:r>
      <w:r w:rsidR="001A407F" w:rsidRPr="00A762C7">
        <w:t>(</w:t>
      </w:r>
      <w:r w:rsidR="001A407F">
        <w:t>“</w:t>
      </w:r>
      <w:r w:rsidR="001A407F" w:rsidRPr="00A762C7">
        <w:t xml:space="preserve">I </w:t>
      </w:r>
      <w:r w:rsidR="001A407F">
        <w:t xml:space="preserve">learn about, I </w:t>
      </w:r>
      <w:r w:rsidR="001A407F" w:rsidRPr="00A762C7">
        <w:t xml:space="preserve">do not forget and I </w:t>
      </w:r>
      <w:r w:rsidR="002D0AE9">
        <w:t>stand up for</w:t>
      </w:r>
      <w:r w:rsidR="001A407F">
        <w:t>”</w:t>
      </w:r>
      <w:r w:rsidR="001A407F" w:rsidRPr="00A762C7">
        <w:t>)</w:t>
      </w:r>
      <w:r w:rsidR="001734C5" w:rsidRPr="00A762C7">
        <w:t xml:space="preserve">. </w:t>
      </w:r>
      <w:r w:rsidR="00983C71" w:rsidRPr="0099555A">
        <w:t>The finding</w:t>
      </w:r>
      <w:r w:rsidR="00235444" w:rsidRPr="0099555A">
        <w:t xml:space="preserve">s </w:t>
      </w:r>
      <w:r w:rsidR="00747E6A">
        <w:t>suggest the impact of</w:t>
      </w:r>
      <w:r w:rsidR="00983C71" w:rsidRPr="0099555A">
        <w:t xml:space="preserve"> transitional justice attitudes and what has been described by anthropologists as past presencing (i.e. the processes that the past is present or made present). According to Orjuela (2018: 1359) ‘the past is not a set of facts to uncover or remember, but instead something which is continuously made sense of, lived through and acted out by individuals and collectives’ (see also Macdonald:2013).  Yet </w:t>
      </w:r>
      <w:r w:rsidR="00986E5A">
        <w:t>o</w:t>
      </w:r>
      <w:r w:rsidR="00822FB4" w:rsidRPr="00A762C7">
        <w:t>ur</w:t>
      </w:r>
      <w:r w:rsidR="00687BF4" w:rsidRPr="00A762C7">
        <w:t xml:space="preserve"> </w:t>
      </w:r>
      <w:r w:rsidR="007608F3" w:rsidRPr="00A762C7">
        <w:t xml:space="preserve">findings suggest </w:t>
      </w:r>
      <w:r w:rsidR="00687BF4" w:rsidRPr="00A762C7">
        <w:t>u</w:t>
      </w:r>
      <w:r w:rsidR="00DD57CA" w:rsidRPr="00A762C7">
        <w:t>niversity education is likely to facilitate the criti</w:t>
      </w:r>
      <w:r w:rsidR="002E1F40" w:rsidRPr="00A762C7">
        <w:t>cal think</w:t>
      </w:r>
      <w:r w:rsidR="002D0AE9">
        <w:t xml:space="preserve">ing of individuals and break up, at least to some extent, </w:t>
      </w:r>
      <w:r w:rsidR="00687BF4" w:rsidRPr="00A762C7">
        <w:t xml:space="preserve">the </w:t>
      </w:r>
      <w:r w:rsidR="00831C01" w:rsidRPr="00A762C7">
        <w:t>one-sided</w:t>
      </w:r>
      <w:r w:rsidR="006F34E1" w:rsidRPr="00A762C7">
        <w:t xml:space="preserve"> </w:t>
      </w:r>
      <w:r w:rsidR="002E1F40" w:rsidRPr="00A762C7">
        <w:t xml:space="preserve">historical narratives </w:t>
      </w:r>
      <w:r w:rsidR="00DD4307">
        <w:t>embedded in the</w:t>
      </w:r>
      <w:r w:rsidR="002E1F40" w:rsidRPr="00A762C7">
        <w:t xml:space="preserve"> elementary and high school</w:t>
      </w:r>
      <w:r w:rsidR="00DD4307">
        <w:t xml:space="preserve"> curriculum</w:t>
      </w:r>
      <w:r w:rsidR="002E1F40" w:rsidRPr="00A762C7">
        <w:t>.</w:t>
      </w:r>
      <w:r w:rsidR="003A38FC" w:rsidRPr="00A762C7">
        <w:t xml:space="preserve"> </w:t>
      </w:r>
    </w:p>
    <w:p w14:paraId="04221364" w14:textId="1F45395F" w:rsidR="00822E82" w:rsidRPr="00A762C7" w:rsidRDefault="00CE780F" w:rsidP="00210D9E">
      <w:pPr>
        <w:spacing w:line="480" w:lineRule="auto"/>
        <w:ind w:firstLine="720"/>
        <w:jc w:val="both"/>
      </w:pPr>
      <w:r w:rsidRPr="00A762C7">
        <w:t xml:space="preserve">The findings </w:t>
      </w:r>
      <w:r w:rsidR="00D0702C">
        <w:t xml:space="preserve">also </w:t>
      </w:r>
      <w:r w:rsidR="003D2DE1">
        <w:t>imply</w:t>
      </w:r>
      <w:r w:rsidR="00D0702C">
        <w:t xml:space="preserve"> </w:t>
      </w:r>
      <w:r w:rsidRPr="00A762C7">
        <w:t xml:space="preserve">some </w:t>
      </w:r>
      <w:r w:rsidR="0099555A">
        <w:t xml:space="preserve">possible </w:t>
      </w:r>
      <w:r w:rsidRPr="00A762C7">
        <w:t>mediation mechanisms;</w:t>
      </w:r>
      <w:r w:rsidR="007E044F" w:rsidRPr="00A762C7">
        <w:t xml:space="preserve"> once</w:t>
      </w:r>
      <w:r w:rsidR="003A38FC" w:rsidRPr="00A762C7">
        <w:t xml:space="preserve"> views about transitional justice are entered in </w:t>
      </w:r>
      <w:r w:rsidR="00FE3153" w:rsidRPr="00A762C7">
        <w:t>M</w:t>
      </w:r>
      <w:r w:rsidR="003A38FC" w:rsidRPr="00A762C7">
        <w:t>odel 3 (Table 3)</w:t>
      </w:r>
      <w:r w:rsidR="007E044F" w:rsidRPr="00A762C7">
        <w:t>,</w:t>
      </w:r>
      <w:r w:rsidR="003A38FC" w:rsidRPr="00A762C7">
        <w:t xml:space="preserve"> the gender effects become insignificant. </w:t>
      </w:r>
      <w:r w:rsidR="00822FB4" w:rsidRPr="00A762C7">
        <w:t>F</w:t>
      </w:r>
      <w:r w:rsidR="003A38FC" w:rsidRPr="00A762C7">
        <w:t xml:space="preserve">emale IDPs are less </w:t>
      </w:r>
      <w:r w:rsidR="00E55446" w:rsidRPr="00A762C7">
        <w:t>accepting</w:t>
      </w:r>
      <w:r w:rsidR="003A38FC" w:rsidRPr="00A762C7">
        <w:t xml:space="preserve"> of cohabitation with TCs </w:t>
      </w:r>
      <w:r w:rsidR="00FE3153" w:rsidRPr="00A762C7">
        <w:t>than</w:t>
      </w:r>
      <w:r w:rsidR="003A38FC" w:rsidRPr="00A762C7">
        <w:t xml:space="preserve"> </w:t>
      </w:r>
      <w:r w:rsidR="00822FB4" w:rsidRPr="00A762C7">
        <w:t xml:space="preserve">male IDPs </w:t>
      </w:r>
      <w:r w:rsidR="00FE3153" w:rsidRPr="00A762C7">
        <w:t xml:space="preserve">(see </w:t>
      </w:r>
      <w:r w:rsidR="005C35F5" w:rsidRPr="00A762C7">
        <w:t>Sitas, Latif</w:t>
      </w:r>
      <w:r w:rsidRPr="00A762C7">
        <w:t>,</w:t>
      </w:r>
      <w:r w:rsidR="005C35F5" w:rsidRPr="00A762C7">
        <w:t xml:space="preserve"> </w:t>
      </w:r>
      <w:r w:rsidRPr="00A762C7">
        <w:t>and Loizou</w:t>
      </w:r>
      <w:r w:rsidR="005C35F5" w:rsidRPr="00A762C7">
        <w:t xml:space="preserve"> 2007) </w:t>
      </w:r>
      <w:r w:rsidR="00822FB4" w:rsidRPr="00A762C7">
        <w:t>because</w:t>
      </w:r>
      <w:r w:rsidR="003A38FC" w:rsidRPr="00A762C7">
        <w:t xml:space="preserve"> they hold higher retri</w:t>
      </w:r>
      <w:r w:rsidR="005C35F5" w:rsidRPr="00A762C7">
        <w:t>butive justice views</w:t>
      </w:r>
      <w:r w:rsidR="00687BF4" w:rsidRPr="00A762C7">
        <w:t>, possibly</w:t>
      </w:r>
      <w:r w:rsidR="00440B16" w:rsidRPr="00A762C7">
        <w:t xml:space="preserve"> because </w:t>
      </w:r>
      <w:r w:rsidRPr="00A762C7">
        <w:t>some</w:t>
      </w:r>
      <w:r w:rsidR="00440B16" w:rsidRPr="00A762C7">
        <w:t xml:space="preserve"> women</w:t>
      </w:r>
      <w:r w:rsidR="003D2DE1">
        <w:t xml:space="preserve"> in Cyprus might</w:t>
      </w:r>
      <w:r w:rsidR="00440B16" w:rsidRPr="00A762C7">
        <w:t xml:space="preserve"> </w:t>
      </w:r>
      <w:r w:rsidR="003D2DE1">
        <w:t xml:space="preserve">have </w:t>
      </w:r>
      <w:r w:rsidR="00822FB4" w:rsidRPr="00A762C7">
        <w:t xml:space="preserve">experienced </w:t>
      </w:r>
      <w:r w:rsidR="007E044F" w:rsidRPr="00A762C7">
        <w:t xml:space="preserve">other hardships </w:t>
      </w:r>
      <w:r w:rsidR="003D2DE1">
        <w:t>not included in our questionnaire (e.g. rape)</w:t>
      </w:r>
      <w:r w:rsidR="00687BF4" w:rsidRPr="00A762C7">
        <w:t>. A</w:t>
      </w:r>
      <w:r w:rsidR="00BC649D" w:rsidRPr="00A762C7">
        <w:t>lternatively</w:t>
      </w:r>
      <w:r w:rsidR="00687BF4" w:rsidRPr="00A762C7">
        <w:t xml:space="preserve">, </w:t>
      </w:r>
      <w:r w:rsidR="00822FB4" w:rsidRPr="00A762C7">
        <w:t xml:space="preserve">their lack of </w:t>
      </w:r>
      <w:r w:rsidR="00093A17" w:rsidRPr="00A762C7">
        <w:t>acceptance</w:t>
      </w:r>
      <w:r w:rsidR="00822FB4" w:rsidRPr="00A762C7">
        <w:t xml:space="preserve"> </w:t>
      </w:r>
      <w:r w:rsidR="00687BF4" w:rsidRPr="00A762C7">
        <w:t>may be explained by t</w:t>
      </w:r>
      <w:r w:rsidR="00BC649D" w:rsidRPr="00A762C7">
        <w:t xml:space="preserve">he </w:t>
      </w:r>
      <w:r w:rsidR="00F939DC">
        <w:t>apparent absence</w:t>
      </w:r>
      <w:r w:rsidR="00BC649D" w:rsidRPr="00A762C7">
        <w:t xml:space="preserve"> of women</w:t>
      </w:r>
      <w:r w:rsidR="00F939DC">
        <w:t xml:space="preserve"> and women organizations</w:t>
      </w:r>
      <w:r w:rsidR="00BC649D" w:rsidRPr="00A762C7">
        <w:t xml:space="preserve"> </w:t>
      </w:r>
      <w:r w:rsidR="00F939DC">
        <w:t>from</w:t>
      </w:r>
      <w:r w:rsidR="00BC649D" w:rsidRPr="00A762C7">
        <w:t xml:space="preserve"> the peace process</w:t>
      </w:r>
      <w:r w:rsidR="007E044F" w:rsidRPr="00A762C7">
        <w:t xml:space="preserve"> and transitional justice debates</w:t>
      </w:r>
      <w:r w:rsidR="00BC649D" w:rsidRPr="00A762C7">
        <w:t>.</w:t>
      </w:r>
    </w:p>
    <w:p w14:paraId="2A4E87D2" w14:textId="49808830" w:rsidR="0087633E" w:rsidRPr="00A762C7" w:rsidRDefault="00687BF4" w:rsidP="00527284">
      <w:pPr>
        <w:autoSpaceDE w:val="0"/>
        <w:autoSpaceDN w:val="0"/>
        <w:adjustRightInd w:val="0"/>
        <w:spacing w:line="480" w:lineRule="auto"/>
        <w:ind w:firstLine="709"/>
        <w:jc w:val="both"/>
      </w:pPr>
      <w:r w:rsidRPr="00A762C7">
        <w:t xml:space="preserve">More generally, </w:t>
      </w:r>
      <w:r w:rsidR="008170D0" w:rsidRPr="00A762C7">
        <w:t>war</w:t>
      </w:r>
      <w:r w:rsidR="00822FB4" w:rsidRPr="00A762C7">
        <w:t>-</w:t>
      </w:r>
      <w:r w:rsidR="002D0AE9">
        <w:t xml:space="preserve">related experiences, except IDP status, </w:t>
      </w:r>
      <w:r w:rsidR="008170D0" w:rsidRPr="00A762C7">
        <w:t xml:space="preserve">are unrelated to the levels of acceptance of cohabitation. </w:t>
      </w:r>
      <w:r w:rsidRPr="00A762C7">
        <w:t xml:space="preserve">This may </w:t>
      </w:r>
      <w:r w:rsidR="0087633E" w:rsidRPr="00A762C7">
        <w:t>seem surprising</w:t>
      </w:r>
      <w:r w:rsidR="00513431" w:rsidRPr="00A762C7">
        <w:t>,</w:t>
      </w:r>
      <w:r w:rsidR="0087633E" w:rsidRPr="00A762C7">
        <w:t xml:space="preserve"> but it might be indicative of th</w:t>
      </w:r>
      <w:r w:rsidR="00822E82" w:rsidRPr="00A762C7">
        <w:t xml:space="preserve">e role </w:t>
      </w:r>
      <w:r w:rsidRPr="00A762C7">
        <w:t xml:space="preserve">of </w:t>
      </w:r>
      <w:r w:rsidR="00822E82" w:rsidRPr="00A762C7">
        <w:t xml:space="preserve">extra-individual factors </w:t>
      </w:r>
      <w:r w:rsidR="0087633E" w:rsidRPr="00A762C7">
        <w:t xml:space="preserve">and ideological apparatuses </w:t>
      </w:r>
      <w:r w:rsidR="00822E82" w:rsidRPr="00A762C7">
        <w:t xml:space="preserve">in shaping </w:t>
      </w:r>
      <w:r w:rsidR="0087633E" w:rsidRPr="00A762C7">
        <w:t xml:space="preserve">collective </w:t>
      </w:r>
      <w:r w:rsidR="005C35F5" w:rsidRPr="00A762C7">
        <w:t xml:space="preserve">trauma and memory of </w:t>
      </w:r>
      <w:r w:rsidR="0087633E" w:rsidRPr="00A762C7">
        <w:t xml:space="preserve">victimization </w:t>
      </w:r>
      <w:r w:rsidRPr="00A762C7">
        <w:t>rather than</w:t>
      </w:r>
      <w:r w:rsidR="00E43E86" w:rsidRPr="00A762C7">
        <w:t xml:space="preserve"> the</w:t>
      </w:r>
      <w:r w:rsidR="005C35F5" w:rsidRPr="00A762C7">
        <w:t xml:space="preserve"> personal</w:t>
      </w:r>
      <w:r w:rsidR="00E43E86" w:rsidRPr="00A762C7">
        <w:t xml:space="preserve"> experience</w:t>
      </w:r>
      <w:r w:rsidR="00A24D1F" w:rsidRPr="00A762C7">
        <w:t xml:space="preserve"> of war</w:t>
      </w:r>
      <w:r w:rsidR="0087633E" w:rsidRPr="00A762C7">
        <w:t>.</w:t>
      </w:r>
      <w:r w:rsidR="005C35F5" w:rsidRPr="00A762C7">
        <w:t xml:space="preserve"> This is supported </w:t>
      </w:r>
      <w:r w:rsidR="00332AB5" w:rsidRPr="00A762C7">
        <w:t>by the</w:t>
      </w:r>
      <w:r w:rsidR="005C35F5" w:rsidRPr="00A762C7">
        <w:t xml:space="preserve"> </w:t>
      </w:r>
      <w:r w:rsidR="008170D0" w:rsidRPr="00A762C7">
        <w:t xml:space="preserve">fact that the only </w:t>
      </w:r>
      <w:r w:rsidR="005C35F5" w:rsidRPr="00A762C7">
        <w:t xml:space="preserve">significant findings </w:t>
      </w:r>
      <w:r w:rsidR="00A26D37" w:rsidRPr="00A762C7">
        <w:t xml:space="preserve">of war experiences </w:t>
      </w:r>
      <w:r w:rsidR="00EE7002" w:rsidRPr="00A762C7">
        <w:t>a</w:t>
      </w:r>
      <w:r w:rsidR="005C35F5" w:rsidRPr="00A762C7">
        <w:t>re related to family</w:t>
      </w:r>
      <w:r w:rsidR="00EE7002" w:rsidRPr="00A762C7">
        <w:t>,</w:t>
      </w:r>
      <w:r w:rsidR="005C35F5" w:rsidRPr="00A762C7">
        <w:t xml:space="preserve"> not self, a finding </w:t>
      </w:r>
      <w:r w:rsidR="00093A91" w:rsidRPr="00A762C7">
        <w:t>suggesting</w:t>
      </w:r>
      <w:r w:rsidR="005C35F5" w:rsidRPr="00A762C7">
        <w:t xml:space="preserve"> that victimization which goes beyond the personal might be more important </w:t>
      </w:r>
      <w:r w:rsidR="00EE7002" w:rsidRPr="00A762C7">
        <w:t xml:space="preserve">than </w:t>
      </w:r>
      <w:r w:rsidR="005C35F5" w:rsidRPr="00A762C7">
        <w:t>per</w:t>
      </w:r>
      <w:r w:rsidR="00093A91" w:rsidRPr="00A762C7">
        <w:t xml:space="preserve">sonal experience in predicting </w:t>
      </w:r>
      <w:r w:rsidR="002D0AE9">
        <w:t>tolerance</w:t>
      </w:r>
      <w:r w:rsidR="005C35F5" w:rsidRPr="00A762C7">
        <w:t xml:space="preserve">. </w:t>
      </w:r>
      <w:r w:rsidR="00CC4709" w:rsidRPr="00527284">
        <w:t xml:space="preserve">It is also possible that the passage of time in Cyprus </w:t>
      </w:r>
      <w:r w:rsidR="00CC4709" w:rsidRPr="00527284">
        <w:lastRenderedPageBreak/>
        <w:t xml:space="preserve">has allowed individuals to </w:t>
      </w:r>
      <w:r w:rsidR="00527284" w:rsidRPr="00527284">
        <w:t xml:space="preserve">developed a “post-transitional justice” understanding of the situation as demonstrated for instance in the case of Spain where individuals and groups have to deal with the past but decades after the traumatic events took place (Aguilar </w:t>
      </w:r>
      <w:r w:rsidR="00CC4709" w:rsidRPr="00527284">
        <w:t>2008</w:t>
      </w:r>
      <w:r w:rsidR="00890A50">
        <w:t xml:space="preserve">; </w:t>
      </w:r>
      <w:r w:rsidR="00890A50" w:rsidRPr="00527284">
        <w:t>Kovras 2014</w:t>
      </w:r>
      <w:r w:rsidR="00CC4709" w:rsidRPr="00527284">
        <w:t>)</w:t>
      </w:r>
      <w:r w:rsidR="00527284" w:rsidRPr="00527284">
        <w:t xml:space="preserve">. </w:t>
      </w:r>
      <w:r w:rsidR="00EE7002" w:rsidRPr="00A762C7">
        <w:t>Likely</w:t>
      </w:r>
      <w:r w:rsidR="005C35F5" w:rsidRPr="00A762C7">
        <w:t xml:space="preserve"> what matters more is the meaning attributed to a personal war</w:t>
      </w:r>
      <w:r w:rsidR="00EE7002" w:rsidRPr="00A762C7">
        <w:t>-</w:t>
      </w:r>
      <w:r w:rsidR="00F601D7">
        <w:t>related experience (co-author</w:t>
      </w:r>
      <w:r w:rsidR="001C28B3" w:rsidRPr="00A762C7">
        <w:t xml:space="preserve"> et al</w:t>
      </w:r>
      <w:r w:rsidR="00EE7002" w:rsidRPr="00A762C7">
        <w:t>.</w:t>
      </w:r>
      <w:r w:rsidR="001C28B3" w:rsidRPr="00A762C7">
        <w:t xml:space="preserve">, 2017) or </w:t>
      </w:r>
      <w:r w:rsidR="00EE7002" w:rsidRPr="00A762C7">
        <w:t>the meaning given to it</w:t>
      </w:r>
      <w:r w:rsidR="001C28B3" w:rsidRPr="00A762C7">
        <w:t xml:space="preserve"> in a future</w:t>
      </w:r>
      <w:r w:rsidR="00026AB6" w:rsidRPr="00A762C7">
        <w:t>-</w:t>
      </w:r>
      <w:r w:rsidR="001C28B3" w:rsidRPr="00A762C7">
        <w:t xml:space="preserve">oriented </w:t>
      </w:r>
      <w:r w:rsidR="00871A8A">
        <w:t xml:space="preserve">project of </w:t>
      </w:r>
      <w:r w:rsidR="001C28B3" w:rsidRPr="00A762C7">
        <w:t>reconciliation. T</w:t>
      </w:r>
      <w:r w:rsidR="00A24D1F" w:rsidRPr="00A762C7">
        <w:t>he latter point is</w:t>
      </w:r>
      <w:r w:rsidR="001C28B3" w:rsidRPr="00A762C7">
        <w:t xml:space="preserve"> more </w:t>
      </w:r>
      <w:r w:rsidR="00EE7002" w:rsidRPr="00A762C7">
        <w:t>apparent</w:t>
      </w:r>
      <w:r w:rsidR="001C28B3" w:rsidRPr="00A762C7">
        <w:t xml:space="preserve"> when we focus on G</w:t>
      </w:r>
      <w:r w:rsidR="008170D0" w:rsidRPr="00A762C7">
        <w:t>reek Cypriot</w:t>
      </w:r>
      <w:r w:rsidR="001C28B3" w:rsidRPr="00A762C7">
        <w:t xml:space="preserve"> IDPs (Table 3). </w:t>
      </w:r>
      <w:r w:rsidR="00EE7002" w:rsidRPr="00A762C7">
        <w:t>A</w:t>
      </w:r>
      <w:r w:rsidR="001C28B3" w:rsidRPr="00A762C7">
        <w:t>n important variable</w:t>
      </w:r>
      <w:r w:rsidR="0087633E" w:rsidRPr="00A762C7">
        <w:t xml:space="preserve"> that differentiate</w:t>
      </w:r>
      <w:r w:rsidR="001C28B3" w:rsidRPr="00A762C7">
        <w:t>s</w:t>
      </w:r>
      <w:r w:rsidR="0087633E" w:rsidRPr="00A762C7">
        <w:t xml:space="preserve"> one individual from another</w:t>
      </w:r>
      <w:r w:rsidR="00513431" w:rsidRPr="00A762C7">
        <w:t xml:space="preserve"> </w:t>
      </w:r>
      <w:r w:rsidR="0087633E" w:rsidRPr="00A762C7">
        <w:t xml:space="preserve">is the intention to return and levels of intergroup contact with members of the </w:t>
      </w:r>
      <w:r w:rsidR="00822FB4" w:rsidRPr="00A762C7">
        <w:t>TC</w:t>
      </w:r>
      <w:r w:rsidR="0087633E" w:rsidRPr="00A762C7">
        <w:t xml:space="preserve"> community.</w:t>
      </w:r>
      <w:r w:rsidR="00E43E86" w:rsidRPr="00A762C7">
        <w:t xml:space="preserve"> Return intentions of possible minority returnees and present levels of intergroup contact with Turkish Cypriots are clearly related </w:t>
      </w:r>
      <w:r w:rsidR="00A24D1F" w:rsidRPr="00A762C7">
        <w:t>to the outcome</w:t>
      </w:r>
      <w:r w:rsidR="00EE7002" w:rsidRPr="00A762C7">
        <w:t>;</w:t>
      </w:r>
      <w:r w:rsidR="00E43E86" w:rsidRPr="00A762C7">
        <w:t xml:space="preserve"> they complement each other in the formulation of more </w:t>
      </w:r>
      <w:r w:rsidR="008170D0" w:rsidRPr="00A762C7">
        <w:t>acceptance of cohabitation with</w:t>
      </w:r>
      <w:r w:rsidR="00A24D1F" w:rsidRPr="00A762C7">
        <w:t xml:space="preserve"> </w:t>
      </w:r>
      <w:r w:rsidR="00E43E86" w:rsidRPr="00A762C7">
        <w:t>TCs</w:t>
      </w:r>
      <w:r w:rsidR="00A24D1F" w:rsidRPr="00A762C7">
        <w:t>.</w:t>
      </w:r>
    </w:p>
    <w:p w14:paraId="21BD4860" w14:textId="77777777" w:rsidR="00D60FB7" w:rsidRPr="00A762C7" w:rsidRDefault="004C7A2C" w:rsidP="00210D9E">
      <w:pPr>
        <w:spacing w:line="480" w:lineRule="auto"/>
        <w:ind w:firstLine="709"/>
        <w:jc w:val="both"/>
      </w:pPr>
      <w:r w:rsidRPr="00A762C7">
        <w:t>Study 2 test</w:t>
      </w:r>
      <w:r w:rsidR="00822FB4" w:rsidRPr="00A762C7">
        <w:t>s</w:t>
      </w:r>
      <w:r w:rsidRPr="00A762C7">
        <w:t xml:space="preserve"> similar models in the Turkish Cypriot community. </w:t>
      </w:r>
      <w:r w:rsidR="00EE7002" w:rsidRPr="00A762C7">
        <w:t>We f</w:t>
      </w:r>
      <w:r w:rsidR="00822FB4" w:rsidRPr="00A762C7">
        <w:t>i</w:t>
      </w:r>
      <w:r w:rsidR="00EE7002" w:rsidRPr="00A762C7">
        <w:t>nd</w:t>
      </w:r>
      <w:r w:rsidR="00D60FB7" w:rsidRPr="00A762C7">
        <w:t xml:space="preserve"> that the levels of </w:t>
      </w:r>
      <w:r w:rsidR="00093A17" w:rsidRPr="00A762C7">
        <w:t>acceptance</w:t>
      </w:r>
      <w:r w:rsidR="00D60FB7" w:rsidRPr="00A762C7">
        <w:t xml:space="preserve"> </w:t>
      </w:r>
      <w:r w:rsidR="00822FB4" w:rsidRPr="00A762C7">
        <w:t xml:space="preserve">expressed by </w:t>
      </w:r>
      <w:r w:rsidR="00D60FB7" w:rsidRPr="00A762C7">
        <w:t>the four subcategories of voters (</w:t>
      </w:r>
      <w:r w:rsidR="00EE7002" w:rsidRPr="00A762C7">
        <w:t xml:space="preserve">indigenous </w:t>
      </w:r>
      <w:r w:rsidR="00D60FB7" w:rsidRPr="00A762C7">
        <w:t xml:space="preserve">IDPs, </w:t>
      </w:r>
      <w:r w:rsidR="00EE7002" w:rsidRPr="00A762C7">
        <w:t>indigenous non-</w:t>
      </w:r>
      <w:r w:rsidR="00D60FB7" w:rsidRPr="00A762C7">
        <w:t xml:space="preserve">IDPs, </w:t>
      </w:r>
      <w:r w:rsidR="00EE7002" w:rsidRPr="00A762C7">
        <w:t>mixed background</w:t>
      </w:r>
      <w:r w:rsidR="00D60FB7" w:rsidRPr="00A762C7">
        <w:t xml:space="preserve">, Turkish settlers) </w:t>
      </w:r>
      <w:r w:rsidR="00822FB4" w:rsidRPr="00A762C7">
        <w:t xml:space="preserve">do </w:t>
      </w:r>
      <w:r w:rsidR="00D60FB7" w:rsidRPr="00A762C7">
        <w:t>not differ significantly</w:t>
      </w:r>
      <w:r w:rsidR="00DB1A9D" w:rsidRPr="00A762C7">
        <w:t>. This</w:t>
      </w:r>
      <w:r w:rsidR="00D60FB7" w:rsidRPr="00A762C7">
        <w:t xml:space="preserve"> suggests that the Turkish settlers already granted citizenship and those of mixed background do not differ significantly in their </w:t>
      </w:r>
      <w:r w:rsidR="00026AB6" w:rsidRPr="00A762C7">
        <w:t xml:space="preserve">preparedness </w:t>
      </w:r>
      <w:r w:rsidR="00D60FB7" w:rsidRPr="00A762C7">
        <w:t>for cohabitation with Greek Cypriots</w:t>
      </w:r>
      <w:r w:rsidR="00026AB6" w:rsidRPr="00A762C7">
        <w:t>,</w:t>
      </w:r>
      <w:r w:rsidR="00D60FB7" w:rsidRPr="00A762C7">
        <w:t xml:space="preserve"> an indication that in a future referendum vote they will not vote </w:t>
      </w:r>
      <w:r w:rsidR="00D60FB7" w:rsidRPr="00A762C7">
        <w:rPr>
          <w:i/>
        </w:rPr>
        <w:t>en bloc</w:t>
      </w:r>
      <w:r w:rsidR="00D60FB7" w:rsidRPr="00A762C7">
        <w:t xml:space="preserve"> against the solution </w:t>
      </w:r>
      <w:r w:rsidR="00EE7002" w:rsidRPr="00A762C7">
        <w:t xml:space="preserve">even </w:t>
      </w:r>
      <w:r w:rsidR="00D60FB7" w:rsidRPr="00A762C7">
        <w:t xml:space="preserve">if advised to do so by Turkey, as often assumed by Greek Cypriots. </w:t>
      </w:r>
    </w:p>
    <w:p w14:paraId="758E507B" w14:textId="54974308" w:rsidR="00DB671E" w:rsidRPr="00A762C7" w:rsidRDefault="00EE7002" w:rsidP="00210D9E">
      <w:pPr>
        <w:spacing w:line="480" w:lineRule="auto"/>
        <w:ind w:firstLine="709"/>
        <w:jc w:val="both"/>
      </w:pPr>
      <w:r w:rsidRPr="00A762C7">
        <w:t>Equally interesting is</w:t>
      </w:r>
      <w:r w:rsidR="00DB671E" w:rsidRPr="00A762C7">
        <w:t xml:space="preserve"> the gender effect</w:t>
      </w:r>
      <w:r w:rsidRPr="00A762C7">
        <w:t xml:space="preserve"> – </w:t>
      </w:r>
      <w:r w:rsidR="00DB671E" w:rsidRPr="00A762C7">
        <w:t xml:space="preserve">the reverse of that in the GC community. </w:t>
      </w:r>
      <w:r w:rsidR="00822FB4" w:rsidRPr="00A762C7">
        <w:t>Female TCs</w:t>
      </w:r>
      <w:r w:rsidR="00DB671E" w:rsidRPr="00A762C7">
        <w:t xml:space="preserve"> are more </w:t>
      </w:r>
      <w:r w:rsidR="00E55446" w:rsidRPr="00A762C7">
        <w:t>accepting</w:t>
      </w:r>
      <w:r w:rsidR="00DB671E" w:rsidRPr="00A762C7">
        <w:t xml:space="preserve"> of cohabitation </w:t>
      </w:r>
      <w:r w:rsidRPr="00A762C7">
        <w:t>than</w:t>
      </w:r>
      <w:r w:rsidR="00DB671E" w:rsidRPr="00A762C7">
        <w:t xml:space="preserve"> </w:t>
      </w:r>
      <w:r w:rsidR="00822FB4" w:rsidRPr="00A762C7">
        <w:t>male TCs (Table 4),</w:t>
      </w:r>
      <w:r w:rsidR="00DB671E" w:rsidRPr="00A762C7">
        <w:t xml:space="preserve"> </w:t>
      </w:r>
      <w:r w:rsidR="00822FB4" w:rsidRPr="00A762C7">
        <w:t xml:space="preserve">a </w:t>
      </w:r>
      <w:r w:rsidR="00DB671E" w:rsidRPr="00A762C7">
        <w:t xml:space="preserve">finding unrelated to views </w:t>
      </w:r>
      <w:r w:rsidRPr="00A762C7">
        <w:t xml:space="preserve">of </w:t>
      </w:r>
      <w:r w:rsidR="00DB671E" w:rsidRPr="00A762C7">
        <w:t xml:space="preserve">transitional justice. </w:t>
      </w:r>
      <w:r w:rsidRPr="00A762C7">
        <w:t>Possibly,</w:t>
      </w:r>
      <w:r w:rsidR="00DB671E" w:rsidRPr="00A762C7">
        <w:t xml:space="preserve"> the increasing efforts </w:t>
      </w:r>
      <w:r w:rsidRPr="00A762C7">
        <w:t xml:space="preserve">by Turkey in </w:t>
      </w:r>
      <w:r w:rsidR="00DB671E" w:rsidRPr="00A762C7">
        <w:t xml:space="preserve">the last decade </w:t>
      </w:r>
      <w:r w:rsidRPr="00A762C7">
        <w:t>(e.g. mosques and Koran courses funded by Turkey) are</w:t>
      </w:r>
      <w:r w:rsidR="00DB671E" w:rsidRPr="00A762C7">
        <w:t xml:space="preserve"> threat</w:t>
      </w:r>
      <w:r w:rsidRPr="00A762C7">
        <w:t>ening</w:t>
      </w:r>
      <w:r w:rsidR="00DB671E" w:rsidRPr="00A762C7">
        <w:t xml:space="preserve"> the </w:t>
      </w:r>
      <w:r w:rsidR="00A26D37" w:rsidRPr="00A762C7">
        <w:t xml:space="preserve">secular </w:t>
      </w:r>
      <w:r w:rsidR="00DB671E" w:rsidRPr="00A762C7">
        <w:t xml:space="preserve">status of women in the TC community. </w:t>
      </w:r>
      <w:r w:rsidRPr="00A762C7">
        <w:t>C</w:t>
      </w:r>
      <w:r w:rsidR="00DB671E" w:rsidRPr="00A762C7">
        <w:t>ohabitation with GCs could</w:t>
      </w:r>
      <w:r w:rsidRPr="00A762C7">
        <w:t>,</w:t>
      </w:r>
      <w:r w:rsidR="00DB671E" w:rsidRPr="00A762C7">
        <w:t xml:space="preserve"> in this context</w:t>
      </w:r>
      <w:r w:rsidRPr="00A762C7">
        <w:t>,</w:t>
      </w:r>
      <w:r w:rsidR="00DB671E" w:rsidRPr="00A762C7">
        <w:t xml:space="preserve"> be seen as increasing the chances of maintaining the secular and liberal values of the Turkish Cypriot </w:t>
      </w:r>
      <w:r w:rsidR="00DB671E" w:rsidRPr="00A762C7">
        <w:lastRenderedPageBreak/>
        <w:t>community</w:t>
      </w:r>
      <w:r w:rsidRPr="00A762C7">
        <w:t>;</w:t>
      </w:r>
      <w:r w:rsidR="006A7289" w:rsidRPr="00A762C7">
        <w:t xml:space="preserve"> this hypothesis </w:t>
      </w:r>
      <w:r w:rsidR="00F939DC">
        <w:t>as well as the related causal mechanisms outlined in the special issue (</w:t>
      </w:r>
      <w:r w:rsidR="00F939DC" w:rsidRPr="00D93C19">
        <w:rPr>
          <w:color w:val="000000"/>
        </w:rPr>
        <w:t>Koinova and Karabegovic 2019)</w:t>
      </w:r>
      <w:r w:rsidR="00F939DC">
        <w:rPr>
          <w:color w:val="000000"/>
        </w:rPr>
        <w:t xml:space="preserve"> </w:t>
      </w:r>
      <w:r w:rsidRPr="00A762C7">
        <w:t>require</w:t>
      </w:r>
      <w:r w:rsidR="006A7289" w:rsidRPr="00A762C7">
        <w:t xml:space="preserve"> further exploration</w:t>
      </w:r>
      <w:r w:rsidR="00DB671E" w:rsidRPr="00A762C7">
        <w:t>.</w:t>
      </w:r>
    </w:p>
    <w:p w14:paraId="6FB27511" w14:textId="2E1B8F0C" w:rsidR="006F3323" w:rsidRPr="00A762C7" w:rsidRDefault="004E17BA" w:rsidP="00210D9E">
      <w:pPr>
        <w:spacing w:line="480" w:lineRule="auto"/>
        <w:ind w:firstLine="709"/>
        <w:jc w:val="both"/>
      </w:pPr>
      <w:r w:rsidRPr="00A762C7">
        <w:t xml:space="preserve">As </w:t>
      </w:r>
      <w:r w:rsidR="00822FB4" w:rsidRPr="00A762C7">
        <w:t>among the</w:t>
      </w:r>
      <w:r w:rsidRPr="00A762C7">
        <w:t xml:space="preserve"> Greek Cypriots</w:t>
      </w:r>
      <w:r w:rsidR="006A09EF" w:rsidRPr="00A762C7">
        <w:t>,</w:t>
      </w:r>
      <w:r w:rsidRPr="00A762C7">
        <w:t xml:space="preserve"> </w:t>
      </w:r>
      <w:r w:rsidR="00EE7002" w:rsidRPr="00A762C7">
        <w:t xml:space="preserve">TCs’ </w:t>
      </w:r>
      <w:r w:rsidRPr="00A762C7">
        <w:t xml:space="preserve">perceptions of transitional justice </w:t>
      </w:r>
      <w:r w:rsidR="00822FB4" w:rsidRPr="00A762C7">
        <w:t>a</w:t>
      </w:r>
      <w:r w:rsidRPr="00A762C7">
        <w:t xml:space="preserve">re a significant predictor of </w:t>
      </w:r>
      <w:r w:rsidR="00093A17" w:rsidRPr="00A762C7">
        <w:t>acceptance</w:t>
      </w:r>
      <w:r w:rsidRPr="00A762C7">
        <w:t xml:space="preserve">. </w:t>
      </w:r>
      <w:r w:rsidR="00EE7002" w:rsidRPr="00A762C7">
        <w:t>N</w:t>
      </w:r>
      <w:r w:rsidRPr="00A762C7">
        <w:t xml:space="preserve">otions of retributive justice </w:t>
      </w:r>
      <w:r w:rsidR="00822FB4" w:rsidRPr="00A762C7">
        <w:t xml:space="preserve">are </w:t>
      </w:r>
      <w:r w:rsidR="00EE7002" w:rsidRPr="00A762C7">
        <w:t xml:space="preserve">again </w:t>
      </w:r>
      <w:r w:rsidR="006F3323" w:rsidRPr="00A762C7">
        <w:t xml:space="preserve">predictive of less </w:t>
      </w:r>
      <w:r w:rsidR="00093A17" w:rsidRPr="00A762C7">
        <w:t>acceptance</w:t>
      </w:r>
      <w:r w:rsidR="00EE7002" w:rsidRPr="00A762C7">
        <w:t>,</w:t>
      </w:r>
      <w:r w:rsidR="006F3323" w:rsidRPr="00A762C7">
        <w:t xml:space="preserve"> with the exception of a counter</w:t>
      </w:r>
      <w:r w:rsidR="007E044F" w:rsidRPr="00A762C7">
        <w:t>-</w:t>
      </w:r>
      <w:r w:rsidR="0097315E" w:rsidRPr="00A762C7">
        <w:t>intuitive</w:t>
      </w:r>
      <w:r w:rsidR="006F3323" w:rsidRPr="00A762C7">
        <w:t xml:space="preserve"> finding for the sample of Turkish settlers</w:t>
      </w:r>
      <w:r w:rsidR="00EE7002" w:rsidRPr="00A762C7">
        <w:t>; those</w:t>
      </w:r>
      <w:r w:rsidR="006F3323" w:rsidRPr="00A762C7">
        <w:t xml:space="preserve"> who agree with the statement </w:t>
      </w:r>
      <w:r w:rsidR="00CD1F67" w:rsidRPr="00A762C7">
        <w:t>‘</w:t>
      </w:r>
      <w:r w:rsidR="006F3323" w:rsidRPr="00A762C7">
        <w:t>War criminals should pay financial compensation to their victims</w:t>
      </w:r>
      <w:r w:rsidR="00CD1F67" w:rsidRPr="00A762C7">
        <w:t>’</w:t>
      </w:r>
      <w:r w:rsidR="006F3323" w:rsidRPr="00A762C7">
        <w:t xml:space="preserve"> </w:t>
      </w:r>
      <w:r w:rsidR="00822FB4" w:rsidRPr="00A762C7">
        <w:t xml:space="preserve">are </w:t>
      </w:r>
      <w:r w:rsidR="006F3323" w:rsidRPr="00A762C7">
        <w:t>more likely to accept GCs as their neighbo</w:t>
      </w:r>
      <w:r w:rsidR="007E044F" w:rsidRPr="00A762C7">
        <w:t>u</w:t>
      </w:r>
      <w:r w:rsidR="006F3323" w:rsidRPr="00A762C7">
        <w:t xml:space="preserve">rs. This finding is worth </w:t>
      </w:r>
      <w:r w:rsidR="008A42B0" w:rsidRPr="00A762C7">
        <w:t xml:space="preserve">further </w:t>
      </w:r>
      <w:r w:rsidR="006F3323" w:rsidRPr="00A762C7">
        <w:t>exploration</w:t>
      </w:r>
      <w:r w:rsidR="00EE7002" w:rsidRPr="00A762C7">
        <w:t>,</w:t>
      </w:r>
      <w:r w:rsidR="006F3323" w:rsidRPr="00A762C7">
        <w:t xml:space="preserve"> because there might be an ambiguity in the interpretation. </w:t>
      </w:r>
      <w:r w:rsidR="00EE7002" w:rsidRPr="00A762C7">
        <w:t>F</w:t>
      </w:r>
      <w:r w:rsidR="006F3323" w:rsidRPr="00A762C7">
        <w:t>or example</w:t>
      </w:r>
      <w:r w:rsidR="00EE7002" w:rsidRPr="00A762C7">
        <w:t>,</w:t>
      </w:r>
      <w:r w:rsidR="006F3323" w:rsidRPr="00A762C7">
        <w:t xml:space="preserve"> one might expect that the natural action for war criminals is to be taken to trial</w:t>
      </w:r>
      <w:r w:rsidR="00EE7002" w:rsidRPr="00A762C7">
        <w:t>,</w:t>
      </w:r>
      <w:r w:rsidR="006F3323" w:rsidRPr="00A762C7">
        <w:t xml:space="preserve"> </w:t>
      </w:r>
      <w:r w:rsidR="00EE7002" w:rsidRPr="00A762C7">
        <w:t>given</w:t>
      </w:r>
      <w:r w:rsidR="006F3323" w:rsidRPr="00A762C7">
        <w:t xml:space="preserve"> the severity of their crimes irrespective of how much time </w:t>
      </w:r>
      <w:r w:rsidR="00EE7002" w:rsidRPr="00A762C7">
        <w:t xml:space="preserve">has </w:t>
      </w:r>
      <w:r w:rsidR="006F3323" w:rsidRPr="00A762C7">
        <w:t>passed</w:t>
      </w:r>
      <w:r w:rsidR="00822FB4" w:rsidRPr="00A762C7">
        <w:t>,</w:t>
      </w:r>
      <w:r w:rsidR="006F3323" w:rsidRPr="00A762C7">
        <w:t xml:space="preserve"> as suggested by international law. In this context</w:t>
      </w:r>
      <w:r w:rsidR="00CC3ED3" w:rsidRPr="00A762C7">
        <w:t>,</w:t>
      </w:r>
      <w:r w:rsidR="006F3323" w:rsidRPr="00A762C7">
        <w:t xml:space="preserve"> settling for </w:t>
      </w:r>
      <w:r w:rsidR="00CC3ED3" w:rsidRPr="00A762C7">
        <w:t xml:space="preserve">cash </w:t>
      </w:r>
      <w:r w:rsidR="006F3323" w:rsidRPr="00A762C7">
        <w:t xml:space="preserve">compensation </w:t>
      </w:r>
      <w:r w:rsidR="00012A03" w:rsidRPr="00A762C7">
        <w:t>instead of</w:t>
      </w:r>
      <w:r w:rsidR="00CC3ED3" w:rsidRPr="00A762C7">
        <w:t xml:space="preserve"> seeking</w:t>
      </w:r>
      <w:r w:rsidR="00012A03" w:rsidRPr="00A762C7">
        <w:t xml:space="preserve"> imprisonment </w:t>
      </w:r>
      <w:r w:rsidR="006F3323" w:rsidRPr="00A762C7">
        <w:t xml:space="preserve">would be taking a lenient stance </w:t>
      </w:r>
      <w:r w:rsidR="00012A03" w:rsidRPr="00A762C7">
        <w:t xml:space="preserve">and </w:t>
      </w:r>
      <w:r w:rsidR="00CC3ED3" w:rsidRPr="00A762C7">
        <w:t xml:space="preserve">could be </w:t>
      </w:r>
      <w:r w:rsidR="00012A03" w:rsidRPr="00A762C7">
        <w:t>interpreted as facilitating reconciliation.</w:t>
      </w:r>
      <w:r w:rsidR="0099555A">
        <w:t xml:space="preserve"> </w:t>
      </w:r>
      <w:r w:rsidR="0099555A" w:rsidRPr="0099555A">
        <w:t>Alternatively, it might be the case that some Turkish Cypriots see reparations by Greek Cypriot war criminals in specific as a way of avoiding collective blame of Greek Cypriots as is often done by nationalist circles</w:t>
      </w:r>
      <w:r w:rsidR="006E0EC9">
        <w:t xml:space="preserve"> in the Turkish Cypriot community</w:t>
      </w:r>
      <w:r w:rsidR="0099555A" w:rsidRPr="0099555A">
        <w:t>.</w:t>
      </w:r>
    </w:p>
    <w:p w14:paraId="2C420D14" w14:textId="2E739CCE" w:rsidR="00854BE0" w:rsidRPr="00A762C7" w:rsidRDefault="006F3323" w:rsidP="00210D9E">
      <w:pPr>
        <w:spacing w:line="480" w:lineRule="auto"/>
        <w:ind w:firstLine="709"/>
        <w:jc w:val="both"/>
      </w:pPr>
      <w:r w:rsidRPr="00A762C7">
        <w:t xml:space="preserve">Quality of contact with Greek Cypriots </w:t>
      </w:r>
      <w:r w:rsidR="00822FB4" w:rsidRPr="00A762C7">
        <w:t xml:space="preserve">is </w:t>
      </w:r>
      <w:r w:rsidRPr="00A762C7">
        <w:t>the more con</w:t>
      </w:r>
      <w:r w:rsidR="00936B6E" w:rsidRPr="00A762C7">
        <w:t>sistent and stro</w:t>
      </w:r>
      <w:r w:rsidRPr="00A762C7">
        <w:t xml:space="preserve">nger finding for both </w:t>
      </w:r>
      <w:r w:rsidR="00CC3ED3" w:rsidRPr="00A762C7">
        <w:t xml:space="preserve">TC and TS </w:t>
      </w:r>
      <w:r w:rsidRPr="00A762C7">
        <w:t>communities</w:t>
      </w:r>
      <w:r w:rsidR="00CC3ED3" w:rsidRPr="00A762C7">
        <w:t>. The finding</w:t>
      </w:r>
      <w:r w:rsidRPr="00A762C7">
        <w:t xml:space="preserve"> is expected </w:t>
      </w:r>
      <w:r w:rsidR="00822FB4" w:rsidRPr="00A762C7">
        <w:t>by</w:t>
      </w:r>
      <w:r w:rsidRPr="00A762C7">
        <w:t xml:space="preserve"> the social psychological literature </w:t>
      </w:r>
      <w:r w:rsidR="00CC3ED3" w:rsidRPr="00A762C7">
        <w:t xml:space="preserve">on </w:t>
      </w:r>
      <w:r w:rsidRPr="00A762C7">
        <w:t>co</w:t>
      </w:r>
      <w:r w:rsidR="008A42B0" w:rsidRPr="00A762C7">
        <w:t>ntact abroad (Pettigrew and Tropp</w:t>
      </w:r>
      <w:r w:rsidRPr="00A762C7">
        <w:t xml:space="preserve"> 200</w:t>
      </w:r>
      <w:r w:rsidR="00A762C7">
        <w:t>6</w:t>
      </w:r>
      <w:r w:rsidRPr="00A762C7">
        <w:t>)</w:t>
      </w:r>
      <w:r w:rsidR="004E17BA" w:rsidRPr="00A762C7">
        <w:t xml:space="preserve"> </w:t>
      </w:r>
      <w:r w:rsidR="00936B6E" w:rsidRPr="00A762C7">
        <w:t xml:space="preserve">and in </w:t>
      </w:r>
      <w:r w:rsidR="00936B6E" w:rsidRPr="000C09DF">
        <w:t>Cyprus (</w:t>
      </w:r>
      <w:r w:rsidR="008A42B0" w:rsidRPr="000C09DF">
        <w:t>Co-author</w:t>
      </w:r>
      <w:r w:rsidR="00331944" w:rsidRPr="000C09DF">
        <w:t xml:space="preserve"> and</w:t>
      </w:r>
      <w:r w:rsidR="00936B6E" w:rsidRPr="000C09DF">
        <w:t xml:space="preserve"> </w:t>
      </w:r>
      <w:r w:rsidR="00477F36" w:rsidRPr="000C09DF">
        <w:t>Author A</w:t>
      </w:r>
      <w:r w:rsidR="00936B6E" w:rsidRPr="000C09DF">
        <w:t xml:space="preserve"> 2017).</w:t>
      </w:r>
      <w:r w:rsidR="00012A03" w:rsidRPr="000C09DF">
        <w:t xml:space="preserve"> </w:t>
      </w:r>
      <w:r w:rsidR="00CC3ED3" w:rsidRPr="000C09DF">
        <w:t>A</w:t>
      </w:r>
      <w:r w:rsidR="00012A03" w:rsidRPr="000C09DF">
        <w:t>s</w:t>
      </w:r>
      <w:r w:rsidR="00012A03" w:rsidRPr="00A762C7">
        <w:t xml:space="preserve"> </w:t>
      </w:r>
      <w:r w:rsidR="00CC3ED3" w:rsidRPr="00A762C7">
        <w:t>among</w:t>
      </w:r>
      <w:r w:rsidR="002848C3" w:rsidRPr="00A762C7">
        <w:t xml:space="preserve"> Greek Cypriot IDPs</w:t>
      </w:r>
      <w:r w:rsidR="006A09EF" w:rsidRPr="00A762C7">
        <w:t>,</w:t>
      </w:r>
      <w:r w:rsidR="002848C3" w:rsidRPr="00A762C7">
        <w:t xml:space="preserve"> the intention </w:t>
      </w:r>
      <w:r w:rsidR="00CC3ED3" w:rsidRPr="00A762C7">
        <w:t xml:space="preserve">of </w:t>
      </w:r>
      <w:r w:rsidR="002848C3" w:rsidRPr="00A762C7">
        <w:t xml:space="preserve">minority return </w:t>
      </w:r>
      <w:r w:rsidR="00822FB4" w:rsidRPr="00A762C7">
        <w:t xml:space="preserve">increases </w:t>
      </w:r>
      <w:r w:rsidR="002848C3" w:rsidRPr="00A762C7">
        <w:t xml:space="preserve">the odds of higher levels of </w:t>
      </w:r>
      <w:r w:rsidR="00093A17" w:rsidRPr="00A762C7">
        <w:t>acceptance</w:t>
      </w:r>
      <w:r w:rsidR="002848C3" w:rsidRPr="00A762C7">
        <w:t xml:space="preserve">. </w:t>
      </w:r>
      <w:r w:rsidR="00943F8B" w:rsidRPr="00A762C7">
        <w:t>The findings are also suggestive of a bidirectional effect between future return intentions and present intergroup contact</w:t>
      </w:r>
      <w:r w:rsidR="00CC3ED3" w:rsidRPr="00A762C7">
        <w:t xml:space="preserve">. </w:t>
      </w:r>
      <w:r w:rsidR="00822FB4" w:rsidRPr="00A762C7">
        <w:t>Possibly,</w:t>
      </w:r>
      <w:r w:rsidR="00943F8B" w:rsidRPr="00A762C7">
        <w:t xml:space="preserve"> those </w:t>
      </w:r>
      <w:r w:rsidR="00CC3ED3" w:rsidRPr="00A762C7">
        <w:t xml:space="preserve">who </w:t>
      </w:r>
      <w:r w:rsidR="00943F8B" w:rsidRPr="00A762C7">
        <w:t>intend to embark on minority returns are preparing themselves by establishing friendships with future neighbours and outgroup members more generally</w:t>
      </w:r>
      <w:r w:rsidR="00FA6C6D">
        <w:t>,</w:t>
      </w:r>
      <w:r w:rsidR="00943F8B" w:rsidRPr="00A762C7">
        <w:t xml:space="preserve"> but it is also possible that </w:t>
      </w:r>
      <w:r w:rsidR="00677F3E" w:rsidRPr="00A762C7">
        <w:t xml:space="preserve">intergroup contact through trust building and prejudice reduction increases </w:t>
      </w:r>
      <w:r w:rsidR="00093A17" w:rsidRPr="00A762C7">
        <w:t>acceptance</w:t>
      </w:r>
      <w:r w:rsidR="00677F3E" w:rsidRPr="00A762C7">
        <w:t xml:space="preserve"> and cohabitation</w:t>
      </w:r>
      <w:r w:rsidR="000C09DF">
        <w:t>.</w:t>
      </w:r>
    </w:p>
    <w:p w14:paraId="7CFC9480" w14:textId="77777777" w:rsidR="004C7A2C" w:rsidRPr="00A762C7" w:rsidRDefault="00CC3ED3" w:rsidP="00210D9E">
      <w:pPr>
        <w:spacing w:line="480" w:lineRule="auto"/>
        <w:ind w:firstLine="709"/>
        <w:jc w:val="both"/>
      </w:pPr>
      <w:r w:rsidRPr="00A762C7">
        <w:lastRenderedPageBreak/>
        <w:t xml:space="preserve">For </w:t>
      </w:r>
      <w:r w:rsidR="0037480A" w:rsidRPr="00A762C7">
        <w:t>indigenous</w:t>
      </w:r>
      <w:r w:rsidR="00854BE0" w:rsidRPr="00A762C7">
        <w:t xml:space="preserve"> TCs (Table </w:t>
      </w:r>
      <w:r w:rsidR="00BD0A20">
        <w:t>5</w:t>
      </w:r>
      <w:r w:rsidR="00854BE0" w:rsidRPr="00A762C7">
        <w:t>)</w:t>
      </w:r>
      <w:r w:rsidRPr="00A762C7">
        <w:t>,</w:t>
      </w:r>
      <w:r w:rsidR="00854BE0" w:rsidRPr="00A762C7">
        <w:t xml:space="preserve"> there </w:t>
      </w:r>
      <w:r w:rsidRPr="00A762C7">
        <w:t xml:space="preserve">is </w:t>
      </w:r>
      <w:r w:rsidR="00854BE0" w:rsidRPr="00A762C7">
        <w:t xml:space="preserve">an interesting finding </w:t>
      </w:r>
      <w:r w:rsidRPr="00A762C7">
        <w:t>for the i</w:t>
      </w:r>
      <w:r w:rsidR="00854BE0" w:rsidRPr="00A762C7">
        <w:t>ndirect war</w:t>
      </w:r>
      <w:r w:rsidRPr="00A762C7">
        <w:t>-</w:t>
      </w:r>
      <w:r w:rsidR="00854BE0" w:rsidRPr="00A762C7">
        <w:t>related experience</w:t>
      </w:r>
      <w:r w:rsidRPr="00A762C7">
        <w:t>s</w:t>
      </w:r>
      <w:r w:rsidR="00854BE0" w:rsidRPr="00A762C7">
        <w:t xml:space="preserve"> of close relatives. The</w:t>
      </w:r>
      <w:r w:rsidR="006A09EF" w:rsidRPr="00A762C7">
        <w:t xml:space="preserve"> lack of</w:t>
      </w:r>
      <w:r w:rsidR="00854BE0" w:rsidRPr="00A762C7">
        <w:t xml:space="preserve"> such experiences </w:t>
      </w:r>
      <w:r w:rsidRPr="00A762C7">
        <w:t xml:space="preserve">is </w:t>
      </w:r>
      <w:r w:rsidR="00854BE0" w:rsidRPr="00A762C7">
        <w:t xml:space="preserve">predictive of less </w:t>
      </w:r>
      <w:r w:rsidR="00E55446" w:rsidRPr="00A762C7">
        <w:t>accepting</w:t>
      </w:r>
      <w:r w:rsidR="00854BE0" w:rsidRPr="00A762C7">
        <w:t xml:space="preserve"> attitudes</w:t>
      </w:r>
      <w:r w:rsidRPr="00A762C7">
        <w:t xml:space="preserve">, </w:t>
      </w:r>
      <w:r w:rsidR="00C86324" w:rsidRPr="00A762C7">
        <w:t>which adds support to our previous claim that beyond any personal experience what might be more important is the sense of collective victimisation.</w:t>
      </w:r>
    </w:p>
    <w:p w14:paraId="3632ABCD" w14:textId="636EE613" w:rsidR="001C4F2C" w:rsidRDefault="00114A7B" w:rsidP="00890A50">
      <w:pPr>
        <w:spacing w:line="480" w:lineRule="auto"/>
        <w:ind w:firstLine="709"/>
        <w:jc w:val="both"/>
      </w:pPr>
      <w:r w:rsidRPr="00A762C7">
        <w:t>In the final model with the subsample of voters of Turkish origin</w:t>
      </w:r>
      <w:r w:rsidR="00DB1A9D" w:rsidRPr="00A762C7">
        <w:t>,</w:t>
      </w:r>
      <w:r w:rsidRPr="00A762C7">
        <w:t xml:space="preserve"> only two transitional justice items </w:t>
      </w:r>
      <w:r w:rsidR="0037480A" w:rsidRPr="00A762C7">
        <w:t xml:space="preserve">are </w:t>
      </w:r>
      <w:r w:rsidRPr="00A762C7">
        <w:t xml:space="preserve">significant predictors of </w:t>
      </w:r>
      <w:r w:rsidR="00093A17" w:rsidRPr="00A762C7">
        <w:t>acceptance</w:t>
      </w:r>
      <w:r w:rsidR="00DB1A9D" w:rsidRPr="00A762C7">
        <w:t>,</w:t>
      </w:r>
      <w:r w:rsidR="006C0BAD">
        <w:t xml:space="preserve"> and</w:t>
      </w:r>
      <w:r w:rsidRPr="00A762C7">
        <w:t xml:space="preserve"> a trend</w:t>
      </w:r>
      <w:r w:rsidR="0067076C" w:rsidRPr="00A762C7">
        <w:t xml:space="preserve">, </w:t>
      </w:r>
      <w:r w:rsidR="006C0BAD">
        <w:t xml:space="preserve">related to </w:t>
      </w:r>
      <w:r w:rsidR="006C0BAD" w:rsidRPr="00A762C7">
        <w:t>quality of contact</w:t>
      </w:r>
      <w:r w:rsidRPr="00A762C7">
        <w:t xml:space="preserve">. </w:t>
      </w:r>
      <w:r w:rsidR="00E07C6E" w:rsidRPr="00A762C7">
        <w:t>This time</w:t>
      </w:r>
      <w:r w:rsidR="0067076C" w:rsidRPr="00A762C7">
        <w:t>,</w:t>
      </w:r>
      <w:r w:rsidR="00E07C6E" w:rsidRPr="00A762C7">
        <w:t xml:space="preserve"> amnesty </w:t>
      </w:r>
      <w:r w:rsidR="006C0BAD">
        <w:t xml:space="preserve">was </w:t>
      </w:r>
      <w:r w:rsidR="00E07C6E" w:rsidRPr="00A762C7">
        <w:t xml:space="preserve">not a significant predictor, </w:t>
      </w:r>
      <w:r w:rsidR="0067076C" w:rsidRPr="00A762C7">
        <w:t xml:space="preserve">but </w:t>
      </w:r>
      <w:r w:rsidR="00E07C6E" w:rsidRPr="00A762C7">
        <w:t>the idea of perpetrators having a fair trial and, if found guilty, be</w:t>
      </w:r>
      <w:r w:rsidR="00DB1A9D" w:rsidRPr="00A762C7">
        <w:t>ing</w:t>
      </w:r>
      <w:r w:rsidR="00E07C6E" w:rsidRPr="00A762C7">
        <w:t xml:space="preserve"> harshly punished </w:t>
      </w:r>
      <w:r w:rsidR="006C0BAD">
        <w:t>reduced</w:t>
      </w:r>
      <w:r w:rsidR="0037480A" w:rsidRPr="00A762C7">
        <w:t xml:space="preserve"> </w:t>
      </w:r>
      <w:r w:rsidR="00E55446" w:rsidRPr="00A762C7">
        <w:t>accepting</w:t>
      </w:r>
      <w:r w:rsidR="00E07C6E" w:rsidRPr="00A762C7">
        <w:t xml:space="preserve"> attitudes</w:t>
      </w:r>
      <w:r w:rsidR="0037480A" w:rsidRPr="00A762C7">
        <w:t>,</w:t>
      </w:r>
      <w:r w:rsidR="00DB1A9D" w:rsidRPr="00A762C7">
        <w:t xml:space="preserve"> as predicted</w:t>
      </w:r>
      <w:r w:rsidR="00E07C6E" w:rsidRPr="00A762C7">
        <w:t>.</w:t>
      </w:r>
    </w:p>
    <w:p w14:paraId="3311F45C" w14:textId="77777777" w:rsidR="007B6CBB" w:rsidRPr="00A762C7" w:rsidRDefault="007B6CBB"/>
    <w:p w14:paraId="13D48653" w14:textId="77777777" w:rsidR="00D718F6" w:rsidRDefault="00D718F6" w:rsidP="00210D9E">
      <w:pPr>
        <w:spacing w:line="480" w:lineRule="auto"/>
        <w:jc w:val="both"/>
        <w:rPr>
          <w:b/>
        </w:rPr>
      </w:pPr>
    </w:p>
    <w:p w14:paraId="52D83ECB" w14:textId="7F5FA89D" w:rsidR="0081274E" w:rsidRPr="00A762C7" w:rsidRDefault="00D0179A" w:rsidP="00210D9E">
      <w:pPr>
        <w:spacing w:line="480" w:lineRule="auto"/>
        <w:jc w:val="both"/>
        <w:rPr>
          <w:b/>
        </w:rPr>
      </w:pPr>
      <w:r w:rsidRPr="00A762C7">
        <w:rPr>
          <w:b/>
        </w:rPr>
        <w:t xml:space="preserve">Conclusions </w:t>
      </w:r>
    </w:p>
    <w:p w14:paraId="210DB109" w14:textId="28E5E219" w:rsidR="002B7DB2" w:rsidRDefault="00EB6E94" w:rsidP="002172DC">
      <w:pPr>
        <w:spacing w:line="480" w:lineRule="auto"/>
        <w:jc w:val="both"/>
      </w:pPr>
      <w:r w:rsidRPr="00A762C7">
        <w:t>Our findings have</w:t>
      </w:r>
      <w:r w:rsidR="00A11759">
        <w:t xml:space="preserve"> potential</w:t>
      </w:r>
      <w:r w:rsidR="00342A62" w:rsidRPr="00A762C7">
        <w:t xml:space="preserve"> implications for Cyprus </w:t>
      </w:r>
      <w:r w:rsidRPr="00A762C7">
        <w:t>and elsewhere</w:t>
      </w:r>
      <w:r w:rsidR="00342A62" w:rsidRPr="00A762C7">
        <w:t xml:space="preserve">. </w:t>
      </w:r>
      <w:r w:rsidR="001D4EEA" w:rsidRPr="00A762C7">
        <w:t>Challenging stereotypes</w:t>
      </w:r>
      <w:r w:rsidR="00A11759">
        <w:t xml:space="preserve"> through public education</w:t>
      </w:r>
      <w:r w:rsidR="0091015D" w:rsidRPr="00A762C7">
        <w:t xml:space="preserve"> is imperative</w:t>
      </w:r>
      <w:r w:rsidRPr="00A762C7">
        <w:t>,</w:t>
      </w:r>
      <w:r w:rsidR="0091015D" w:rsidRPr="00A762C7">
        <w:t xml:space="preserve"> </w:t>
      </w:r>
      <w:r w:rsidR="00CC3ED3" w:rsidRPr="00A762C7">
        <w:t xml:space="preserve">especially </w:t>
      </w:r>
      <w:r w:rsidRPr="00A762C7">
        <w:t>as</w:t>
      </w:r>
      <w:r w:rsidR="0091015D" w:rsidRPr="00A762C7">
        <w:t xml:space="preserve"> </w:t>
      </w:r>
      <w:r w:rsidRPr="00A762C7">
        <w:t>t</w:t>
      </w:r>
      <w:r w:rsidR="0091015D" w:rsidRPr="00A762C7">
        <w:t xml:space="preserve">he </w:t>
      </w:r>
      <w:r w:rsidR="003D2DE1">
        <w:t>Greek and Tu</w:t>
      </w:r>
      <w:r w:rsidR="00D80E36">
        <w:t>r</w:t>
      </w:r>
      <w:r w:rsidR="003D2DE1">
        <w:t>kish Cypriot</w:t>
      </w:r>
      <w:r w:rsidR="0091015D" w:rsidRPr="00A762C7">
        <w:t xml:space="preserve"> leaders </w:t>
      </w:r>
      <w:r w:rsidR="00D80E36">
        <w:t xml:space="preserve">have already </w:t>
      </w:r>
      <w:r w:rsidRPr="00A762C7">
        <w:t>agree</w:t>
      </w:r>
      <w:r w:rsidR="003D2DE1">
        <w:t>d</w:t>
      </w:r>
      <w:r w:rsidRPr="00A762C7">
        <w:t xml:space="preserve"> </w:t>
      </w:r>
      <w:r w:rsidR="0091015D" w:rsidRPr="00A762C7">
        <w:t>that the Turkish Cypriot constituent state will have 220,000 citizens</w:t>
      </w:r>
      <w:r w:rsidR="00C86324" w:rsidRPr="00A762C7">
        <w:t xml:space="preserve"> on day one of a possible federal </w:t>
      </w:r>
      <w:r w:rsidR="00A762C7" w:rsidRPr="00A762C7">
        <w:t>arrangement</w:t>
      </w:r>
      <w:r w:rsidR="0091015D" w:rsidRPr="00A762C7">
        <w:t xml:space="preserve">. This number </w:t>
      </w:r>
      <w:r w:rsidR="0037480A" w:rsidRPr="00A762C7">
        <w:t xml:space="preserve">indicates </w:t>
      </w:r>
      <w:r w:rsidR="0091015D" w:rsidRPr="00A762C7">
        <w:t xml:space="preserve">that most if not all Turkish settlers who already have voting rights will </w:t>
      </w:r>
      <w:r w:rsidRPr="00A762C7">
        <w:t>retain these</w:t>
      </w:r>
      <w:r w:rsidR="002D2DAB" w:rsidRPr="00A762C7">
        <w:t xml:space="preserve"> in the federal state.</w:t>
      </w:r>
      <w:r w:rsidR="0081274E" w:rsidRPr="00A762C7">
        <w:rPr>
          <w:b/>
        </w:rPr>
        <w:t xml:space="preserve"> </w:t>
      </w:r>
      <w:r w:rsidR="00C86324" w:rsidRPr="00A762C7">
        <w:rPr>
          <w:bCs/>
          <w:color w:val="000000"/>
        </w:rPr>
        <w:t xml:space="preserve">The </w:t>
      </w:r>
      <w:r w:rsidR="002172DC">
        <w:rPr>
          <w:bCs/>
          <w:color w:val="000000"/>
        </w:rPr>
        <w:t xml:space="preserve">counter-intuitive </w:t>
      </w:r>
      <w:r w:rsidR="00C86324" w:rsidRPr="00A762C7">
        <w:rPr>
          <w:bCs/>
          <w:color w:val="000000"/>
        </w:rPr>
        <w:t xml:space="preserve">finding that acceptance levels of </w:t>
      </w:r>
      <w:r w:rsidR="000C09DF">
        <w:rPr>
          <w:bCs/>
          <w:color w:val="000000"/>
        </w:rPr>
        <w:t>Gree</w:t>
      </w:r>
      <w:r w:rsidR="00D80E36">
        <w:rPr>
          <w:bCs/>
          <w:color w:val="000000"/>
        </w:rPr>
        <w:t>k C</w:t>
      </w:r>
      <w:r w:rsidR="000C09DF">
        <w:rPr>
          <w:bCs/>
          <w:color w:val="000000"/>
        </w:rPr>
        <w:t xml:space="preserve">ypriots by </w:t>
      </w:r>
      <w:r w:rsidR="00C86324" w:rsidRPr="00A762C7">
        <w:rPr>
          <w:bCs/>
          <w:color w:val="000000"/>
        </w:rPr>
        <w:t xml:space="preserve">settlers </w:t>
      </w:r>
      <w:r w:rsidR="000C09DF">
        <w:rPr>
          <w:bCs/>
          <w:color w:val="000000"/>
        </w:rPr>
        <w:t>and by</w:t>
      </w:r>
      <w:r w:rsidR="00C86324" w:rsidRPr="00A762C7">
        <w:rPr>
          <w:bCs/>
          <w:color w:val="000000"/>
        </w:rPr>
        <w:t xml:space="preserve"> native TCs </w:t>
      </w:r>
      <w:r w:rsidR="000C09DF">
        <w:rPr>
          <w:bCs/>
          <w:color w:val="000000"/>
        </w:rPr>
        <w:t xml:space="preserve">do not differ significantly </w:t>
      </w:r>
      <w:r w:rsidR="00C86324" w:rsidRPr="00A762C7">
        <w:rPr>
          <w:bCs/>
          <w:color w:val="000000"/>
        </w:rPr>
        <w:t xml:space="preserve">is encouraging in </w:t>
      </w:r>
      <w:r w:rsidR="00D80E36">
        <w:rPr>
          <w:bCs/>
          <w:color w:val="000000"/>
        </w:rPr>
        <w:t>terms of the prospects of future cohabitation</w:t>
      </w:r>
      <w:r w:rsidR="00C86324" w:rsidRPr="00A762C7">
        <w:rPr>
          <w:bCs/>
          <w:color w:val="000000"/>
        </w:rPr>
        <w:t>.</w:t>
      </w:r>
      <w:r w:rsidR="002D2DAB" w:rsidRPr="00A762C7">
        <w:t xml:space="preserve"> </w:t>
      </w:r>
      <w:r w:rsidR="00A11759">
        <w:t xml:space="preserve">Our observations are also matched by recent media reports in the island suggesting that “the fact that </w:t>
      </w:r>
      <w:r w:rsidR="00A11759" w:rsidRPr="00A11759">
        <w:rPr>
          <w:rFonts w:eastAsia="Times New Roman"/>
          <w:lang w:eastAsia="en-US"/>
        </w:rPr>
        <w:t>more people there are crossing north and south is a boost to the prospects of peaceful co-existence, even in the absence of a settlement.</w:t>
      </w:r>
      <w:r w:rsidR="00A11759">
        <w:t>”</w:t>
      </w:r>
      <w:r w:rsidR="001C4F2C">
        <w:rPr>
          <w:rStyle w:val="FootnoteReference"/>
        </w:rPr>
        <w:footnoteReference w:id="3"/>
      </w:r>
      <w:r w:rsidR="00A11759">
        <w:t xml:space="preserve"> </w:t>
      </w:r>
      <w:r w:rsidR="00D718F6">
        <w:t>Furthermore, o</w:t>
      </w:r>
      <w:r w:rsidR="00D718F6" w:rsidRPr="00A762C7">
        <w:t xml:space="preserve">ur analysis in the GC community indicates room to improve the image of Turkish settlers. </w:t>
      </w:r>
      <w:r w:rsidR="00D718F6">
        <w:t>Previous work has suggested that Greek Cypriots</w:t>
      </w:r>
      <w:r w:rsidR="00D718F6" w:rsidRPr="002B7DB2">
        <w:t xml:space="preserve"> having positive contact with Turkish Cypriots </w:t>
      </w:r>
      <w:r w:rsidR="00D718F6">
        <w:t xml:space="preserve">have also </w:t>
      </w:r>
      <w:r w:rsidR="00D718F6" w:rsidRPr="002B7DB2">
        <w:t>formed more positive attitudes towards Turks from mainland Turkey (Co-author et al., 2008).</w:t>
      </w:r>
      <w:r w:rsidR="00D718F6">
        <w:t xml:space="preserve"> </w:t>
      </w:r>
      <w:r w:rsidR="00D718F6" w:rsidRPr="00A762C7">
        <w:t xml:space="preserve">Given </w:t>
      </w:r>
      <w:r w:rsidR="00D718F6" w:rsidRPr="00A762C7">
        <w:lastRenderedPageBreak/>
        <w:t>the positive effects of contact for all groups surveyed, we suggest the need to implement additional confidence building measures, such as contact schemes</w:t>
      </w:r>
      <w:r w:rsidR="00D718F6">
        <w:t>, new crossing points in isolated areas of the island, school visits</w:t>
      </w:r>
      <w:r w:rsidR="00D718F6" w:rsidRPr="00A762C7">
        <w:t xml:space="preserve"> and dialogue workshops. Discussions</w:t>
      </w:r>
      <w:r w:rsidR="00D718F6">
        <w:t xml:space="preserve"> among professional groups</w:t>
      </w:r>
      <w:r w:rsidR="00D718F6" w:rsidRPr="00A762C7">
        <w:t>, grassroots engagements, and contact schemes could also start in schools, well before university, as our findings po</w:t>
      </w:r>
      <w:r w:rsidR="00723773">
        <w:t xml:space="preserve">int to problems among those </w:t>
      </w:r>
      <w:r w:rsidR="00D718F6" w:rsidRPr="00A762C7">
        <w:t>without a university education</w:t>
      </w:r>
      <w:r w:rsidR="00D718F6">
        <w:t xml:space="preserve">. </w:t>
      </w:r>
    </w:p>
    <w:p w14:paraId="6FFB15E0" w14:textId="66A56B1E" w:rsidR="00883D20" w:rsidRDefault="00D718F6" w:rsidP="00883D20">
      <w:pPr>
        <w:shd w:val="clear" w:color="auto" w:fill="FFFFFF"/>
        <w:spacing w:line="480" w:lineRule="auto"/>
        <w:ind w:firstLine="720"/>
        <w:contextualSpacing/>
        <w:rPr>
          <w:rFonts w:eastAsia="Times New Roman"/>
          <w:color w:val="222222"/>
          <w:lang w:val="en-CA" w:eastAsia="en-CA"/>
        </w:rPr>
      </w:pPr>
      <w:r>
        <w:t xml:space="preserve">As suggested in </w:t>
      </w:r>
      <w:r w:rsidRPr="00D93C19">
        <w:rPr>
          <w:color w:val="000000"/>
        </w:rPr>
        <w:t>Koinova and Karabegovic (2019)</w:t>
      </w:r>
      <w:r>
        <w:rPr>
          <w:color w:val="000000"/>
        </w:rPr>
        <w:t xml:space="preserve"> in this special issue, framing a new post-conflict landscape could be a critical causal mechanism in driving public attitudes and tolerance. </w:t>
      </w:r>
      <w:r>
        <w:t xml:space="preserve">The role of quality contact in this process cannot be overstated. </w:t>
      </w:r>
      <w:r w:rsidRPr="002B7DB2">
        <w:t xml:space="preserve">The </w:t>
      </w:r>
      <w:r>
        <w:t xml:space="preserve">findings are in line with the </w:t>
      </w:r>
      <w:r w:rsidRPr="002B7DB2">
        <w:t xml:space="preserve">meta-analysis by Pettigrew and Tropp (2006) </w:t>
      </w:r>
      <w:r>
        <w:t xml:space="preserve">which </w:t>
      </w:r>
      <w:r w:rsidRPr="002B7DB2">
        <w:t xml:space="preserve">shows that in various parts of the globe, intergroup contact leads to the reduction of prejudice. Contact is reducing prejudice and building trust mostly through the mediation of reduced threats (realistic and symbolic), the reduction of intergroup anxiety and the deconstruction of negative stereotypes (Stephan &amp; Stephan, 2000) but also the promotion of empathy and perspective taking (Tropp et al, 2008). </w:t>
      </w:r>
      <w:r>
        <w:rPr>
          <w:rFonts w:eastAsia="Times New Roman"/>
          <w:color w:val="222222"/>
          <w:lang w:val="en-CA" w:eastAsia="en-CA"/>
        </w:rPr>
        <w:t>Despite the focus of our surveys on</w:t>
      </w:r>
      <w:r w:rsidRPr="00A762C7">
        <w:rPr>
          <w:rFonts w:eastAsia="Times New Roman"/>
          <w:color w:val="222222"/>
          <w:lang w:val="en-CA" w:eastAsia="en-CA"/>
        </w:rPr>
        <w:t xml:space="preserve"> individual victimization</w:t>
      </w:r>
      <w:r>
        <w:rPr>
          <w:rFonts w:eastAsia="Times New Roman"/>
          <w:color w:val="222222"/>
          <w:lang w:val="en-CA" w:eastAsia="en-CA"/>
        </w:rPr>
        <w:t xml:space="preserve">, alternative explanations emphasising the interplay between </w:t>
      </w:r>
      <w:r w:rsidR="00883D20">
        <w:rPr>
          <w:rFonts w:eastAsia="Times New Roman"/>
          <w:color w:val="222222"/>
          <w:lang w:val="en-CA" w:eastAsia="en-CA"/>
        </w:rPr>
        <w:t>victimization</w:t>
      </w:r>
      <w:r>
        <w:rPr>
          <w:rFonts w:eastAsia="Times New Roman"/>
          <w:color w:val="222222"/>
          <w:lang w:val="en-CA" w:eastAsia="en-CA"/>
        </w:rPr>
        <w:t xml:space="preserve"> and </w:t>
      </w:r>
      <w:r w:rsidRPr="00A762C7">
        <w:rPr>
          <w:rFonts w:eastAsia="Times New Roman"/>
          <w:color w:val="222222"/>
          <w:lang w:val="en-CA" w:eastAsia="en-CA"/>
        </w:rPr>
        <w:t>acceptance of cohabitation</w:t>
      </w:r>
      <w:r w:rsidR="00883D20">
        <w:rPr>
          <w:rFonts w:eastAsia="Times New Roman"/>
          <w:color w:val="222222"/>
          <w:lang w:val="en-CA" w:eastAsia="en-CA"/>
        </w:rPr>
        <w:t xml:space="preserve"> have not been supported by findings while those </w:t>
      </w:r>
      <w:r>
        <w:rPr>
          <w:rFonts w:eastAsia="Times New Roman"/>
          <w:color w:val="222222"/>
          <w:lang w:val="en-CA" w:eastAsia="en-CA"/>
        </w:rPr>
        <w:t>support</w:t>
      </w:r>
      <w:r w:rsidR="00883D20">
        <w:rPr>
          <w:rFonts w:eastAsia="Times New Roman"/>
          <w:color w:val="222222"/>
          <w:lang w:val="en-CA" w:eastAsia="en-CA"/>
        </w:rPr>
        <w:t>ing</w:t>
      </w:r>
      <w:r>
        <w:rPr>
          <w:rFonts w:eastAsia="Times New Roman"/>
          <w:color w:val="222222"/>
          <w:lang w:val="en-CA" w:eastAsia="en-CA"/>
        </w:rPr>
        <w:t xml:space="preserve"> peace amnesties </w:t>
      </w:r>
      <w:r w:rsidR="00883D20">
        <w:rPr>
          <w:rFonts w:eastAsia="Times New Roman"/>
          <w:color w:val="222222"/>
          <w:lang w:val="en-CA" w:eastAsia="en-CA"/>
        </w:rPr>
        <w:t xml:space="preserve">were </w:t>
      </w:r>
      <w:r>
        <w:rPr>
          <w:rFonts w:eastAsia="Times New Roman"/>
          <w:color w:val="222222"/>
          <w:lang w:val="en-CA" w:eastAsia="en-CA"/>
        </w:rPr>
        <w:t>more likely to demonstrate tolerance towards outgroup members</w:t>
      </w:r>
      <w:r w:rsidR="00883D20">
        <w:rPr>
          <w:rFonts w:eastAsia="Times New Roman"/>
          <w:color w:val="222222"/>
          <w:lang w:val="en-CA" w:eastAsia="en-CA"/>
        </w:rPr>
        <w:t xml:space="preserve">. </w:t>
      </w:r>
      <w:r w:rsidR="00883D20" w:rsidRPr="00A762C7">
        <w:rPr>
          <w:bCs/>
          <w:color w:val="000000"/>
        </w:rPr>
        <w:t>Th</w:t>
      </w:r>
      <w:r w:rsidR="00883D20">
        <w:rPr>
          <w:bCs/>
          <w:color w:val="000000"/>
        </w:rPr>
        <w:t>us the</w:t>
      </w:r>
      <w:r w:rsidR="00883D20" w:rsidRPr="00A762C7">
        <w:rPr>
          <w:bCs/>
          <w:color w:val="000000"/>
        </w:rPr>
        <w:t xml:space="preserve"> peace process in Cyprus, if successful, could use negotiated transitional justice mechanisms to </w:t>
      </w:r>
      <w:r w:rsidR="00883D20">
        <w:rPr>
          <w:bCs/>
          <w:color w:val="000000"/>
        </w:rPr>
        <w:t>facilitate peaceful coexistence (Yiakinthou 2017)</w:t>
      </w:r>
      <w:r w:rsidR="00883D20" w:rsidRPr="00A762C7">
        <w:rPr>
          <w:bCs/>
          <w:color w:val="000000"/>
        </w:rPr>
        <w:t>.</w:t>
      </w:r>
    </w:p>
    <w:p w14:paraId="41D6B092" w14:textId="5A4239B1" w:rsidR="00CE76AF" w:rsidRPr="00883D20" w:rsidRDefault="00883D20" w:rsidP="00883D20">
      <w:pPr>
        <w:shd w:val="clear" w:color="auto" w:fill="FFFFFF"/>
        <w:spacing w:line="480" w:lineRule="auto"/>
        <w:ind w:firstLine="720"/>
        <w:contextualSpacing/>
        <w:rPr>
          <w:rFonts w:eastAsia="Times New Roman"/>
          <w:color w:val="222222"/>
          <w:lang w:val="en-CA" w:eastAsia="en-CA"/>
        </w:rPr>
      </w:pPr>
      <w:r>
        <w:rPr>
          <w:lang w:val="en-CA"/>
        </w:rPr>
        <w:t>G</w:t>
      </w:r>
      <w:r w:rsidR="00CE76AF" w:rsidRPr="00A762C7">
        <w:t xml:space="preserve">iven the central and </w:t>
      </w:r>
      <w:r w:rsidR="00E94206">
        <w:t xml:space="preserve">potentially </w:t>
      </w:r>
      <w:r w:rsidR="00CE76AF" w:rsidRPr="00A762C7">
        <w:t>causal importanc</w:t>
      </w:r>
      <w:r>
        <w:t xml:space="preserve">e </w:t>
      </w:r>
      <w:r w:rsidR="00CE76AF" w:rsidRPr="00A762C7">
        <w:t>of transitional justice views on acceptance, an important element of contact and dialogue workshops could be the topic of transitional justice</w:t>
      </w:r>
      <w:r w:rsidR="00CE76AF">
        <w:t xml:space="preserve"> itself</w:t>
      </w:r>
      <w:r w:rsidR="00CE76AF" w:rsidRPr="00A762C7">
        <w:t>, especially the possibility of setting up a truth and reconciliation committee with a broader mandate</w:t>
      </w:r>
      <w:r w:rsidR="00CE76AF">
        <w:t xml:space="preserve"> and functioning beyond the conventional remits of restorative and retributive justice; recent TJ literature in Cyprus proposes initiatives </w:t>
      </w:r>
      <w:r w:rsidR="00CE76AF">
        <w:lastRenderedPageBreak/>
        <w:t>complementing each other as alternative arrangements have their pros and cons (</w:t>
      </w:r>
      <w:r w:rsidR="00CE76AF">
        <w:rPr>
          <w:rFonts w:eastAsia="Times New Roman"/>
          <w:lang w:eastAsia="en-US"/>
        </w:rPr>
        <w:t>Yakinthou, 2017; Kovras 2018)</w:t>
      </w:r>
      <w:r w:rsidR="00CE76AF">
        <w:t xml:space="preserve">. Looking beyond our current surveys, a key to reconciliation involving settlers/IDPs is to identify </w:t>
      </w:r>
      <w:r w:rsidR="002172DC">
        <w:t>inclusive</w:t>
      </w:r>
      <w:r w:rsidR="00CE76AF">
        <w:t xml:space="preserve"> </w:t>
      </w:r>
      <w:r>
        <w:t xml:space="preserve">and localized </w:t>
      </w:r>
      <w:r w:rsidR="002172DC">
        <w:t>consultation mechanisms</w:t>
      </w:r>
      <w:r w:rsidR="00CE76AF">
        <w:t xml:space="preserve"> to address land conflicts through the perspectives of those affected directly. </w:t>
      </w:r>
      <w:r w:rsidR="00D718F6">
        <w:t>For instance, local</w:t>
      </w:r>
      <w:r w:rsidR="00CE76AF">
        <w:t xml:space="preserve"> commission</w:t>
      </w:r>
      <w:r w:rsidR="00D718F6">
        <w:t>s</w:t>
      </w:r>
      <w:r w:rsidR="00CE76AF" w:rsidRPr="00A762C7">
        <w:t xml:space="preserve"> </w:t>
      </w:r>
      <w:r w:rsidR="002172DC">
        <w:t>could</w:t>
      </w:r>
      <w:r w:rsidR="00CE76AF" w:rsidRPr="00A762C7">
        <w:t xml:space="preserve"> address disputes between owners and new users and aim for amicable win-win arrangements</w:t>
      </w:r>
      <w:r w:rsidR="00CE76AF">
        <w:t xml:space="preserve"> at the individual level expanding the options available to all individuals affected by the conflict</w:t>
      </w:r>
      <w:r w:rsidR="00CE76AF" w:rsidRPr="00A762C7">
        <w:t xml:space="preserve">. </w:t>
      </w:r>
      <w:r w:rsidR="00747E6A">
        <w:t xml:space="preserve">Given our </w:t>
      </w:r>
      <w:r w:rsidR="002172DC">
        <w:t xml:space="preserve">main </w:t>
      </w:r>
      <w:r w:rsidR="00747E6A">
        <w:t>finding that potential</w:t>
      </w:r>
      <w:r w:rsidR="00747E6A" w:rsidRPr="00A762C7">
        <w:t xml:space="preserve"> return</w:t>
      </w:r>
      <w:r w:rsidR="00747E6A">
        <w:t>ees</w:t>
      </w:r>
      <w:r w:rsidR="00747E6A" w:rsidRPr="00A762C7">
        <w:t xml:space="preserve"> are more accepting of TCs as neighbours than those less likely to return</w:t>
      </w:r>
      <w:r w:rsidR="00747E6A">
        <w:t xml:space="preserve">, </w:t>
      </w:r>
      <w:r>
        <w:t>new</w:t>
      </w:r>
      <w:r w:rsidR="00747E6A">
        <w:t xml:space="preserve"> effective mechanism</w:t>
      </w:r>
      <w:r>
        <w:t>s</w:t>
      </w:r>
      <w:r w:rsidR="00747E6A">
        <w:t xml:space="preserve"> incentivising return will also facilitate </w:t>
      </w:r>
      <w:r w:rsidR="002172DC">
        <w:t xml:space="preserve">intergroup </w:t>
      </w:r>
      <w:r w:rsidR="00747E6A">
        <w:t>tolerance</w:t>
      </w:r>
      <w:r>
        <w:t xml:space="preserve"> and its positive impact in the reunification process</w:t>
      </w:r>
      <w:r w:rsidR="00747E6A">
        <w:t xml:space="preserve">. </w:t>
      </w:r>
    </w:p>
    <w:p w14:paraId="1DC71EED" w14:textId="7AFA3938" w:rsidR="00D80E36" w:rsidRDefault="00D80E36" w:rsidP="008863EC">
      <w:pPr>
        <w:spacing w:line="360" w:lineRule="auto"/>
        <w:rPr>
          <w:i/>
        </w:rPr>
      </w:pPr>
    </w:p>
    <w:p w14:paraId="58243A62" w14:textId="77777777" w:rsidR="00D80E36" w:rsidRPr="00A762C7" w:rsidRDefault="00D80E36" w:rsidP="008863EC">
      <w:pPr>
        <w:spacing w:line="360" w:lineRule="auto"/>
        <w:rPr>
          <w:i/>
        </w:rPr>
      </w:pPr>
    </w:p>
    <w:p w14:paraId="579C90FF" w14:textId="61D23DCE" w:rsidR="00831C01" w:rsidRDefault="00831C01" w:rsidP="00831C01">
      <w:pPr>
        <w:spacing w:line="480" w:lineRule="auto"/>
        <w:rPr>
          <w:b/>
        </w:rPr>
      </w:pPr>
      <w:bookmarkStart w:id="2" w:name="_Hlk508272191"/>
      <w:r w:rsidRPr="00A762C7">
        <w:rPr>
          <w:b/>
        </w:rPr>
        <w:t>References</w:t>
      </w:r>
    </w:p>
    <w:p w14:paraId="117F765D" w14:textId="270A22D1" w:rsidR="00890A50" w:rsidRPr="00890A50" w:rsidRDefault="00890A50" w:rsidP="00890A50">
      <w:pPr>
        <w:rPr>
          <w:rFonts w:eastAsia="Times New Roman"/>
          <w:lang w:eastAsia="en-US"/>
        </w:rPr>
      </w:pPr>
    </w:p>
    <w:p w14:paraId="5AF154CD" w14:textId="319B2474" w:rsidR="00890A50" w:rsidRPr="00890A50" w:rsidRDefault="00890A50" w:rsidP="00890A50">
      <w:pPr>
        <w:spacing w:line="480" w:lineRule="auto"/>
        <w:ind w:left="567" w:hanging="567"/>
      </w:pPr>
      <w:r>
        <w:rPr>
          <w:rFonts w:eastAsia="Times New Roman"/>
          <w:lang w:eastAsia="en-US"/>
        </w:rPr>
        <w:t>Aguilar, Paloma. 2008. “</w:t>
      </w:r>
      <w:r w:rsidRPr="00890A50">
        <w:rPr>
          <w:rFonts w:eastAsia="Times New Roman"/>
          <w:lang w:eastAsia="en-US"/>
        </w:rPr>
        <w:t xml:space="preserve">Transitional or post-transitional justice? Recent developments in the Spanish case." </w:t>
      </w:r>
      <w:r w:rsidRPr="00890A50">
        <w:rPr>
          <w:rFonts w:eastAsia="Times New Roman"/>
          <w:i/>
          <w:iCs/>
          <w:lang w:eastAsia="en-US"/>
        </w:rPr>
        <w:t>South European Society and Politics</w:t>
      </w:r>
      <w:r>
        <w:rPr>
          <w:rFonts w:eastAsia="Times New Roman"/>
          <w:lang w:eastAsia="en-US"/>
        </w:rPr>
        <w:t xml:space="preserve"> 13 (4</w:t>
      </w:r>
      <w:r w:rsidRPr="00890A50">
        <w:rPr>
          <w:rFonts w:eastAsia="Times New Roman"/>
          <w:lang w:eastAsia="en-US"/>
        </w:rPr>
        <w:t>): 417-433</w:t>
      </w:r>
    </w:p>
    <w:p w14:paraId="2C7360B4" w14:textId="77777777" w:rsidR="00831C01" w:rsidRDefault="00831C01" w:rsidP="00831C01">
      <w:pPr>
        <w:spacing w:line="480" w:lineRule="auto"/>
        <w:ind w:left="567" w:hanging="567"/>
      </w:pPr>
      <w:r w:rsidRPr="00A762C7">
        <w:t xml:space="preserve">Allport, Gordon. 1954. </w:t>
      </w:r>
      <w:r w:rsidRPr="00A762C7">
        <w:rPr>
          <w:i/>
        </w:rPr>
        <w:t>The contact hypothesis</w:t>
      </w:r>
      <w:r w:rsidRPr="00A762C7">
        <w:t>. Reading, MA: Addison-Wesley.</w:t>
      </w:r>
    </w:p>
    <w:p w14:paraId="6151999A" w14:textId="77777777" w:rsidR="00831C01" w:rsidRPr="00A762C7" w:rsidRDefault="00831C01" w:rsidP="00831C01">
      <w:pPr>
        <w:spacing w:line="480" w:lineRule="auto"/>
        <w:ind w:left="567" w:hanging="567"/>
      </w:pPr>
      <w:r w:rsidRPr="00A762C7">
        <w:t xml:space="preserve">Anastasiades, Nicos. 2007. </w:t>
      </w:r>
      <w:r w:rsidRPr="00A762C7">
        <w:rPr>
          <w:i/>
        </w:rPr>
        <w:t xml:space="preserve">Republic of Cyprus-Parliament Debates, </w:t>
      </w:r>
      <w:r w:rsidRPr="00A762C7">
        <w:t>July 15</w:t>
      </w:r>
    </w:p>
    <w:p w14:paraId="127E9C57" w14:textId="77777777" w:rsidR="00831C01" w:rsidRPr="00A762C7" w:rsidRDefault="00831C01" w:rsidP="00831C01">
      <w:pPr>
        <w:spacing w:line="480" w:lineRule="auto"/>
        <w:ind w:left="567" w:hanging="567"/>
        <w:rPr>
          <w:lang w:eastAsia="en-US"/>
        </w:rPr>
      </w:pPr>
      <w:r w:rsidRPr="00A762C7">
        <w:rPr>
          <w:rFonts w:eastAsia="Times New Roman"/>
        </w:rPr>
        <w:t xml:space="preserve">Brubaker, Rogers. 1996. </w:t>
      </w:r>
      <w:r w:rsidRPr="00A762C7">
        <w:rPr>
          <w:rFonts w:eastAsia="Times New Roman"/>
          <w:i/>
          <w:iCs/>
        </w:rPr>
        <w:t>Nationalism reframed: Nationhood and the national question in the new Europe</w:t>
      </w:r>
      <w:r w:rsidRPr="00A762C7">
        <w:rPr>
          <w:rFonts w:eastAsia="Times New Roman"/>
        </w:rPr>
        <w:t xml:space="preserve">. Cambridge University Press. </w:t>
      </w:r>
    </w:p>
    <w:p w14:paraId="1E405E98" w14:textId="77777777" w:rsidR="00831C01" w:rsidRPr="00A762C7" w:rsidRDefault="00831C01" w:rsidP="00831C01">
      <w:pPr>
        <w:spacing w:line="480" w:lineRule="auto"/>
        <w:ind w:left="567" w:hanging="567"/>
        <w:rPr>
          <w:lang w:eastAsia="en-US"/>
        </w:rPr>
      </w:pPr>
      <w:r w:rsidRPr="00A762C7">
        <w:rPr>
          <w:rFonts w:eastAsia="Times New Roman"/>
        </w:rPr>
        <w:t xml:space="preserve">Cederman, Lars-Erik, Gleditsch, Kristian, and  Buhaug, Halvard. 2013. </w:t>
      </w:r>
      <w:r w:rsidRPr="00A762C7">
        <w:rPr>
          <w:rFonts w:eastAsia="Times New Roman"/>
          <w:i/>
          <w:iCs/>
        </w:rPr>
        <w:t>Inequality, Grievances, and Civil War</w:t>
      </w:r>
      <w:r w:rsidRPr="00A762C7">
        <w:rPr>
          <w:rFonts w:eastAsia="Times New Roman"/>
        </w:rPr>
        <w:t>. Cambridge University Press.</w:t>
      </w:r>
    </w:p>
    <w:p w14:paraId="2679AE69" w14:textId="77777777" w:rsidR="00831C01" w:rsidRPr="00A762C7" w:rsidRDefault="00831C01" w:rsidP="00831C01">
      <w:pPr>
        <w:spacing w:line="480" w:lineRule="auto"/>
        <w:ind w:left="567" w:hanging="567"/>
      </w:pPr>
      <w:r w:rsidRPr="00A762C7">
        <w:t xml:space="preserve">Chrysostomides, Kypros. 2000. </w:t>
      </w:r>
      <w:r w:rsidRPr="00A762C7">
        <w:rPr>
          <w:i/>
        </w:rPr>
        <w:t>The Republic of Cyprus: A Study of International Law</w:t>
      </w:r>
      <w:r w:rsidRPr="00A762C7">
        <w:t xml:space="preserve">. The Hague: Martinus Nijhoff Publishers. </w:t>
      </w:r>
    </w:p>
    <w:p w14:paraId="2524A6AC" w14:textId="77777777" w:rsidR="00831C01" w:rsidRPr="00A762C7" w:rsidRDefault="00831C01" w:rsidP="00831C01">
      <w:pPr>
        <w:spacing w:line="480" w:lineRule="auto"/>
        <w:ind w:left="567" w:hanging="567"/>
      </w:pPr>
      <w:r w:rsidRPr="00A762C7">
        <w:t xml:space="preserve">Cox, David. and Wermuth, Nanny. 2001. “Some Statistical Aspects of Causality” </w:t>
      </w:r>
      <w:r w:rsidRPr="00A762C7">
        <w:rPr>
          <w:i/>
        </w:rPr>
        <w:t xml:space="preserve">European Sociological Review 17   </w:t>
      </w:r>
      <w:r w:rsidRPr="00A762C7">
        <w:t>(1): 65-74.</w:t>
      </w:r>
    </w:p>
    <w:p w14:paraId="0A1AD4A0" w14:textId="77777777" w:rsidR="00831C01" w:rsidRPr="00A762C7" w:rsidRDefault="00831C01" w:rsidP="00831C01">
      <w:pPr>
        <w:spacing w:line="480" w:lineRule="auto"/>
        <w:ind w:left="567" w:hanging="567"/>
      </w:pPr>
      <w:r w:rsidRPr="00A762C7">
        <w:lastRenderedPageBreak/>
        <w:t xml:space="preserve">Cuco, Alfons. 1994. ‘Report on the Demographic Structure of the Cypriot Communities’, </w:t>
      </w:r>
      <w:r w:rsidRPr="00A762C7">
        <w:rPr>
          <w:i/>
        </w:rPr>
        <w:t>Press and Information Office</w:t>
      </w:r>
      <w:r w:rsidRPr="00A762C7">
        <w:t xml:space="preserve">, </w:t>
      </w:r>
      <w:r w:rsidRPr="00A762C7">
        <w:rPr>
          <w:i/>
        </w:rPr>
        <w:t>Republic of Cyprus</w:t>
      </w:r>
      <w:r w:rsidRPr="00A762C7">
        <w:t xml:space="preserve">, available at </w:t>
      </w:r>
      <w:hyperlink r:id="rId8" w:history="1">
        <w:r w:rsidRPr="00A762C7">
          <w:rPr>
            <w:rStyle w:val="Hyperlink"/>
          </w:rPr>
          <w:t>http://www.moa.gov.cy/MOI/pio/pio.nsf/All/20C7614D06858E9FC2256DC200380113/$file/cuco%20report.pdf?OpenElement</w:t>
        </w:r>
      </w:hyperlink>
      <w:r w:rsidRPr="00A762C7">
        <w:t xml:space="preserve"> accessed May 2009.</w:t>
      </w:r>
    </w:p>
    <w:p w14:paraId="598FB83F" w14:textId="77777777" w:rsidR="00527284" w:rsidRDefault="00831C01" w:rsidP="00527284">
      <w:pPr>
        <w:spacing w:line="480" w:lineRule="auto"/>
        <w:ind w:left="567" w:hanging="567"/>
      </w:pPr>
      <w:r w:rsidRPr="00A762C7">
        <w:t>Dagli, Ilke, 2016 “Securitization of Ethnic Communities in Conflict Environments and its Implications for Peace-Building: the Case of Cyprus, PhD Dissertation University of Warwick</w:t>
      </w:r>
    </w:p>
    <w:p w14:paraId="770D2B6C" w14:textId="103AAA10" w:rsidR="00527284" w:rsidRPr="00527284" w:rsidRDefault="00527284" w:rsidP="00527284">
      <w:pPr>
        <w:spacing w:line="480" w:lineRule="auto"/>
        <w:ind w:left="567" w:hanging="567"/>
      </w:pPr>
      <w:r w:rsidRPr="00527284">
        <w:rPr>
          <w:rFonts w:eastAsia="Times New Roman"/>
          <w:color w:val="000000"/>
          <w:lang w:eastAsia="en-US"/>
        </w:rPr>
        <w:t>Demetriou, Olga. 2018. </w:t>
      </w:r>
      <w:r w:rsidRPr="00527284">
        <w:rPr>
          <w:rFonts w:eastAsia="Times New Roman"/>
          <w:i/>
          <w:iCs/>
          <w:color w:val="000000"/>
          <w:lang w:eastAsia="en-US"/>
        </w:rPr>
        <w:t>Refugeehood and the Postconflict Subject: Reconsidering Minor Losses. </w:t>
      </w:r>
      <w:r w:rsidRPr="00527284">
        <w:rPr>
          <w:rFonts w:eastAsia="Times New Roman"/>
          <w:color w:val="000000"/>
          <w:lang w:eastAsia="en-US"/>
        </w:rPr>
        <w:t>Albany, NY: SUNY Pres</w:t>
      </w:r>
      <w:r>
        <w:rPr>
          <w:rFonts w:eastAsia="Times New Roman"/>
          <w:color w:val="000000"/>
          <w:lang w:eastAsia="en-US"/>
        </w:rPr>
        <w:t>s</w:t>
      </w:r>
    </w:p>
    <w:p w14:paraId="5582128B" w14:textId="77777777" w:rsidR="00831C01" w:rsidRDefault="00831C01" w:rsidP="00831C01">
      <w:pPr>
        <w:spacing w:line="480" w:lineRule="auto"/>
        <w:ind w:left="567" w:hanging="567"/>
        <w:rPr>
          <w:lang w:eastAsia="en-US"/>
        </w:rPr>
      </w:pPr>
      <w:r>
        <w:rPr>
          <w:lang w:eastAsia="en-US"/>
        </w:rPr>
        <w:t xml:space="preserve">European Court of Human Rights, 2003 Annual Report, </w:t>
      </w:r>
      <w:hyperlink r:id="rId9" w:history="1">
        <w:r w:rsidRPr="006F7076">
          <w:rPr>
            <w:rStyle w:val="Hyperlink"/>
            <w:lang w:eastAsia="en-US"/>
          </w:rPr>
          <w:t>https://www.echr.coe.int/Documents/Annual_report_2003_ENG.pdf</w:t>
        </w:r>
      </w:hyperlink>
      <w:r>
        <w:rPr>
          <w:lang w:eastAsia="en-US"/>
        </w:rPr>
        <w:t xml:space="preserve"> </w:t>
      </w:r>
    </w:p>
    <w:p w14:paraId="7A0E45AB" w14:textId="77777777" w:rsidR="00831C01" w:rsidRDefault="00831C01" w:rsidP="00831C01">
      <w:pPr>
        <w:spacing w:line="480" w:lineRule="auto"/>
        <w:ind w:left="567" w:hanging="567"/>
        <w:rPr>
          <w:lang w:eastAsia="en-US"/>
        </w:rPr>
      </w:pPr>
      <w:r>
        <w:rPr>
          <w:lang w:eastAsia="en-US"/>
        </w:rPr>
        <w:t xml:space="preserve">European Court of Human Rights, 2010 Annual Report, </w:t>
      </w:r>
      <w:hyperlink r:id="rId10" w:history="1">
        <w:r w:rsidRPr="006F7076">
          <w:rPr>
            <w:rStyle w:val="Hyperlink"/>
            <w:lang w:eastAsia="en-US"/>
          </w:rPr>
          <w:t>https://www.echr.coe.int/Documents/Annual_report_2010_ENG.pdf</w:t>
        </w:r>
      </w:hyperlink>
      <w:r>
        <w:rPr>
          <w:lang w:eastAsia="en-US"/>
        </w:rPr>
        <w:t xml:space="preserve"> </w:t>
      </w:r>
    </w:p>
    <w:p w14:paraId="10015140" w14:textId="77777777" w:rsidR="00890A50" w:rsidRDefault="00831C01" w:rsidP="00890A50">
      <w:pPr>
        <w:spacing w:line="480" w:lineRule="auto"/>
        <w:ind w:left="567" w:hanging="567"/>
        <w:rPr>
          <w:color w:val="000000"/>
        </w:rPr>
      </w:pPr>
      <w:r w:rsidRPr="00A762C7">
        <w:rPr>
          <w:lang w:eastAsia="en-US"/>
        </w:rPr>
        <w:t>ECJ 2009. ‘Press Release No 39/09</w:t>
      </w:r>
      <w:r w:rsidRPr="00A762C7">
        <w:rPr>
          <w:color w:val="000000"/>
        </w:rPr>
        <w:t xml:space="preserve"> Judgment of the Court of Justice in Case C-420/07 </w:t>
      </w:r>
      <w:r w:rsidRPr="00A762C7">
        <w:rPr>
          <w:i/>
          <w:iCs/>
          <w:color w:val="000000"/>
        </w:rPr>
        <w:t>Meletis Apostolides v. David Charles Orams &amp; Linda Elizabeth Orams</w:t>
      </w:r>
      <w:r w:rsidRPr="00A762C7">
        <w:rPr>
          <w:bCs/>
          <w:color w:val="000000"/>
        </w:rPr>
        <w:t xml:space="preserve">  </w:t>
      </w:r>
      <w:r w:rsidRPr="00A762C7">
        <w:rPr>
          <w:color w:val="000000"/>
        </w:rPr>
        <w:t xml:space="preserve">28 April, available at  http://curia.europa.eu/jcms/upload/docs/application/pdf/2009-04/cp090039en.pdf,  accessed 16 June 2009. </w:t>
      </w:r>
    </w:p>
    <w:p w14:paraId="024CDEEA" w14:textId="38F0D94E" w:rsidR="00890A50" w:rsidRPr="00890A50" w:rsidRDefault="00890A50" w:rsidP="00890A50">
      <w:pPr>
        <w:spacing w:line="480" w:lineRule="auto"/>
        <w:ind w:left="567" w:hanging="567"/>
        <w:rPr>
          <w:color w:val="000000"/>
        </w:rPr>
      </w:pPr>
      <w:r w:rsidRPr="00890A50">
        <w:rPr>
          <w:rFonts w:eastAsia="Times New Roman"/>
          <w:lang w:eastAsia="en-US"/>
        </w:rPr>
        <w:t xml:space="preserve">Hall, Jonathan, Iosif Kovras, Djordje Stefanovic, and Neophytos Loizides. "Exposure to violence and attitudes towards transitional justice." </w:t>
      </w:r>
      <w:r w:rsidRPr="00890A50">
        <w:rPr>
          <w:rFonts w:eastAsia="Times New Roman"/>
          <w:i/>
          <w:iCs/>
          <w:lang w:eastAsia="en-US"/>
        </w:rPr>
        <w:t>Political Psychology</w:t>
      </w:r>
      <w:r w:rsidRPr="00890A50">
        <w:rPr>
          <w:rFonts w:eastAsia="Times New Roman"/>
          <w:lang w:eastAsia="en-US"/>
        </w:rPr>
        <w:t xml:space="preserve"> 39, no. 2 (2018): 345-363.</w:t>
      </w:r>
    </w:p>
    <w:p w14:paraId="0DB5E6F0" w14:textId="7AC6C3F3" w:rsidR="00831C01" w:rsidRDefault="00890A50" w:rsidP="00831C01">
      <w:pPr>
        <w:spacing w:line="480" w:lineRule="auto"/>
        <w:ind w:left="567" w:hanging="567"/>
        <w:rPr>
          <w:rFonts w:eastAsia="Times New Roman"/>
        </w:rPr>
      </w:pPr>
      <w:r>
        <w:rPr>
          <w:rFonts w:eastAsia="Times New Roman"/>
        </w:rPr>
        <w:t>Koinova, Maria. 2017</w:t>
      </w:r>
      <w:r w:rsidR="00831C01" w:rsidRPr="00A762C7">
        <w:rPr>
          <w:rFonts w:eastAsia="Times New Roman"/>
        </w:rPr>
        <w:t xml:space="preserve">. ‘Diaspora mobilisation for conflict and post-conflict reconstruction: contextual and comparative dimensions.’ </w:t>
      </w:r>
      <w:r w:rsidR="00831C01" w:rsidRPr="00A762C7">
        <w:rPr>
          <w:rFonts w:eastAsia="Times New Roman"/>
          <w:i/>
          <w:iCs/>
        </w:rPr>
        <w:t>Journal of Ethnic and Migration Studies</w:t>
      </w:r>
      <w:r w:rsidR="00831C01" w:rsidRPr="00A762C7">
        <w:rPr>
          <w:rFonts w:eastAsia="Times New Roman"/>
        </w:rPr>
        <w:t>: 1-19.</w:t>
      </w:r>
    </w:p>
    <w:p w14:paraId="2785BE7F" w14:textId="580C7D5E" w:rsidR="00532E80" w:rsidRDefault="00532E80" w:rsidP="00831C01">
      <w:pPr>
        <w:spacing w:line="480" w:lineRule="auto"/>
        <w:ind w:left="567" w:hanging="567"/>
        <w:rPr>
          <w:rFonts w:eastAsia="Times New Roman"/>
        </w:rPr>
      </w:pPr>
      <w:r>
        <w:rPr>
          <w:rFonts w:eastAsia="Times New Roman"/>
        </w:rPr>
        <w:lastRenderedPageBreak/>
        <w:t xml:space="preserve">Koinova, Maria and Dzeneta Karabegovic. 2019. “Causal Mechanisms in Diaspora Mobilizations for Transitional Justice,” introduction to the </w:t>
      </w:r>
      <w:r w:rsidRPr="00D80E36">
        <w:rPr>
          <w:rFonts w:eastAsia="Times New Roman"/>
          <w:i/>
        </w:rPr>
        <w:t>Ethnic and Racial Studies</w:t>
      </w:r>
      <w:r>
        <w:rPr>
          <w:rFonts w:eastAsia="Times New Roman"/>
        </w:rPr>
        <w:t xml:space="preserve"> special issue. </w:t>
      </w:r>
    </w:p>
    <w:p w14:paraId="2524B8EE" w14:textId="3FD0B1A7" w:rsidR="00890A50" w:rsidRPr="00A762C7" w:rsidRDefault="00890A50" w:rsidP="00890A50">
      <w:pPr>
        <w:spacing w:line="480" w:lineRule="auto"/>
        <w:ind w:left="567" w:hanging="567"/>
        <w:rPr>
          <w:rFonts w:eastAsia="Times New Roman"/>
        </w:rPr>
      </w:pPr>
      <w:r w:rsidRPr="00890A50">
        <w:rPr>
          <w:rFonts w:eastAsia="Times New Roman"/>
        </w:rPr>
        <w:t xml:space="preserve">Kovras, Iosif. </w:t>
      </w:r>
      <w:r>
        <w:rPr>
          <w:rFonts w:eastAsia="Times New Roman"/>
        </w:rPr>
        <w:t xml:space="preserve">2014. </w:t>
      </w:r>
      <w:r w:rsidRPr="00890A50">
        <w:rPr>
          <w:rFonts w:eastAsia="Times New Roman"/>
          <w:i/>
          <w:iCs/>
        </w:rPr>
        <w:t>Truth recovery and transitional justice: Deferring human rights issues</w:t>
      </w:r>
      <w:r w:rsidRPr="00890A50">
        <w:rPr>
          <w:rFonts w:eastAsia="Times New Roman"/>
        </w:rPr>
        <w:t>. Routledge</w:t>
      </w:r>
      <w:r>
        <w:rPr>
          <w:rFonts w:eastAsia="Times New Roman"/>
        </w:rPr>
        <w:t>.</w:t>
      </w:r>
    </w:p>
    <w:p w14:paraId="16694960" w14:textId="77777777" w:rsidR="00831C01" w:rsidRPr="00A762C7" w:rsidRDefault="00831C01" w:rsidP="00831C01">
      <w:pPr>
        <w:spacing w:line="480" w:lineRule="auto"/>
        <w:ind w:left="720" w:hanging="720"/>
      </w:pPr>
      <w:r w:rsidRPr="00A762C7">
        <w:rPr>
          <w:rFonts w:eastAsia="Times New Roman"/>
        </w:rPr>
        <w:t xml:space="preserve">Kovras, Iosif. 2017. </w:t>
      </w:r>
      <w:r w:rsidRPr="00A762C7">
        <w:rPr>
          <w:rFonts w:eastAsia="Times New Roman"/>
          <w:i/>
          <w:iCs/>
        </w:rPr>
        <w:t>Grassroots activism and the evolution of transitional justice: the families of the disappeared</w:t>
      </w:r>
      <w:r w:rsidRPr="00A762C7">
        <w:rPr>
          <w:rFonts w:eastAsia="Times New Roman"/>
        </w:rPr>
        <w:t>. Cambridge University Press.</w:t>
      </w:r>
    </w:p>
    <w:p w14:paraId="1CAF149B" w14:textId="77777777" w:rsidR="00890A50" w:rsidRDefault="00831C01" w:rsidP="00890A50">
      <w:pPr>
        <w:spacing w:line="480" w:lineRule="auto"/>
        <w:ind w:left="567" w:hanging="567"/>
        <w:rPr>
          <w:rFonts w:eastAsia="Times New Roman"/>
        </w:rPr>
      </w:pPr>
      <w:r w:rsidRPr="00A762C7">
        <w:t>Laitin, David. 2009. ‘</w:t>
      </w:r>
      <w:r w:rsidRPr="00A762C7">
        <w:rPr>
          <w:rFonts w:eastAsia="AGaramondExp-Regular"/>
          <w:bCs/>
          <w:iCs/>
          <w:color w:val="000000"/>
        </w:rPr>
        <w:t xml:space="preserve">Immigrant Communities and Civil War’, </w:t>
      </w:r>
      <w:r w:rsidRPr="00A762C7">
        <w:rPr>
          <w:rFonts w:eastAsia="AGaramondExp-Regular"/>
          <w:bCs/>
          <w:i/>
          <w:iCs/>
          <w:color w:val="000000"/>
        </w:rPr>
        <w:t>International Migration Review</w:t>
      </w:r>
      <w:r w:rsidRPr="00A762C7">
        <w:rPr>
          <w:rFonts w:eastAsia="AGaramondExp-Regular"/>
          <w:bCs/>
          <w:iCs/>
          <w:color w:val="000000"/>
        </w:rPr>
        <w:t>,</w:t>
      </w:r>
      <w:r w:rsidRPr="00A762C7">
        <w:rPr>
          <w:rFonts w:eastAsia="AGaramondExp-Regular"/>
          <w:color w:val="FFFFFF"/>
        </w:rPr>
        <w:t xml:space="preserve"> </w:t>
      </w:r>
      <w:r w:rsidRPr="00A762C7">
        <w:rPr>
          <w:rFonts w:eastAsia="Times New Roman"/>
        </w:rPr>
        <w:t>43 (1):35–59</w:t>
      </w:r>
    </w:p>
    <w:p w14:paraId="070935CC" w14:textId="03B6439F" w:rsidR="00890A50" w:rsidRPr="00A762C7" w:rsidRDefault="00890A50" w:rsidP="00890A50">
      <w:pPr>
        <w:spacing w:line="480" w:lineRule="auto"/>
        <w:ind w:left="567" w:hanging="567"/>
        <w:rPr>
          <w:rFonts w:eastAsia="Times New Roman"/>
        </w:rPr>
      </w:pPr>
      <w:r w:rsidRPr="00585428">
        <w:rPr>
          <w:rFonts w:eastAsia="Times New Roman"/>
        </w:rPr>
        <w:t xml:space="preserve">Lischer, Sarah Kenyon. (2015) </w:t>
      </w:r>
      <w:r w:rsidRPr="00585428">
        <w:rPr>
          <w:rFonts w:eastAsia="Times New Roman"/>
          <w:i/>
          <w:iCs/>
        </w:rPr>
        <w:t xml:space="preserve">Dangerous </w:t>
      </w:r>
      <w:r>
        <w:rPr>
          <w:rFonts w:eastAsia="Times New Roman"/>
          <w:i/>
          <w:iCs/>
        </w:rPr>
        <w:t>S</w:t>
      </w:r>
      <w:r w:rsidRPr="009F6616">
        <w:rPr>
          <w:rFonts w:eastAsia="Times New Roman"/>
          <w:i/>
          <w:iCs/>
        </w:rPr>
        <w:t xml:space="preserve">anctuaries: </w:t>
      </w:r>
      <w:r>
        <w:rPr>
          <w:rFonts w:eastAsia="Times New Roman"/>
          <w:i/>
          <w:iCs/>
        </w:rPr>
        <w:t>R</w:t>
      </w:r>
      <w:r w:rsidRPr="009F6616">
        <w:rPr>
          <w:rFonts w:eastAsia="Times New Roman"/>
          <w:i/>
          <w:iCs/>
        </w:rPr>
        <w:t xml:space="preserve">efugee </w:t>
      </w:r>
      <w:r>
        <w:rPr>
          <w:rFonts w:eastAsia="Times New Roman"/>
          <w:i/>
          <w:iCs/>
        </w:rPr>
        <w:t>C</w:t>
      </w:r>
      <w:r w:rsidRPr="009F6616">
        <w:rPr>
          <w:rFonts w:eastAsia="Times New Roman"/>
          <w:i/>
          <w:iCs/>
        </w:rPr>
        <w:t xml:space="preserve">amps, </w:t>
      </w:r>
      <w:r>
        <w:rPr>
          <w:rFonts w:eastAsia="Times New Roman"/>
          <w:i/>
          <w:iCs/>
        </w:rPr>
        <w:t>C</w:t>
      </w:r>
      <w:r w:rsidRPr="009F6616">
        <w:rPr>
          <w:rFonts w:eastAsia="Times New Roman"/>
          <w:i/>
          <w:iCs/>
        </w:rPr>
        <w:t xml:space="preserve">ivil </w:t>
      </w:r>
      <w:r>
        <w:rPr>
          <w:rFonts w:eastAsia="Times New Roman"/>
          <w:i/>
          <w:iCs/>
        </w:rPr>
        <w:t>W</w:t>
      </w:r>
      <w:r w:rsidRPr="009F6616">
        <w:rPr>
          <w:rFonts w:eastAsia="Times New Roman"/>
          <w:i/>
          <w:iCs/>
        </w:rPr>
        <w:t xml:space="preserve">ar, and the </w:t>
      </w:r>
      <w:r>
        <w:rPr>
          <w:rFonts w:eastAsia="Times New Roman"/>
          <w:i/>
          <w:iCs/>
        </w:rPr>
        <w:t>D</w:t>
      </w:r>
      <w:r w:rsidRPr="009F6616">
        <w:rPr>
          <w:rFonts w:eastAsia="Times New Roman"/>
          <w:i/>
          <w:iCs/>
        </w:rPr>
        <w:t xml:space="preserve">ilemmas of </w:t>
      </w:r>
      <w:r>
        <w:rPr>
          <w:rFonts w:eastAsia="Times New Roman"/>
          <w:i/>
          <w:iCs/>
        </w:rPr>
        <w:t>H</w:t>
      </w:r>
      <w:r w:rsidRPr="009F6616">
        <w:rPr>
          <w:rFonts w:eastAsia="Times New Roman"/>
          <w:i/>
          <w:iCs/>
        </w:rPr>
        <w:t xml:space="preserve">umanitarian </w:t>
      </w:r>
      <w:r>
        <w:rPr>
          <w:rFonts w:eastAsia="Times New Roman"/>
          <w:i/>
          <w:iCs/>
        </w:rPr>
        <w:t>A</w:t>
      </w:r>
      <w:r w:rsidRPr="009F6616">
        <w:rPr>
          <w:rFonts w:eastAsia="Times New Roman"/>
          <w:i/>
          <w:iCs/>
        </w:rPr>
        <w:t>id</w:t>
      </w:r>
      <w:r w:rsidRPr="009F6616">
        <w:rPr>
          <w:rFonts w:eastAsia="Times New Roman"/>
        </w:rPr>
        <w:t xml:space="preserve">. </w:t>
      </w:r>
      <w:r>
        <w:rPr>
          <w:rFonts w:eastAsia="Times New Roman"/>
        </w:rPr>
        <w:t xml:space="preserve">Ithaca: </w:t>
      </w:r>
      <w:r w:rsidRPr="009F6616">
        <w:rPr>
          <w:rFonts w:eastAsia="Times New Roman"/>
        </w:rPr>
        <w:t>Cornell University Press.</w:t>
      </w:r>
    </w:p>
    <w:p w14:paraId="4573C9F8" w14:textId="77777777" w:rsidR="00831C01" w:rsidRPr="00A762C7" w:rsidRDefault="00831C01" w:rsidP="00831C01">
      <w:pPr>
        <w:spacing w:line="480" w:lineRule="auto"/>
        <w:ind w:left="567" w:hanging="567"/>
        <w:rPr>
          <w:bCs/>
        </w:rPr>
      </w:pPr>
      <w:r w:rsidRPr="00A762C7">
        <w:rPr>
          <w:bCs/>
        </w:rPr>
        <w:t xml:space="preserve">Loucaides, Loukis.1995. </w:t>
      </w:r>
      <w:r w:rsidRPr="00A762C7">
        <w:rPr>
          <w:bCs/>
          <w:i/>
        </w:rPr>
        <w:t>Essays on the Developing Law of Human Rights</w:t>
      </w:r>
      <w:r w:rsidRPr="00A762C7">
        <w:rPr>
          <w:bCs/>
        </w:rPr>
        <w:t>. Dordrecht; Boston: M. Nijkoff Publishers.</w:t>
      </w:r>
    </w:p>
    <w:p w14:paraId="6BE75893" w14:textId="77777777" w:rsidR="00DD462C" w:rsidRDefault="00831C01" w:rsidP="00DD462C">
      <w:pPr>
        <w:spacing w:line="480" w:lineRule="auto"/>
        <w:ind w:left="567" w:hanging="567"/>
        <w:rPr>
          <w:bCs/>
        </w:rPr>
      </w:pPr>
      <w:r w:rsidRPr="00A762C7">
        <w:rPr>
          <w:bCs/>
        </w:rPr>
        <w:t xml:space="preserve">Lustick, Ian. 1985. </w:t>
      </w:r>
      <w:r w:rsidRPr="00A762C7">
        <w:rPr>
          <w:bCs/>
          <w:i/>
        </w:rPr>
        <w:t>State-building Failure</w:t>
      </w:r>
      <w:r w:rsidRPr="00A762C7">
        <w:rPr>
          <w:rFonts w:eastAsia="Arial Unicode MS"/>
          <w:i/>
        </w:rPr>
        <w:t xml:space="preserve"> in British Ireland &amp; French Algeria.</w:t>
      </w:r>
      <w:r w:rsidRPr="00A762C7">
        <w:rPr>
          <w:rFonts w:eastAsia="Arial Unicode MS"/>
        </w:rPr>
        <w:t xml:space="preserve"> Berkeley, Calif.: Institute of International Studies, University of California, Berkeley</w:t>
      </w:r>
      <w:r w:rsidRPr="00A762C7">
        <w:rPr>
          <w:bCs/>
        </w:rPr>
        <w:t>.</w:t>
      </w:r>
    </w:p>
    <w:p w14:paraId="4A7411CF" w14:textId="291017FA" w:rsidR="00DD462C" w:rsidRPr="00A762C7" w:rsidRDefault="00DD462C" w:rsidP="00DD462C">
      <w:pPr>
        <w:spacing w:line="480" w:lineRule="auto"/>
        <w:ind w:left="567" w:hanging="567"/>
        <w:rPr>
          <w:bCs/>
        </w:rPr>
      </w:pPr>
      <w:r w:rsidRPr="00DD462C">
        <w:rPr>
          <w:rFonts w:eastAsia="Times New Roman"/>
          <w:lang w:eastAsia="en-US"/>
        </w:rPr>
        <w:t>Patrick, Richard Arthur.</w:t>
      </w:r>
      <w:r>
        <w:rPr>
          <w:rFonts w:eastAsia="Times New Roman"/>
          <w:lang w:eastAsia="en-US"/>
        </w:rPr>
        <w:t xml:space="preserve"> 1976.</w:t>
      </w:r>
      <w:r w:rsidRPr="00DD462C">
        <w:rPr>
          <w:rFonts w:eastAsia="Times New Roman"/>
          <w:lang w:eastAsia="en-US"/>
        </w:rPr>
        <w:t xml:space="preserve"> </w:t>
      </w:r>
      <w:r w:rsidRPr="00DD462C">
        <w:rPr>
          <w:rFonts w:eastAsia="Times New Roman"/>
          <w:i/>
          <w:iCs/>
          <w:lang w:eastAsia="en-US"/>
        </w:rPr>
        <w:t>Political geography and the Cyprus conflict, 1963-1971</w:t>
      </w:r>
      <w:r w:rsidRPr="00DD462C">
        <w:rPr>
          <w:rFonts w:eastAsia="Times New Roman"/>
          <w:lang w:eastAsia="en-US"/>
        </w:rPr>
        <w:t>. No. 4. Dept. of Geography, Faculty of Environmental Studies, University of Wa</w:t>
      </w:r>
      <w:r>
        <w:rPr>
          <w:rFonts w:eastAsia="Times New Roman"/>
          <w:lang w:eastAsia="en-US"/>
        </w:rPr>
        <w:t>terloo</w:t>
      </w:r>
      <w:r w:rsidRPr="00DD462C">
        <w:rPr>
          <w:rFonts w:eastAsia="Times New Roman"/>
          <w:lang w:eastAsia="en-US"/>
        </w:rPr>
        <w:t>.</w:t>
      </w:r>
    </w:p>
    <w:p w14:paraId="626392C5" w14:textId="77777777" w:rsidR="00831C01" w:rsidRPr="00AA66A3" w:rsidRDefault="00831C01" w:rsidP="00831C01">
      <w:pPr>
        <w:spacing w:line="480" w:lineRule="auto"/>
        <w:ind w:left="567" w:hanging="567"/>
      </w:pPr>
      <w:r>
        <w:t xml:space="preserve">Palley, Thomas I. 2005. “Labour standards, democracy and wages: some cross-country evidence.” </w:t>
      </w:r>
      <w:r>
        <w:rPr>
          <w:i/>
        </w:rPr>
        <w:t>Journal of International Development, 17</w:t>
      </w:r>
      <w:r>
        <w:t>(7): 883-898</w:t>
      </w:r>
    </w:p>
    <w:p w14:paraId="21028A87" w14:textId="77777777" w:rsidR="00831C01" w:rsidRPr="00A762C7" w:rsidRDefault="00831C01" w:rsidP="00831C01">
      <w:pPr>
        <w:spacing w:line="480" w:lineRule="auto"/>
        <w:ind w:left="567" w:hanging="567"/>
      </w:pPr>
      <w:r w:rsidRPr="00A762C7">
        <w:t xml:space="preserve">Pettigrew, Thomas and Tropp, Linda. 2008. “How does intergroup contact reduce prejudice? Meta-analytic tests of three mediators”. </w:t>
      </w:r>
      <w:r w:rsidRPr="00A762C7">
        <w:rPr>
          <w:i/>
        </w:rPr>
        <w:t>European Journal of Social Psychology</w:t>
      </w:r>
      <w:r w:rsidRPr="00A762C7">
        <w:t xml:space="preserve"> 38: 922–934. doi:10.1002/ejsp.504</w:t>
      </w:r>
    </w:p>
    <w:p w14:paraId="7989134A" w14:textId="77777777" w:rsidR="00831C01" w:rsidRPr="00A762C7" w:rsidRDefault="00831C01" w:rsidP="00831C01">
      <w:pPr>
        <w:spacing w:line="480" w:lineRule="auto"/>
        <w:ind w:left="567" w:hanging="567"/>
      </w:pPr>
      <w:r w:rsidRPr="00A762C7">
        <w:t xml:space="preserve">Pettigrew, Thomas and Tropp, Linda. 2006. “A metaanalytic test of intergroup contact theory”. </w:t>
      </w:r>
      <w:r w:rsidRPr="00A762C7">
        <w:rPr>
          <w:i/>
        </w:rPr>
        <w:t>Journal of Personality and Social Psychology</w:t>
      </w:r>
      <w:r w:rsidRPr="00A762C7">
        <w:t xml:space="preserve"> 90, 751–783. doi:10.1037/0022-3514.90.5.751.</w:t>
      </w:r>
    </w:p>
    <w:p w14:paraId="1AB5EB35" w14:textId="22151AF2" w:rsidR="00831C01" w:rsidRPr="003738D0" w:rsidRDefault="00831C01" w:rsidP="00831C01">
      <w:pPr>
        <w:spacing w:line="480" w:lineRule="auto"/>
        <w:ind w:left="567" w:hanging="567"/>
      </w:pPr>
      <w:r w:rsidRPr="00A762C7">
        <w:lastRenderedPageBreak/>
        <w:t>Philippou, S</w:t>
      </w:r>
      <w:r w:rsidR="004D7C15">
        <w:t>tavroula</w:t>
      </w:r>
      <w:r w:rsidRPr="00A762C7">
        <w:t>. &amp; Klerides, E</w:t>
      </w:r>
      <w:r w:rsidR="004D7C15">
        <w:t>leftherios</w:t>
      </w:r>
      <w:r w:rsidRPr="00A762C7">
        <w:t xml:space="preserve">. (2010). “On continuity and change in national </w:t>
      </w:r>
      <w:r w:rsidRPr="00D7321D">
        <w:t>identity construction: an initial note on Greek-Cypriot education, 1960-2010”.</w:t>
      </w:r>
      <w:r w:rsidRPr="00D7321D">
        <w:rPr>
          <w:i/>
        </w:rPr>
        <w:t xml:space="preserve"> The Cyprus Review </w:t>
      </w:r>
      <w:r w:rsidRPr="003738D0">
        <w:t>22(2): 119-132.</w:t>
      </w:r>
    </w:p>
    <w:p w14:paraId="500D0454" w14:textId="77777777" w:rsidR="00831C01" w:rsidRPr="00154C1B" w:rsidRDefault="00831C01" w:rsidP="00831C01">
      <w:pPr>
        <w:spacing w:line="480" w:lineRule="auto"/>
        <w:ind w:left="567" w:hanging="567"/>
        <w:rPr>
          <w:lang w:eastAsia="en-US"/>
        </w:rPr>
      </w:pPr>
      <w:r w:rsidRPr="00911476">
        <w:rPr>
          <w:rFonts w:eastAsia="Times New Roman"/>
        </w:rPr>
        <w:t xml:space="preserve">Salehyan, Idean. 2007. ‘Transnational rebels: Neighboring states as sanctuary for rebel groups.’ </w:t>
      </w:r>
      <w:r w:rsidRPr="00F232A8">
        <w:rPr>
          <w:rFonts w:eastAsia="Times New Roman"/>
          <w:i/>
          <w:iCs/>
        </w:rPr>
        <w:t>World Politics</w:t>
      </w:r>
      <w:r w:rsidRPr="00F232A8">
        <w:rPr>
          <w:rFonts w:eastAsia="Times New Roman"/>
        </w:rPr>
        <w:t xml:space="preserve"> 59 (2): 217-242.</w:t>
      </w:r>
    </w:p>
    <w:p w14:paraId="1E6BED93" w14:textId="77777777" w:rsidR="00831C01" w:rsidRPr="00634FFD" w:rsidRDefault="00831C01" w:rsidP="00831C01">
      <w:pPr>
        <w:spacing w:line="480" w:lineRule="auto"/>
        <w:ind w:left="567" w:hanging="567"/>
      </w:pPr>
      <w:r w:rsidRPr="000062E6">
        <w:t>Sitas, Aris, Latif, Dilek, Loizou, Natasa. 20</w:t>
      </w:r>
      <w:r w:rsidRPr="00634FFD">
        <w:t>07. Prospects of reconciliation, co-existence and forgiveness in Cyprus in the post-referendum period. Nicosia: PRIO Report 2/2007.</w:t>
      </w:r>
    </w:p>
    <w:p w14:paraId="5D2AF7A6" w14:textId="77777777" w:rsidR="00D7321D" w:rsidRPr="00D7321D" w:rsidRDefault="00920415" w:rsidP="00634FFD">
      <w:pPr>
        <w:spacing w:line="360" w:lineRule="auto"/>
        <w:ind w:left="567" w:hanging="567"/>
      </w:pPr>
      <w:r w:rsidRPr="00634FFD">
        <w:t>Stephan, W. G., &amp; Stephan, C. W. (2000). An integrated threat theory of prejudice. In S. Oskamp (Ed.), "The Claremont Symposium on Applied Social Psychology" Reducing prejudice and discrimination (pp. 23-45). Mahwah, NJ, US: Lawrence Erlbaum Associates Publishers</w:t>
      </w:r>
      <w:r w:rsidR="00D7321D" w:rsidRPr="00D7321D">
        <w:t>.</w:t>
      </w:r>
    </w:p>
    <w:p w14:paraId="4F6EE1A1" w14:textId="17922891" w:rsidR="00D7321D" w:rsidRPr="00634FFD" w:rsidRDefault="00532E80" w:rsidP="00634FFD">
      <w:pPr>
        <w:spacing w:line="360" w:lineRule="auto"/>
        <w:ind w:left="567" w:hanging="567"/>
        <w:rPr>
          <w:color w:val="333333"/>
        </w:rPr>
      </w:pPr>
      <w:r w:rsidRPr="00D7321D">
        <w:rPr>
          <w:lang w:eastAsia="en-US"/>
        </w:rPr>
        <w:t xml:space="preserve">Orjuela, Camilla. 2018. </w:t>
      </w:r>
      <w:r w:rsidR="00D7321D" w:rsidRPr="00D7321D">
        <w:rPr>
          <w:lang w:eastAsia="en-US"/>
        </w:rPr>
        <w:t>“</w:t>
      </w:r>
      <w:r w:rsidR="00D7321D" w:rsidRPr="00634FFD">
        <w:rPr>
          <w:rStyle w:val="nlmarticle-title"/>
          <w:rFonts w:eastAsia="Times New Roman"/>
          <w:color w:val="333333"/>
        </w:rPr>
        <w:t xml:space="preserve">Mobilising Diasporas for Justice,” </w:t>
      </w:r>
      <w:r w:rsidR="00D7321D" w:rsidRPr="00634FFD">
        <w:rPr>
          <w:rStyle w:val="nlmarticle-title"/>
          <w:rFonts w:eastAsia="Times New Roman"/>
          <w:i/>
          <w:color w:val="333333"/>
        </w:rPr>
        <w:t>Journal of Ethnic and Migration Studies</w:t>
      </w:r>
      <w:r w:rsidR="00D7321D" w:rsidRPr="00634FFD">
        <w:rPr>
          <w:rStyle w:val="nlmarticle-title"/>
          <w:rFonts w:eastAsia="Times New Roman"/>
          <w:color w:val="333333"/>
        </w:rPr>
        <w:t xml:space="preserve"> 44 (8): 1357-1373.</w:t>
      </w:r>
      <w:r w:rsidR="00D7321D" w:rsidRPr="00634FFD">
        <w:rPr>
          <w:rStyle w:val="apple-converted-space"/>
          <w:rFonts w:eastAsia="Times New Roman"/>
          <w:color w:val="333333"/>
        </w:rPr>
        <w:t> </w:t>
      </w:r>
    </w:p>
    <w:p w14:paraId="3793C3D2" w14:textId="107960A9" w:rsidR="00890A50" w:rsidRPr="00D7321D" w:rsidRDefault="00831C01" w:rsidP="00634FFD">
      <w:pPr>
        <w:spacing w:line="360" w:lineRule="auto"/>
        <w:ind w:left="567" w:hanging="567"/>
      </w:pPr>
      <w:r w:rsidRPr="00D7321D">
        <w:t>Other and Author A (2017)</w:t>
      </w:r>
    </w:p>
    <w:p w14:paraId="13172B49" w14:textId="38AC8B0C" w:rsidR="00890A50" w:rsidRPr="00A762C7" w:rsidRDefault="00890A50" w:rsidP="00890A50">
      <w:pPr>
        <w:spacing w:line="480" w:lineRule="auto"/>
        <w:ind w:left="567" w:hanging="567"/>
      </w:pPr>
      <w:r w:rsidRPr="003738D0">
        <w:rPr>
          <w:rFonts w:eastAsia="Times New Roman"/>
          <w:lang w:eastAsia="en-US"/>
        </w:rPr>
        <w:t>Yakinthou, Christalla. 2017 “Transitional</w:t>
      </w:r>
      <w:r w:rsidRPr="00890A50">
        <w:rPr>
          <w:rFonts w:eastAsia="Times New Roman"/>
          <w:lang w:eastAsia="en-US"/>
        </w:rPr>
        <w:t xml:space="preserve"> Justice in Cyprus." </w:t>
      </w:r>
      <w:r w:rsidRPr="00890A50">
        <w:rPr>
          <w:rFonts w:eastAsia="Times New Roman"/>
          <w:i/>
          <w:iCs/>
          <w:lang w:eastAsia="en-US"/>
        </w:rPr>
        <w:t>Berghof Foundation</w:t>
      </w:r>
      <w:r w:rsidRPr="00890A50">
        <w:rPr>
          <w:rFonts w:eastAsia="Times New Roman"/>
          <w:lang w:eastAsia="en-US"/>
        </w:rPr>
        <w:t xml:space="preserve"> (2017).</w:t>
      </w:r>
    </w:p>
    <w:p w14:paraId="02DBE7E1" w14:textId="77777777" w:rsidR="00831C01" w:rsidRPr="00A762C7" w:rsidRDefault="00831C01" w:rsidP="00831C01">
      <w:pPr>
        <w:spacing w:line="480" w:lineRule="auto"/>
        <w:ind w:left="567" w:hanging="567"/>
      </w:pPr>
      <w:r w:rsidRPr="00A762C7">
        <w:t>Sonan, Sonan. Vural, Yucel and Ekenoglou, Bashak. (2015). “Politically Motivated Migration: The Case of Turkish Migration to Northern Cyprus” in Turkish Migration Conference 2015 Selected Proceedings (Eds.) G. Seker et. al. (pp. 83-97). Transnational Press London.</w:t>
      </w:r>
    </w:p>
    <w:p w14:paraId="495B5251" w14:textId="77777777" w:rsidR="00831C01" w:rsidRPr="00A762C7" w:rsidRDefault="00831C01" w:rsidP="00831C01">
      <w:pPr>
        <w:spacing w:line="480" w:lineRule="auto"/>
        <w:ind w:left="567" w:hanging="567"/>
      </w:pPr>
      <w:r w:rsidRPr="00A762C7">
        <w:t xml:space="preserve">Stephanou, Stefanos. (2008). Turkish Cypriots and Turkish Settlers in Cyprus’, </w:t>
      </w:r>
      <w:r w:rsidRPr="00A762C7">
        <w:rPr>
          <w:i/>
        </w:rPr>
        <w:t>Cyprus Broadcasting Corporation</w:t>
      </w:r>
      <w:r w:rsidRPr="00A762C7">
        <w:t xml:space="preserve">, To Sizitame, 28 July, available at </w:t>
      </w:r>
      <w:hyperlink r:id="rId11" w:history="1">
        <w:r w:rsidRPr="00A762C7">
          <w:rPr>
            <w:rStyle w:val="Hyperlink"/>
          </w:rPr>
          <w:t>http://www.cybc.com.cy/index.php?option=com_content&amp;task=view&amp;id=729&amp;Itemid=35</w:t>
        </w:r>
      </w:hyperlink>
      <w:r w:rsidRPr="00A762C7">
        <w:t xml:space="preserve"> accessed 16 June 2009. </w:t>
      </w:r>
    </w:p>
    <w:p w14:paraId="4F71D461" w14:textId="77777777" w:rsidR="00831C01" w:rsidRPr="00A762C7" w:rsidRDefault="00831C01" w:rsidP="00831C01">
      <w:pPr>
        <w:spacing w:line="480" w:lineRule="auto"/>
        <w:ind w:left="567" w:hanging="567"/>
      </w:pPr>
      <w:r w:rsidRPr="00A762C7">
        <w:t xml:space="preserve">Vural, Yucel and Rustemli Ahmet. 2006. ‘Identity Fluctuations in the Turkish Cypriot Community’, </w:t>
      </w:r>
      <w:r w:rsidRPr="00A762C7">
        <w:rPr>
          <w:i/>
        </w:rPr>
        <w:t>Mediterranean Politics</w:t>
      </w:r>
      <w:r w:rsidRPr="00A762C7">
        <w:t>, 11 (3):329–348.</w:t>
      </w:r>
    </w:p>
    <w:p w14:paraId="2A5BC10A" w14:textId="2468A852" w:rsidR="00B156BF" w:rsidRPr="00A762C7" w:rsidRDefault="00831C01" w:rsidP="004D7C15">
      <w:pPr>
        <w:spacing w:line="480" w:lineRule="auto"/>
        <w:ind w:left="567" w:hanging="567"/>
      </w:pPr>
      <w:r>
        <w:t>Zehr, Howard and Mika, Harry. 1998. “Fundamental Concepts of Re</w:t>
      </w:r>
      <w:r w:rsidR="00920415">
        <w:t>s</w:t>
      </w:r>
      <w:r>
        <w:t xml:space="preserve">torative Justice.” </w:t>
      </w:r>
      <w:r>
        <w:rPr>
          <w:i/>
        </w:rPr>
        <w:t>Contemporary Justice Review, 1</w:t>
      </w:r>
      <w:r>
        <w:t>: 47-55.</w:t>
      </w:r>
      <w:bookmarkEnd w:id="2"/>
    </w:p>
    <w:sectPr w:rsidR="00B156BF" w:rsidRPr="00A762C7" w:rsidSect="004449A3">
      <w:headerReference w:type="default" r:id="rId12"/>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B7D9BE" w16cid:durableId="1F95C53D"/>
  <w16cid:commentId w16cid:paraId="1F1DBFE2" w16cid:durableId="1F95C53E"/>
  <w16cid:commentId w16cid:paraId="5366003B" w16cid:durableId="1F95C53F"/>
  <w16cid:commentId w16cid:paraId="5058A994" w16cid:durableId="1F95C5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C358E" w14:textId="77777777" w:rsidR="00126D09" w:rsidRDefault="00126D09" w:rsidP="00A933E7">
      <w:r>
        <w:separator/>
      </w:r>
    </w:p>
  </w:endnote>
  <w:endnote w:type="continuationSeparator" w:id="0">
    <w:p w14:paraId="619B4514" w14:textId="77777777" w:rsidR="00126D09" w:rsidRDefault="00126D09" w:rsidP="00A9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Exp-Regular">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932A6" w14:textId="77777777" w:rsidR="00126D09" w:rsidRDefault="00126D09" w:rsidP="00A933E7">
      <w:r>
        <w:separator/>
      </w:r>
    </w:p>
  </w:footnote>
  <w:footnote w:type="continuationSeparator" w:id="0">
    <w:p w14:paraId="4A394A0E" w14:textId="77777777" w:rsidR="00126D09" w:rsidRDefault="00126D09" w:rsidP="00A933E7">
      <w:r>
        <w:continuationSeparator/>
      </w:r>
    </w:p>
  </w:footnote>
  <w:footnote w:id="1">
    <w:p w14:paraId="537FD63A" w14:textId="538CBE26" w:rsidR="00D93C19" w:rsidRPr="00D93C19" w:rsidRDefault="00D93C19">
      <w:pPr>
        <w:pStyle w:val="FootnoteText"/>
        <w:rPr>
          <w:rFonts w:ascii="Times New Roman" w:hAnsi="Times New Roman" w:cs="Times New Roman"/>
          <w:lang w:val="en-GB"/>
        </w:rPr>
      </w:pPr>
      <w:r w:rsidRPr="00D93C19">
        <w:rPr>
          <w:rStyle w:val="FootnoteReference"/>
          <w:rFonts w:ascii="Times New Roman" w:hAnsi="Times New Roman" w:cs="Times New Roman"/>
        </w:rPr>
        <w:footnoteRef/>
      </w:r>
      <w:r w:rsidRPr="00D93C19">
        <w:rPr>
          <w:rFonts w:ascii="Times New Roman" w:hAnsi="Times New Roman" w:cs="Times New Roman"/>
        </w:rPr>
        <w:t xml:space="preserve"> Internally displaced persons (IDPs) are also commonly referred to as refugees in official Greek Cypriot accounts</w:t>
      </w:r>
      <w:r>
        <w:rPr>
          <w:rFonts w:ascii="Times New Roman" w:hAnsi="Times New Roman" w:cs="Times New Roman"/>
        </w:rPr>
        <w:t xml:space="preserve"> </w:t>
      </w:r>
    </w:p>
  </w:footnote>
  <w:footnote w:id="2">
    <w:p w14:paraId="4E79C808" w14:textId="4A6731F8" w:rsidR="000062E6" w:rsidRPr="002F2241" w:rsidRDefault="000062E6">
      <w:pPr>
        <w:pStyle w:val="FootnoteText"/>
        <w:rPr>
          <w:rFonts w:ascii="Times New Roman" w:hAnsi="Times New Roman" w:cs="Times New Roman"/>
          <w:lang w:val="en-GB"/>
        </w:rPr>
      </w:pPr>
      <w:r w:rsidRPr="00D93C19">
        <w:rPr>
          <w:rStyle w:val="FootnoteReference"/>
          <w:rFonts w:ascii="Times New Roman" w:hAnsi="Times New Roman" w:cs="Times New Roman"/>
        </w:rPr>
        <w:footnoteRef/>
      </w:r>
      <w:r w:rsidRPr="00D93C19">
        <w:rPr>
          <w:rFonts w:ascii="Times New Roman" w:hAnsi="Times New Roman" w:cs="Times New Roman"/>
        </w:rPr>
        <w:t xml:space="preserve"> </w:t>
      </w:r>
      <w:r w:rsidRPr="00D93C19">
        <w:rPr>
          <w:rFonts w:ascii="Times New Roman" w:hAnsi="Times New Roman" w:cs="Times New Roman"/>
          <w:color w:val="000000"/>
        </w:rPr>
        <w:t>See also Orjuela 2018 and discussion in the introduction to this special issue, Koinova and Karabegovic (2019).</w:t>
      </w:r>
      <w:r>
        <w:rPr>
          <w:rFonts w:ascii="Times New Roman" w:hAnsi="Times New Roman" w:cs="Times New Roman"/>
          <w:color w:val="000000"/>
        </w:rPr>
        <w:t xml:space="preserve"> </w:t>
      </w:r>
      <w:r w:rsidRPr="002F2241">
        <w:rPr>
          <w:rFonts w:ascii="Times New Roman" w:hAnsi="Times New Roman" w:cs="Times New Roman"/>
          <w:color w:val="000000"/>
        </w:rPr>
        <w:t xml:space="preserve"> </w:t>
      </w:r>
    </w:p>
  </w:footnote>
  <w:footnote w:id="3">
    <w:p w14:paraId="278C8AA6" w14:textId="562A045B" w:rsidR="000062E6" w:rsidRPr="001C4F2C" w:rsidRDefault="000062E6">
      <w:pPr>
        <w:pStyle w:val="FootnoteText"/>
        <w:rPr>
          <w:lang w:val="en-GB"/>
        </w:rPr>
      </w:pPr>
      <w:r>
        <w:rPr>
          <w:rStyle w:val="FootnoteReference"/>
        </w:rPr>
        <w:footnoteRef/>
      </w:r>
      <w:r>
        <w:t xml:space="preserve"> </w:t>
      </w:r>
      <w:r w:rsidRPr="001C4F2C">
        <w:rPr>
          <w:rFonts w:ascii="Times New Roman" w:hAnsi="Times New Roman" w:cs="Times New Roman"/>
        </w:rPr>
        <w:t>See for instance https://cyprus-mail.com/2018/08/23/our-view-high-number-of-crossings-is-a-boost-for-co-existence/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560902"/>
      <w:docPartObj>
        <w:docPartGallery w:val="Page Numbers (Top of Page)"/>
        <w:docPartUnique/>
      </w:docPartObj>
    </w:sdtPr>
    <w:sdtEndPr>
      <w:rPr>
        <w:noProof/>
      </w:rPr>
    </w:sdtEndPr>
    <w:sdtContent>
      <w:p w14:paraId="052EE951" w14:textId="2A7C183D" w:rsidR="000062E6" w:rsidRDefault="000062E6">
        <w:pPr>
          <w:pStyle w:val="Header"/>
          <w:jc w:val="center"/>
        </w:pPr>
        <w:r>
          <w:fldChar w:fldCharType="begin"/>
        </w:r>
        <w:r>
          <w:instrText xml:space="preserve"> PAGE   \* MERGEFORMAT </w:instrText>
        </w:r>
        <w:r>
          <w:fldChar w:fldCharType="separate"/>
        </w:r>
        <w:r w:rsidR="00143058">
          <w:rPr>
            <w:noProof/>
          </w:rPr>
          <w:t>1</w:t>
        </w:r>
        <w:r>
          <w:rPr>
            <w:noProof/>
          </w:rPr>
          <w:fldChar w:fldCharType="end"/>
        </w:r>
      </w:p>
    </w:sdtContent>
  </w:sdt>
  <w:p w14:paraId="73B982F1" w14:textId="77777777" w:rsidR="000062E6" w:rsidRDefault="0000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370C"/>
    <w:multiLevelType w:val="hybridMultilevel"/>
    <w:tmpl w:val="0FA0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736E1"/>
    <w:multiLevelType w:val="hybridMultilevel"/>
    <w:tmpl w:val="34A04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60F85"/>
    <w:multiLevelType w:val="hybridMultilevel"/>
    <w:tmpl w:val="C4C6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E5DFC"/>
    <w:multiLevelType w:val="hybridMultilevel"/>
    <w:tmpl w:val="C92C5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906ED2"/>
    <w:multiLevelType w:val="hybridMultilevel"/>
    <w:tmpl w:val="4056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3E7"/>
    <w:rsid w:val="000000DB"/>
    <w:rsid w:val="00000485"/>
    <w:rsid w:val="000022AA"/>
    <w:rsid w:val="00003C1C"/>
    <w:rsid w:val="000062E6"/>
    <w:rsid w:val="00011AB4"/>
    <w:rsid w:val="00012A03"/>
    <w:rsid w:val="000211E3"/>
    <w:rsid w:val="0002180A"/>
    <w:rsid w:val="00022F0D"/>
    <w:rsid w:val="000256BF"/>
    <w:rsid w:val="00026AB6"/>
    <w:rsid w:val="00040EB3"/>
    <w:rsid w:val="000445F8"/>
    <w:rsid w:val="000469CB"/>
    <w:rsid w:val="00053EE7"/>
    <w:rsid w:val="00060E38"/>
    <w:rsid w:val="00063D4B"/>
    <w:rsid w:val="00065F89"/>
    <w:rsid w:val="00066F49"/>
    <w:rsid w:val="000752A5"/>
    <w:rsid w:val="0009276A"/>
    <w:rsid w:val="00093A17"/>
    <w:rsid w:val="00093A91"/>
    <w:rsid w:val="00094855"/>
    <w:rsid w:val="000A3886"/>
    <w:rsid w:val="000A3EE5"/>
    <w:rsid w:val="000B2722"/>
    <w:rsid w:val="000C0776"/>
    <w:rsid w:val="000C09DF"/>
    <w:rsid w:val="000C2C69"/>
    <w:rsid w:val="000C3157"/>
    <w:rsid w:val="000C66A6"/>
    <w:rsid w:val="000E049F"/>
    <w:rsid w:val="000E3A6E"/>
    <w:rsid w:val="000E492E"/>
    <w:rsid w:val="000F21FC"/>
    <w:rsid w:val="000F2843"/>
    <w:rsid w:val="000F4DCE"/>
    <w:rsid w:val="000F58F8"/>
    <w:rsid w:val="0010478E"/>
    <w:rsid w:val="00110686"/>
    <w:rsid w:val="00111979"/>
    <w:rsid w:val="001123E7"/>
    <w:rsid w:val="001137B4"/>
    <w:rsid w:val="00114A7B"/>
    <w:rsid w:val="00116725"/>
    <w:rsid w:val="00116DF8"/>
    <w:rsid w:val="00116F6B"/>
    <w:rsid w:val="00117A25"/>
    <w:rsid w:val="001206DE"/>
    <w:rsid w:val="00122CE6"/>
    <w:rsid w:val="001230DC"/>
    <w:rsid w:val="00124F37"/>
    <w:rsid w:val="00126D09"/>
    <w:rsid w:val="0012746C"/>
    <w:rsid w:val="001327CE"/>
    <w:rsid w:val="0013607B"/>
    <w:rsid w:val="00143058"/>
    <w:rsid w:val="00144ADC"/>
    <w:rsid w:val="00145716"/>
    <w:rsid w:val="00147C0E"/>
    <w:rsid w:val="00150032"/>
    <w:rsid w:val="00154C1B"/>
    <w:rsid w:val="00155755"/>
    <w:rsid w:val="00155F40"/>
    <w:rsid w:val="00156292"/>
    <w:rsid w:val="001577A1"/>
    <w:rsid w:val="00160AA8"/>
    <w:rsid w:val="00160FA1"/>
    <w:rsid w:val="0016169E"/>
    <w:rsid w:val="001662D4"/>
    <w:rsid w:val="001734C5"/>
    <w:rsid w:val="00183FA6"/>
    <w:rsid w:val="00185213"/>
    <w:rsid w:val="00185F48"/>
    <w:rsid w:val="001860F1"/>
    <w:rsid w:val="0018780C"/>
    <w:rsid w:val="001A09CD"/>
    <w:rsid w:val="001A2092"/>
    <w:rsid w:val="001A215C"/>
    <w:rsid w:val="001A407F"/>
    <w:rsid w:val="001B151E"/>
    <w:rsid w:val="001C28B3"/>
    <w:rsid w:val="001C2DD4"/>
    <w:rsid w:val="001C3D64"/>
    <w:rsid w:val="001C4284"/>
    <w:rsid w:val="001C4F2C"/>
    <w:rsid w:val="001C6A28"/>
    <w:rsid w:val="001D1515"/>
    <w:rsid w:val="001D4EEA"/>
    <w:rsid w:val="001E0C1D"/>
    <w:rsid w:val="001E2B46"/>
    <w:rsid w:val="001E4762"/>
    <w:rsid w:val="001E48EF"/>
    <w:rsid w:val="001F5AF8"/>
    <w:rsid w:val="001F7853"/>
    <w:rsid w:val="00201C94"/>
    <w:rsid w:val="0020478E"/>
    <w:rsid w:val="00204A74"/>
    <w:rsid w:val="00210D9E"/>
    <w:rsid w:val="002172DC"/>
    <w:rsid w:val="00220115"/>
    <w:rsid w:val="00223C4A"/>
    <w:rsid w:val="002255B1"/>
    <w:rsid w:val="00232F97"/>
    <w:rsid w:val="00235444"/>
    <w:rsid w:val="00247201"/>
    <w:rsid w:val="00250016"/>
    <w:rsid w:val="0025446E"/>
    <w:rsid w:val="002544DC"/>
    <w:rsid w:val="002549E0"/>
    <w:rsid w:val="00260764"/>
    <w:rsid w:val="0026180E"/>
    <w:rsid w:val="00270B7A"/>
    <w:rsid w:val="0027254C"/>
    <w:rsid w:val="00282790"/>
    <w:rsid w:val="002848C3"/>
    <w:rsid w:val="002860B7"/>
    <w:rsid w:val="002938CC"/>
    <w:rsid w:val="00293B90"/>
    <w:rsid w:val="00295E71"/>
    <w:rsid w:val="002A1E0E"/>
    <w:rsid w:val="002A2294"/>
    <w:rsid w:val="002A5023"/>
    <w:rsid w:val="002A5E3D"/>
    <w:rsid w:val="002B4615"/>
    <w:rsid w:val="002B5140"/>
    <w:rsid w:val="002B7DB2"/>
    <w:rsid w:val="002C0967"/>
    <w:rsid w:val="002C5B4D"/>
    <w:rsid w:val="002C5BE1"/>
    <w:rsid w:val="002D0AE9"/>
    <w:rsid w:val="002D1981"/>
    <w:rsid w:val="002D24B8"/>
    <w:rsid w:val="002D2DAB"/>
    <w:rsid w:val="002E15A0"/>
    <w:rsid w:val="002E1F40"/>
    <w:rsid w:val="002E2D89"/>
    <w:rsid w:val="002E539C"/>
    <w:rsid w:val="002E6D73"/>
    <w:rsid w:val="002E7E01"/>
    <w:rsid w:val="002F2241"/>
    <w:rsid w:val="002F2EC4"/>
    <w:rsid w:val="002F603F"/>
    <w:rsid w:val="002F6D20"/>
    <w:rsid w:val="00301FCA"/>
    <w:rsid w:val="00311099"/>
    <w:rsid w:val="003119F8"/>
    <w:rsid w:val="00314C97"/>
    <w:rsid w:val="00315146"/>
    <w:rsid w:val="00317B09"/>
    <w:rsid w:val="00321062"/>
    <w:rsid w:val="00322757"/>
    <w:rsid w:val="003239E2"/>
    <w:rsid w:val="003259A8"/>
    <w:rsid w:val="00331944"/>
    <w:rsid w:val="00331C04"/>
    <w:rsid w:val="003325D8"/>
    <w:rsid w:val="00332AB5"/>
    <w:rsid w:val="00341C9B"/>
    <w:rsid w:val="00342A62"/>
    <w:rsid w:val="003459AD"/>
    <w:rsid w:val="00355384"/>
    <w:rsid w:val="00360274"/>
    <w:rsid w:val="003624AF"/>
    <w:rsid w:val="0036302F"/>
    <w:rsid w:val="00366421"/>
    <w:rsid w:val="003738D0"/>
    <w:rsid w:val="0037480A"/>
    <w:rsid w:val="00375B58"/>
    <w:rsid w:val="003764BD"/>
    <w:rsid w:val="00376923"/>
    <w:rsid w:val="003773E1"/>
    <w:rsid w:val="00380114"/>
    <w:rsid w:val="003822D7"/>
    <w:rsid w:val="00384A2A"/>
    <w:rsid w:val="00391FC9"/>
    <w:rsid w:val="003941CC"/>
    <w:rsid w:val="00394E88"/>
    <w:rsid w:val="003A38FC"/>
    <w:rsid w:val="003A3A8B"/>
    <w:rsid w:val="003B2C7E"/>
    <w:rsid w:val="003C11A4"/>
    <w:rsid w:val="003C4B9B"/>
    <w:rsid w:val="003D1D27"/>
    <w:rsid w:val="003D2DE1"/>
    <w:rsid w:val="003D48D6"/>
    <w:rsid w:val="003D4BE0"/>
    <w:rsid w:val="003D6DEC"/>
    <w:rsid w:val="003E286D"/>
    <w:rsid w:val="00400232"/>
    <w:rsid w:val="00406C4D"/>
    <w:rsid w:val="004125E3"/>
    <w:rsid w:val="0041384C"/>
    <w:rsid w:val="004139E9"/>
    <w:rsid w:val="00415CBD"/>
    <w:rsid w:val="004163F1"/>
    <w:rsid w:val="00417ABD"/>
    <w:rsid w:val="00423C07"/>
    <w:rsid w:val="00440B16"/>
    <w:rsid w:val="004411F4"/>
    <w:rsid w:val="00443196"/>
    <w:rsid w:val="004449A3"/>
    <w:rsid w:val="00444E66"/>
    <w:rsid w:val="0044704A"/>
    <w:rsid w:val="00450B35"/>
    <w:rsid w:val="00452CCA"/>
    <w:rsid w:val="00453B7E"/>
    <w:rsid w:val="00456624"/>
    <w:rsid w:val="00456C76"/>
    <w:rsid w:val="0046394A"/>
    <w:rsid w:val="004673A9"/>
    <w:rsid w:val="00470653"/>
    <w:rsid w:val="00470B72"/>
    <w:rsid w:val="00472A61"/>
    <w:rsid w:val="00472F41"/>
    <w:rsid w:val="0047626A"/>
    <w:rsid w:val="00477359"/>
    <w:rsid w:val="0047779A"/>
    <w:rsid w:val="00477F36"/>
    <w:rsid w:val="00482257"/>
    <w:rsid w:val="00482CA0"/>
    <w:rsid w:val="00486AC4"/>
    <w:rsid w:val="00487F7A"/>
    <w:rsid w:val="004940DA"/>
    <w:rsid w:val="004B34F5"/>
    <w:rsid w:val="004B6E6E"/>
    <w:rsid w:val="004C02EC"/>
    <w:rsid w:val="004C5F4D"/>
    <w:rsid w:val="004C7A2C"/>
    <w:rsid w:val="004C7E28"/>
    <w:rsid w:val="004D27D7"/>
    <w:rsid w:val="004D4A85"/>
    <w:rsid w:val="004D7C15"/>
    <w:rsid w:val="004E17BA"/>
    <w:rsid w:val="004E2DAF"/>
    <w:rsid w:val="004E670C"/>
    <w:rsid w:val="004E7E0E"/>
    <w:rsid w:val="00501D52"/>
    <w:rsid w:val="005076BA"/>
    <w:rsid w:val="00512897"/>
    <w:rsid w:val="00513431"/>
    <w:rsid w:val="00513A29"/>
    <w:rsid w:val="00514F99"/>
    <w:rsid w:val="005228CE"/>
    <w:rsid w:val="0052351C"/>
    <w:rsid w:val="00525F1F"/>
    <w:rsid w:val="00527284"/>
    <w:rsid w:val="0052759C"/>
    <w:rsid w:val="00532E80"/>
    <w:rsid w:val="00532F48"/>
    <w:rsid w:val="00541438"/>
    <w:rsid w:val="0054172E"/>
    <w:rsid w:val="00546438"/>
    <w:rsid w:val="00550A55"/>
    <w:rsid w:val="0055278D"/>
    <w:rsid w:val="00561462"/>
    <w:rsid w:val="005615CA"/>
    <w:rsid w:val="0056692A"/>
    <w:rsid w:val="00572515"/>
    <w:rsid w:val="00575553"/>
    <w:rsid w:val="0058257E"/>
    <w:rsid w:val="00587668"/>
    <w:rsid w:val="00591C92"/>
    <w:rsid w:val="005A037E"/>
    <w:rsid w:val="005B7FAC"/>
    <w:rsid w:val="005C2260"/>
    <w:rsid w:val="005C35F5"/>
    <w:rsid w:val="005C6543"/>
    <w:rsid w:val="005C666E"/>
    <w:rsid w:val="005C7E6F"/>
    <w:rsid w:val="005D1940"/>
    <w:rsid w:val="005D6013"/>
    <w:rsid w:val="005E1E7F"/>
    <w:rsid w:val="005F0451"/>
    <w:rsid w:val="005F142C"/>
    <w:rsid w:val="005F516C"/>
    <w:rsid w:val="005F64BC"/>
    <w:rsid w:val="005F69B1"/>
    <w:rsid w:val="00605B9C"/>
    <w:rsid w:val="00607957"/>
    <w:rsid w:val="00611930"/>
    <w:rsid w:val="00626F98"/>
    <w:rsid w:val="0063295A"/>
    <w:rsid w:val="00634FFD"/>
    <w:rsid w:val="0064143A"/>
    <w:rsid w:val="00641471"/>
    <w:rsid w:val="00643735"/>
    <w:rsid w:val="006460CF"/>
    <w:rsid w:val="00652CCB"/>
    <w:rsid w:val="006578B6"/>
    <w:rsid w:val="00660B3D"/>
    <w:rsid w:val="00663AB1"/>
    <w:rsid w:val="0067076C"/>
    <w:rsid w:val="00670A61"/>
    <w:rsid w:val="00677F3E"/>
    <w:rsid w:val="00686586"/>
    <w:rsid w:val="00687732"/>
    <w:rsid w:val="00687BF4"/>
    <w:rsid w:val="00690AF8"/>
    <w:rsid w:val="00693E9F"/>
    <w:rsid w:val="006A09EF"/>
    <w:rsid w:val="006A0DC9"/>
    <w:rsid w:val="006A1293"/>
    <w:rsid w:val="006A3555"/>
    <w:rsid w:val="006A7289"/>
    <w:rsid w:val="006C0BAD"/>
    <w:rsid w:val="006C6089"/>
    <w:rsid w:val="006C6F4C"/>
    <w:rsid w:val="006C7256"/>
    <w:rsid w:val="006D1C57"/>
    <w:rsid w:val="006E0EC9"/>
    <w:rsid w:val="006E31BA"/>
    <w:rsid w:val="006E31ED"/>
    <w:rsid w:val="006E5B7C"/>
    <w:rsid w:val="006E5D66"/>
    <w:rsid w:val="006F3323"/>
    <w:rsid w:val="006F34E1"/>
    <w:rsid w:val="006F473A"/>
    <w:rsid w:val="006F55FA"/>
    <w:rsid w:val="006F5BB7"/>
    <w:rsid w:val="006F6767"/>
    <w:rsid w:val="006F7A49"/>
    <w:rsid w:val="007003C5"/>
    <w:rsid w:val="00701002"/>
    <w:rsid w:val="007027A0"/>
    <w:rsid w:val="007044E6"/>
    <w:rsid w:val="00710B5F"/>
    <w:rsid w:val="00712643"/>
    <w:rsid w:val="00713041"/>
    <w:rsid w:val="007217EB"/>
    <w:rsid w:val="007223D8"/>
    <w:rsid w:val="00723773"/>
    <w:rsid w:val="00726EE1"/>
    <w:rsid w:val="0072717F"/>
    <w:rsid w:val="00734813"/>
    <w:rsid w:val="00741E9D"/>
    <w:rsid w:val="0074296D"/>
    <w:rsid w:val="007429EF"/>
    <w:rsid w:val="00747CBD"/>
    <w:rsid w:val="00747E6A"/>
    <w:rsid w:val="007513E4"/>
    <w:rsid w:val="00752189"/>
    <w:rsid w:val="007608F3"/>
    <w:rsid w:val="007714DD"/>
    <w:rsid w:val="00793507"/>
    <w:rsid w:val="00793EE7"/>
    <w:rsid w:val="007A197B"/>
    <w:rsid w:val="007B3E25"/>
    <w:rsid w:val="007B6CBB"/>
    <w:rsid w:val="007C105E"/>
    <w:rsid w:val="007D0CFE"/>
    <w:rsid w:val="007E044F"/>
    <w:rsid w:val="007F0392"/>
    <w:rsid w:val="0080004F"/>
    <w:rsid w:val="0081274E"/>
    <w:rsid w:val="008170D0"/>
    <w:rsid w:val="00817150"/>
    <w:rsid w:val="00822E82"/>
    <w:rsid w:val="00822FB4"/>
    <w:rsid w:val="0082322E"/>
    <w:rsid w:val="008239B9"/>
    <w:rsid w:val="0082406D"/>
    <w:rsid w:val="008269F6"/>
    <w:rsid w:val="00831C01"/>
    <w:rsid w:val="00833304"/>
    <w:rsid w:val="00836313"/>
    <w:rsid w:val="00842FE8"/>
    <w:rsid w:val="0085032C"/>
    <w:rsid w:val="008510CF"/>
    <w:rsid w:val="0085139E"/>
    <w:rsid w:val="008514E3"/>
    <w:rsid w:val="00854BE0"/>
    <w:rsid w:val="008656E7"/>
    <w:rsid w:val="008657ED"/>
    <w:rsid w:val="00871A8A"/>
    <w:rsid w:val="00875755"/>
    <w:rsid w:val="0087633E"/>
    <w:rsid w:val="0088297E"/>
    <w:rsid w:val="00883D20"/>
    <w:rsid w:val="008863EC"/>
    <w:rsid w:val="00886D12"/>
    <w:rsid w:val="00886F50"/>
    <w:rsid w:val="00890688"/>
    <w:rsid w:val="00890A50"/>
    <w:rsid w:val="008A0112"/>
    <w:rsid w:val="008A0954"/>
    <w:rsid w:val="008A337E"/>
    <w:rsid w:val="008A42B0"/>
    <w:rsid w:val="008A7C34"/>
    <w:rsid w:val="008C0B0C"/>
    <w:rsid w:val="008C0EC6"/>
    <w:rsid w:val="008C7184"/>
    <w:rsid w:val="008D0D27"/>
    <w:rsid w:val="008D4714"/>
    <w:rsid w:val="008D5BEC"/>
    <w:rsid w:val="008D6E3A"/>
    <w:rsid w:val="008E3CDD"/>
    <w:rsid w:val="008E6E9E"/>
    <w:rsid w:val="008F0615"/>
    <w:rsid w:val="008F4CDD"/>
    <w:rsid w:val="00901176"/>
    <w:rsid w:val="0091015D"/>
    <w:rsid w:val="00911476"/>
    <w:rsid w:val="009141C4"/>
    <w:rsid w:val="009154DD"/>
    <w:rsid w:val="00920415"/>
    <w:rsid w:val="00922FE8"/>
    <w:rsid w:val="00933B02"/>
    <w:rsid w:val="00936B6E"/>
    <w:rsid w:val="009373EF"/>
    <w:rsid w:val="00940713"/>
    <w:rsid w:val="009409A1"/>
    <w:rsid w:val="00943F8B"/>
    <w:rsid w:val="00947493"/>
    <w:rsid w:val="00952066"/>
    <w:rsid w:val="00952921"/>
    <w:rsid w:val="00972612"/>
    <w:rsid w:val="0097315E"/>
    <w:rsid w:val="0097410F"/>
    <w:rsid w:val="00974AC4"/>
    <w:rsid w:val="00983C71"/>
    <w:rsid w:val="0098647F"/>
    <w:rsid w:val="00986CAA"/>
    <w:rsid w:val="00986E5A"/>
    <w:rsid w:val="00987D4A"/>
    <w:rsid w:val="0099555A"/>
    <w:rsid w:val="009A1CB6"/>
    <w:rsid w:val="009A305E"/>
    <w:rsid w:val="009A5FBB"/>
    <w:rsid w:val="009A6EB7"/>
    <w:rsid w:val="009B0F71"/>
    <w:rsid w:val="009B3CD3"/>
    <w:rsid w:val="009B544B"/>
    <w:rsid w:val="009C213F"/>
    <w:rsid w:val="009C52D7"/>
    <w:rsid w:val="009C6E8C"/>
    <w:rsid w:val="009D0651"/>
    <w:rsid w:val="009D5110"/>
    <w:rsid w:val="009E2A6B"/>
    <w:rsid w:val="009E5F61"/>
    <w:rsid w:val="009E63FB"/>
    <w:rsid w:val="009F5A3D"/>
    <w:rsid w:val="00A01724"/>
    <w:rsid w:val="00A06853"/>
    <w:rsid w:val="00A074D1"/>
    <w:rsid w:val="00A07F1D"/>
    <w:rsid w:val="00A11620"/>
    <w:rsid w:val="00A11759"/>
    <w:rsid w:val="00A139CC"/>
    <w:rsid w:val="00A147CF"/>
    <w:rsid w:val="00A15469"/>
    <w:rsid w:val="00A24D1F"/>
    <w:rsid w:val="00A266D9"/>
    <w:rsid w:val="00A26D37"/>
    <w:rsid w:val="00A27C76"/>
    <w:rsid w:val="00A30E7D"/>
    <w:rsid w:val="00A31DEF"/>
    <w:rsid w:val="00A33B2F"/>
    <w:rsid w:val="00A34B2B"/>
    <w:rsid w:val="00A3763C"/>
    <w:rsid w:val="00A42B38"/>
    <w:rsid w:val="00A47242"/>
    <w:rsid w:val="00A516AD"/>
    <w:rsid w:val="00A64AB7"/>
    <w:rsid w:val="00A720A6"/>
    <w:rsid w:val="00A7481D"/>
    <w:rsid w:val="00A762C7"/>
    <w:rsid w:val="00A933E7"/>
    <w:rsid w:val="00AA21A9"/>
    <w:rsid w:val="00AA3903"/>
    <w:rsid w:val="00AB4B2B"/>
    <w:rsid w:val="00AB69EF"/>
    <w:rsid w:val="00AC2748"/>
    <w:rsid w:val="00AC3626"/>
    <w:rsid w:val="00AC3E47"/>
    <w:rsid w:val="00AC5980"/>
    <w:rsid w:val="00AC625C"/>
    <w:rsid w:val="00AD2791"/>
    <w:rsid w:val="00AD3732"/>
    <w:rsid w:val="00AD43C3"/>
    <w:rsid w:val="00AD4529"/>
    <w:rsid w:val="00AE14F7"/>
    <w:rsid w:val="00AE679B"/>
    <w:rsid w:val="00AF5678"/>
    <w:rsid w:val="00AF6C71"/>
    <w:rsid w:val="00B00CBF"/>
    <w:rsid w:val="00B156BF"/>
    <w:rsid w:val="00B43F12"/>
    <w:rsid w:val="00B44ED2"/>
    <w:rsid w:val="00B51A2D"/>
    <w:rsid w:val="00B52D16"/>
    <w:rsid w:val="00B5614B"/>
    <w:rsid w:val="00B570E7"/>
    <w:rsid w:val="00B64ECC"/>
    <w:rsid w:val="00B71569"/>
    <w:rsid w:val="00B71CD0"/>
    <w:rsid w:val="00B80BFA"/>
    <w:rsid w:val="00B81010"/>
    <w:rsid w:val="00B83FE9"/>
    <w:rsid w:val="00BA057A"/>
    <w:rsid w:val="00BA36B1"/>
    <w:rsid w:val="00BA49F3"/>
    <w:rsid w:val="00BA737D"/>
    <w:rsid w:val="00BC09F7"/>
    <w:rsid w:val="00BC22DF"/>
    <w:rsid w:val="00BC649D"/>
    <w:rsid w:val="00BD0A20"/>
    <w:rsid w:val="00BD0DBA"/>
    <w:rsid w:val="00BD6A4C"/>
    <w:rsid w:val="00BE19BA"/>
    <w:rsid w:val="00BE49FC"/>
    <w:rsid w:val="00BE6E80"/>
    <w:rsid w:val="00BE7C87"/>
    <w:rsid w:val="00BF1678"/>
    <w:rsid w:val="00BF1869"/>
    <w:rsid w:val="00BF49E5"/>
    <w:rsid w:val="00C02E40"/>
    <w:rsid w:val="00C0346F"/>
    <w:rsid w:val="00C03DE6"/>
    <w:rsid w:val="00C04BB2"/>
    <w:rsid w:val="00C14AE1"/>
    <w:rsid w:val="00C231F9"/>
    <w:rsid w:val="00C26081"/>
    <w:rsid w:val="00C32CF6"/>
    <w:rsid w:val="00C335C4"/>
    <w:rsid w:val="00C33809"/>
    <w:rsid w:val="00C35121"/>
    <w:rsid w:val="00C3688D"/>
    <w:rsid w:val="00C46EF8"/>
    <w:rsid w:val="00C50A3B"/>
    <w:rsid w:val="00C5208A"/>
    <w:rsid w:val="00C527E3"/>
    <w:rsid w:val="00C6119D"/>
    <w:rsid w:val="00C81A3B"/>
    <w:rsid w:val="00C86324"/>
    <w:rsid w:val="00C86C6A"/>
    <w:rsid w:val="00CA381C"/>
    <w:rsid w:val="00CB375A"/>
    <w:rsid w:val="00CC3ED3"/>
    <w:rsid w:val="00CC3EEC"/>
    <w:rsid w:val="00CC4709"/>
    <w:rsid w:val="00CC6385"/>
    <w:rsid w:val="00CC7EFF"/>
    <w:rsid w:val="00CD081F"/>
    <w:rsid w:val="00CD1F67"/>
    <w:rsid w:val="00CD2A27"/>
    <w:rsid w:val="00CD3A1C"/>
    <w:rsid w:val="00CD584C"/>
    <w:rsid w:val="00CD7CCC"/>
    <w:rsid w:val="00CE6706"/>
    <w:rsid w:val="00CE76AF"/>
    <w:rsid w:val="00CE780F"/>
    <w:rsid w:val="00CF37B0"/>
    <w:rsid w:val="00CF4EFC"/>
    <w:rsid w:val="00CF6CC4"/>
    <w:rsid w:val="00D00C5D"/>
    <w:rsid w:val="00D0179A"/>
    <w:rsid w:val="00D0369D"/>
    <w:rsid w:val="00D067B2"/>
    <w:rsid w:val="00D0702C"/>
    <w:rsid w:val="00D11D40"/>
    <w:rsid w:val="00D12322"/>
    <w:rsid w:val="00D13866"/>
    <w:rsid w:val="00D1574A"/>
    <w:rsid w:val="00D173A2"/>
    <w:rsid w:val="00D200FF"/>
    <w:rsid w:val="00D22EE3"/>
    <w:rsid w:val="00D31A85"/>
    <w:rsid w:val="00D31B46"/>
    <w:rsid w:val="00D33E97"/>
    <w:rsid w:val="00D34A4B"/>
    <w:rsid w:val="00D35904"/>
    <w:rsid w:val="00D37A2D"/>
    <w:rsid w:val="00D4147B"/>
    <w:rsid w:val="00D45EF2"/>
    <w:rsid w:val="00D477B3"/>
    <w:rsid w:val="00D53C8A"/>
    <w:rsid w:val="00D56320"/>
    <w:rsid w:val="00D60FB7"/>
    <w:rsid w:val="00D63929"/>
    <w:rsid w:val="00D63CCC"/>
    <w:rsid w:val="00D64BC0"/>
    <w:rsid w:val="00D65FAC"/>
    <w:rsid w:val="00D718F6"/>
    <w:rsid w:val="00D71AC3"/>
    <w:rsid w:val="00D7321D"/>
    <w:rsid w:val="00D738E6"/>
    <w:rsid w:val="00D743F2"/>
    <w:rsid w:val="00D77C4E"/>
    <w:rsid w:val="00D80055"/>
    <w:rsid w:val="00D80E36"/>
    <w:rsid w:val="00D93C19"/>
    <w:rsid w:val="00D9493C"/>
    <w:rsid w:val="00DA1D1A"/>
    <w:rsid w:val="00DA382D"/>
    <w:rsid w:val="00DA458D"/>
    <w:rsid w:val="00DA6084"/>
    <w:rsid w:val="00DA71D3"/>
    <w:rsid w:val="00DB1A9D"/>
    <w:rsid w:val="00DB3F38"/>
    <w:rsid w:val="00DB4B01"/>
    <w:rsid w:val="00DB671E"/>
    <w:rsid w:val="00DC5E74"/>
    <w:rsid w:val="00DD4307"/>
    <w:rsid w:val="00DD462C"/>
    <w:rsid w:val="00DD529F"/>
    <w:rsid w:val="00DD52CC"/>
    <w:rsid w:val="00DD57CA"/>
    <w:rsid w:val="00DD669C"/>
    <w:rsid w:val="00DE07D3"/>
    <w:rsid w:val="00DE7BB8"/>
    <w:rsid w:val="00DF5924"/>
    <w:rsid w:val="00E07C63"/>
    <w:rsid w:val="00E07C6E"/>
    <w:rsid w:val="00E11037"/>
    <w:rsid w:val="00E133AF"/>
    <w:rsid w:val="00E15F44"/>
    <w:rsid w:val="00E20E5B"/>
    <w:rsid w:val="00E22F17"/>
    <w:rsid w:val="00E27354"/>
    <w:rsid w:val="00E307D0"/>
    <w:rsid w:val="00E3482B"/>
    <w:rsid w:val="00E35B8C"/>
    <w:rsid w:val="00E43E86"/>
    <w:rsid w:val="00E46CAC"/>
    <w:rsid w:val="00E53948"/>
    <w:rsid w:val="00E55446"/>
    <w:rsid w:val="00E607F1"/>
    <w:rsid w:val="00E62926"/>
    <w:rsid w:val="00E644EE"/>
    <w:rsid w:val="00E71180"/>
    <w:rsid w:val="00E71972"/>
    <w:rsid w:val="00E74277"/>
    <w:rsid w:val="00E743C8"/>
    <w:rsid w:val="00E75849"/>
    <w:rsid w:val="00E84D95"/>
    <w:rsid w:val="00E850AF"/>
    <w:rsid w:val="00E86F9A"/>
    <w:rsid w:val="00E92703"/>
    <w:rsid w:val="00E94206"/>
    <w:rsid w:val="00E94977"/>
    <w:rsid w:val="00E9550F"/>
    <w:rsid w:val="00E966C6"/>
    <w:rsid w:val="00EA14C3"/>
    <w:rsid w:val="00EA56C6"/>
    <w:rsid w:val="00EB00EB"/>
    <w:rsid w:val="00EB63C0"/>
    <w:rsid w:val="00EB6E94"/>
    <w:rsid w:val="00EB75FD"/>
    <w:rsid w:val="00EC72DF"/>
    <w:rsid w:val="00EC7E87"/>
    <w:rsid w:val="00ED09E0"/>
    <w:rsid w:val="00ED1AEA"/>
    <w:rsid w:val="00ED5EC5"/>
    <w:rsid w:val="00ED7CA7"/>
    <w:rsid w:val="00EE0C07"/>
    <w:rsid w:val="00EE6EC6"/>
    <w:rsid w:val="00EE7002"/>
    <w:rsid w:val="00EF141A"/>
    <w:rsid w:val="00F114D3"/>
    <w:rsid w:val="00F12296"/>
    <w:rsid w:val="00F174D6"/>
    <w:rsid w:val="00F20964"/>
    <w:rsid w:val="00F2129A"/>
    <w:rsid w:val="00F232A8"/>
    <w:rsid w:val="00F431F8"/>
    <w:rsid w:val="00F545AB"/>
    <w:rsid w:val="00F55130"/>
    <w:rsid w:val="00F554EE"/>
    <w:rsid w:val="00F601D7"/>
    <w:rsid w:val="00F61584"/>
    <w:rsid w:val="00F632D4"/>
    <w:rsid w:val="00F6390F"/>
    <w:rsid w:val="00F6706A"/>
    <w:rsid w:val="00F670D8"/>
    <w:rsid w:val="00F7315E"/>
    <w:rsid w:val="00F7432A"/>
    <w:rsid w:val="00F75BAB"/>
    <w:rsid w:val="00F8419F"/>
    <w:rsid w:val="00F8763E"/>
    <w:rsid w:val="00F939DC"/>
    <w:rsid w:val="00F95565"/>
    <w:rsid w:val="00F962B1"/>
    <w:rsid w:val="00F97C97"/>
    <w:rsid w:val="00FA189A"/>
    <w:rsid w:val="00FA3A2F"/>
    <w:rsid w:val="00FA476A"/>
    <w:rsid w:val="00FA6C6D"/>
    <w:rsid w:val="00FA73A1"/>
    <w:rsid w:val="00FB0B6F"/>
    <w:rsid w:val="00FC1159"/>
    <w:rsid w:val="00FC7AD4"/>
    <w:rsid w:val="00FD0C24"/>
    <w:rsid w:val="00FD4179"/>
    <w:rsid w:val="00FD67E7"/>
    <w:rsid w:val="00FE10CF"/>
    <w:rsid w:val="00FE18CB"/>
    <w:rsid w:val="00FE3153"/>
    <w:rsid w:val="00FE51B5"/>
    <w:rsid w:val="00FF13DE"/>
    <w:rsid w:val="00FF4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B7BF9"/>
  <w15:docId w15:val="{F0684AF6-38D9-8548-90A4-DC5BD8D6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A2D"/>
    <w:rPr>
      <w:rFonts w:ascii="Times New Roman" w:hAnsi="Times New Roman" w:cs="Times New Roman"/>
      <w:lang w:val="en-GB" w:eastAsia="en-GB"/>
    </w:rPr>
  </w:style>
  <w:style w:type="paragraph" w:styleId="Heading1">
    <w:name w:val="heading 1"/>
    <w:basedOn w:val="Normal"/>
    <w:next w:val="Normal"/>
    <w:link w:val="Heading1Char"/>
    <w:uiPriority w:val="9"/>
    <w:qFormat/>
    <w:rsid w:val="00D7321D"/>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4">
    <w:name w:val="heading 4"/>
    <w:basedOn w:val="Normal"/>
    <w:link w:val="Heading4Char"/>
    <w:uiPriority w:val="9"/>
    <w:qFormat/>
    <w:rsid w:val="00E7197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933E7"/>
    <w:rPr>
      <w:i/>
      <w:iCs/>
    </w:rPr>
  </w:style>
  <w:style w:type="paragraph" w:customStyle="1" w:styleId="ah">
    <w:name w:val="ah"/>
    <w:next w:val="Normal"/>
    <w:rsid w:val="00A933E7"/>
    <w:pPr>
      <w:spacing w:before="360" w:after="60"/>
      <w:outlineLvl w:val="2"/>
    </w:pPr>
    <w:rPr>
      <w:rFonts w:ascii="Arial" w:eastAsia="Times New Roman" w:hAnsi="Arial" w:cs="Times New Roman"/>
      <w:sz w:val="40"/>
      <w:szCs w:val="20"/>
    </w:rPr>
  </w:style>
  <w:style w:type="paragraph" w:customStyle="1" w:styleId="bqs">
    <w:name w:val="bqs"/>
    <w:basedOn w:val="Normal"/>
    <w:next w:val="Normal"/>
    <w:rsid w:val="00A933E7"/>
    <w:pPr>
      <w:widowControl w:val="0"/>
      <w:spacing w:before="120" w:after="360"/>
      <w:ind w:left="360" w:right="360"/>
      <w:jc w:val="both"/>
    </w:pPr>
    <w:rPr>
      <w:rFonts w:eastAsia="Times New Roman"/>
      <w:sz w:val="22"/>
      <w:lang w:val="en-US" w:eastAsia="en-US"/>
    </w:rPr>
  </w:style>
  <w:style w:type="paragraph" w:customStyle="1" w:styleId="en">
    <w:name w:val="en"/>
    <w:rsid w:val="00A933E7"/>
    <w:pPr>
      <w:widowControl w:val="0"/>
      <w:spacing w:line="360" w:lineRule="auto"/>
      <w:ind w:left="360" w:hanging="360"/>
    </w:pPr>
    <w:rPr>
      <w:rFonts w:ascii="Times New Roman" w:eastAsia="Times New Roman" w:hAnsi="Times New Roman" w:cs="Times New Roman"/>
      <w:sz w:val="20"/>
    </w:rPr>
  </w:style>
  <w:style w:type="character" w:customStyle="1" w:styleId="ennum">
    <w:name w:val="ennum"/>
    <w:qFormat/>
    <w:rsid w:val="00A933E7"/>
    <w:rPr>
      <w:rFonts w:ascii="Times New Roman" w:hAnsi="Times New Roman"/>
      <w:color w:val="0000FF"/>
      <w:vertAlign w:val="baseline"/>
    </w:rPr>
  </w:style>
  <w:style w:type="character" w:customStyle="1" w:styleId="enref">
    <w:name w:val="enref"/>
    <w:rsid w:val="00A933E7"/>
    <w:rPr>
      <w:color w:val="0000FF"/>
      <w:vertAlign w:val="superscript"/>
    </w:rPr>
  </w:style>
  <w:style w:type="character" w:customStyle="1" w:styleId="i">
    <w:name w:val="i"/>
    <w:rsid w:val="00A933E7"/>
    <w:rPr>
      <w:i/>
      <w:color w:val="008000"/>
      <w:szCs w:val="24"/>
      <w:bdr w:val="none" w:sz="0" w:space="0" w:color="auto"/>
    </w:rPr>
  </w:style>
  <w:style w:type="paragraph" w:customStyle="1" w:styleId="p">
    <w:name w:val="p"/>
    <w:rsid w:val="00A933E7"/>
    <w:pPr>
      <w:widowControl w:val="0"/>
      <w:spacing w:line="360" w:lineRule="auto"/>
      <w:ind w:firstLine="720"/>
    </w:pPr>
    <w:rPr>
      <w:rFonts w:ascii="Times New Roman" w:eastAsia="Times New Roman" w:hAnsi="Times New Roman" w:cs="Times New Roman"/>
    </w:rPr>
  </w:style>
  <w:style w:type="paragraph" w:customStyle="1" w:styleId="paft">
    <w:name w:val="paft"/>
    <w:basedOn w:val="Normal"/>
    <w:next w:val="p"/>
    <w:rsid w:val="00A933E7"/>
    <w:pPr>
      <w:widowControl w:val="0"/>
      <w:spacing w:before="200" w:line="360" w:lineRule="auto"/>
    </w:pPr>
    <w:rPr>
      <w:rFonts w:eastAsia="Times New Roman"/>
      <w:lang w:val="en-US" w:eastAsia="en-US"/>
    </w:rPr>
  </w:style>
  <w:style w:type="paragraph" w:styleId="PlainText">
    <w:name w:val="Plain Text"/>
    <w:basedOn w:val="Normal"/>
    <w:link w:val="PlainTextChar"/>
    <w:rsid w:val="00204A74"/>
    <w:rPr>
      <w:rFonts w:ascii="Courier New" w:eastAsia="Times New Roman" w:hAnsi="Courier New" w:cs="Courier New"/>
      <w:sz w:val="20"/>
      <w:szCs w:val="20"/>
      <w:lang w:val="en-US" w:eastAsia="ja-JP"/>
    </w:rPr>
  </w:style>
  <w:style w:type="character" w:customStyle="1" w:styleId="PlainTextChar">
    <w:name w:val="Plain Text Char"/>
    <w:basedOn w:val="DefaultParagraphFont"/>
    <w:link w:val="PlainText"/>
    <w:rsid w:val="00204A74"/>
    <w:rPr>
      <w:rFonts w:ascii="Courier New" w:eastAsia="Times New Roman" w:hAnsi="Courier New" w:cs="Courier New"/>
      <w:sz w:val="20"/>
      <w:szCs w:val="20"/>
      <w:lang w:eastAsia="ja-JP"/>
    </w:rPr>
  </w:style>
  <w:style w:type="character" w:styleId="FootnoteReference">
    <w:name w:val="footnote reference"/>
    <w:basedOn w:val="DefaultParagraphFont"/>
    <w:uiPriority w:val="99"/>
    <w:rsid w:val="00204A74"/>
    <w:rPr>
      <w:vertAlign w:val="superscript"/>
    </w:rPr>
  </w:style>
  <w:style w:type="paragraph" w:customStyle="1" w:styleId="Footnote">
    <w:name w:val="Footnote"/>
    <w:basedOn w:val="FootnoteText"/>
    <w:link w:val="FootnoteChar"/>
    <w:autoRedefine/>
    <w:rsid w:val="00204A74"/>
    <w:pPr>
      <w:spacing w:after="60"/>
    </w:pPr>
    <w:rPr>
      <w:rFonts w:ascii="Times New Roman" w:eastAsia="Times New Roman" w:hAnsi="Times New Roman" w:cs="Times New Roman"/>
      <w:sz w:val="20"/>
      <w:lang w:eastAsia="ja-JP"/>
    </w:rPr>
  </w:style>
  <w:style w:type="paragraph" w:styleId="FootnoteText">
    <w:name w:val="footnote text"/>
    <w:basedOn w:val="Normal"/>
    <w:link w:val="FootnoteTextChar"/>
    <w:uiPriority w:val="99"/>
    <w:unhideWhenUsed/>
    <w:rsid w:val="00204A74"/>
    <w:rPr>
      <w:rFonts w:asciiTheme="minorHAnsi" w:hAnsiTheme="minorHAnsi" w:cstheme="minorBidi"/>
      <w:lang w:val="en-US" w:eastAsia="en-US"/>
    </w:rPr>
  </w:style>
  <w:style w:type="character" w:customStyle="1" w:styleId="FootnoteTextChar">
    <w:name w:val="Footnote Text Char"/>
    <w:basedOn w:val="DefaultParagraphFont"/>
    <w:link w:val="FootnoteText"/>
    <w:uiPriority w:val="99"/>
    <w:rsid w:val="00204A74"/>
  </w:style>
  <w:style w:type="character" w:customStyle="1" w:styleId="FootnoteChar">
    <w:name w:val="Footnote Char"/>
    <w:basedOn w:val="DefaultParagraphFont"/>
    <w:link w:val="Footnote"/>
    <w:rsid w:val="00204A74"/>
    <w:rPr>
      <w:rFonts w:ascii="Times New Roman" w:eastAsia="Times New Roman" w:hAnsi="Times New Roman" w:cs="Times New Roman"/>
      <w:sz w:val="20"/>
      <w:lang w:eastAsia="ja-JP"/>
    </w:rPr>
  </w:style>
  <w:style w:type="paragraph" w:styleId="NoSpacing">
    <w:name w:val="No Spacing"/>
    <w:uiPriority w:val="1"/>
    <w:qFormat/>
    <w:rsid w:val="00C26081"/>
    <w:rPr>
      <w:sz w:val="22"/>
      <w:szCs w:val="22"/>
    </w:rPr>
  </w:style>
  <w:style w:type="character" w:styleId="CommentReference">
    <w:name w:val="annotation reference"/>
    <w:basedOn w:val="DefaultParagraphFont"/>
    <w:uiPriority w:val="99"/>
    <w:semiHidden/>
    <w:unhideWhenUsed/>
    <w:rsid w:val="00116F6B"/>
    <w:rPr>
      <w:sz w:val="16"/>
      <w:szCs w:val="16"/>
    </w:rPr>
  </w:style>
  <w:style w:type="paragraph" w:styleId="CommentText">
    <w:name w:val="annotation text"/>
    <w:basedOn w:val="Normal"/>
    <w:link w:val="CommentTextChar"/>
    <w:uiPriority w:val="99"/>
    <w:semiHidden/>
    <w:unhideWhenUsed/>
    <w:rsid w:val="00116F6B"/>
    <w:rPr>
      <w:rFonts w:ascii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116F6B"/>
    <w:rPr>
      <w:sz w:val="20"/>
      <w:szCs w:val="20"/>
    </w:rPr>
  </w:style>
  <w:style w:type="paragraph" w:styleId="CommentSubject">
    <w:name w:val="annotation subject"/>
    <w:basedOn w:val="CommentText"/>
    <w:next w:val="CommentText"/>
    <w:link w:val="CommentSubjectChar"/>
    <w:uiPriority w:val="99"/>
    <w:semiHidden/>
    <w:unhideWhenUsed/>
    <w:rsid w:val="00116F6B"/>
    <w:rPr>
      <w:b/>
      <w:bCs/>
    </w:rPr>
  </w:style>
  <w:style w:type="character" w:customStyle="1" w:styleId="CommentSubjectChar">
    <w:name w:val="Comment Subject Char"/>
    <w:basedOn w:val="CommentTextChar"/>
    <w:link w:val="CommentSubject"/>
    <w:uiPriority w:val="99"/>
    <w:semiHidden/>
    <w:rsid w:val="00116F6B"/>
    <w:rPr>
      <w:b/>
      <w:bCs/>
      <w:sz w:val="20"/>
      <w:szCs w:val="20"/>
    </w:rPr>
  </w:style>
  <w:style w:type="paragraph" w:styleId="BalloonText">
    <w:name w:val="Balloon Text"/>
    <w:basedOn w:val="Normal"/>
    <w:link w:val="BalloonTextChar"/>
    <w:uiPriority w:val="99"/>
    <w:semiHidden/>
    <w:unhideWhenUsed/>
    <w:rsid w:val="00116F6B"/>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116F6B"/>
    <w:rPr>
      <w:rFonts w:ascii="Segoe UI" w:hAnsi="Segoe UI" w:cs="Segoe UI"/>
      <w:sz w:val="18"/>
      <w:szCs w:val="18"/>
    </w:rPr>
  </w:style>
  <w:style w:type="paragraph" w:styleId="ListParagraph">
    <w:name w:val="List Paragraph"/>
    <w:basedOn w:val="Normal"/>
    <w:uiPriority w:val="34"/>
    <w:qFormat/>
    <w:rsid w:val="00822E82"/>
    <w:pPr>
      <w:ind w:left="720"/>
      <w:contextualSpacing/>
    </w:pPr>
    <w:rPr>
      <w:rFonts w:asciiTheme="minorHAnsi" w:hAnsiTheme="minorHAnsi" w:cstheme="minorBidi"/>
      <w:lang w:val="en-US" w:eastAsia="en-US"/>
    </w:rPr>
  </w:style>
  <w:style w:type="paragraph" w:styleId="EndnoteText">
    <w:name w:val="endnote text"/>
    <w:basedOn w:val="Normal"/>
    <w:link w:val="EndnoteTextChar"/>
    <w:uiPriority w:val="99"/>
    <w:unhideWhenUsed/>
    <w:rsid w:val="00D1574A"/>
    <w:rPr>
      <w:rFonts w:asciiTheme="minorHAnsi" w:hAnsiTheme="minorHAnsi" w:cstheme="minorBidi"/>
      <w:lang w:val="en-US" w:eastAsia="en-US"/>
    </w:rPr>
  </w:style>
  <w:style w:type="character" w:customStyle="1" w:styleId="EndnoteTextChar">
    <w:name w:val="Endnote Text Char"/>
    <w:basedOn w:val="DefaultParagraphFont"/>
    <w:link w:val="EndnoteText"/>
    <w:uiPriority w:val="99"/>
    <w:rsid w:val="00D1574A"/>
  </w:style>
  <w:style w:type="character" w:styleId="EndnoteReference">
    <w:name w:val="endnote reference"/>
    <w:basedOn w:val="DefaultParagraphFont"/>
    <w:uiPriority w:val="99"/>
    <w:unhideWhenUsed/>
    <w:rsid w:val="00D1574A"/>
    <w:rPr>
      <w:vertAlign w:val="superscript"/>
    </w:rPr>
  </w:style>
  <w:style w:type="paragraph" w:styleId="Header">
    <w:name w:val="header"/>
    <w:basedOn w:val="Normal"/>
    <w:link w:val="HeaderChar"/>
    <w:uiPriority w:val="99"/>
    <w:unhideWhenUsed/>
    <w:rsid w:val="002C5BE1"/>
    <w:pPr>
      <w:tabs>
        <w:tab w:val="center" w:pos="4680"/>
        <w:tab w:val="right" w:pos="9360"/>
      </w:tabs>
    </w:pPr>
    <w:rPr>
      <w:rFonts w:asciiTheme="minorHAnsi" w:hAnsiTheme="minorHAnsi" w:cstheme="minorBidi"/>
      <w:lang w:val="en-US" w:eastAsia="en-US"/>
    </w:rPr>
  </w:style>
  <w:style w:type="character" w:customStyle="1" w:styleId="HeaderChar">
    <w:name w:val="Header Char"/>
    <w:basedOn w:val="DefaultParagraphFont"/>
    <w:link w:val="Header"/>
    <w:uiPriority w:val="99"/>
    <w:rsid w:val="002C5BE1"/>
  </w:style>
  <w:style w:type="paragraph" w:styleId="Footer">
    <w:name w:val="footer"/>
    <w:basedOn w:val="Normal"/>
    <w:link w:val="FooterChar"/>
    <w:uiPriority w:val="99"/>
    <w:unhideWhenUsed/>
    <w:rsid w:val="002C5BE1"/>
    <w:pPr>
      <w:tabs>
        <w:tab w:val="center" w:pos="4680"/>
        <w:tab w:val="right" w:pos="9360"/>
      </w:tabs>
    </w:pPr>
    <w:rPr>
      <w:rFonts w:asciiTheme="minorHAnsi" w:hAnsiTheme="minorHAnsi" w:cstheme="minorBidi"/>
      <w:lang w:val="en-US" w:eastAsia="en-US"/>
    </w:rPr>
  </w:style>
  <w:style w:type="character" w:customStyle="1" w:styleId="FooterChar">
    <w:name w:val="Footer Char"/>
    <w:basedOn w:val="DefaultParagraphFont"/>
    <w:link w:val="Footer"/>
    <w:uiPriority w:val="99"/>
    <w:rsid w:val="002C5BE1"/>
  </w:style>
  <w:style w:type="table" w:styleId="TableGrid">
    <w:name w:val="Table Grid"/>
    <w:basedOn w:val="TableNormal"/>
    <w:uiPriority w:val="39"/>
    <w:rsid w:val="0063295A"/>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BodyText"/>
    <w:link w:val="SubtitleChar"/>
    <w:qFormat/>
    <w:rsid w:val="00712643"/>
    <w:pPr>
      <w:keepNext/>
      <w:keepLines/>
      <w:tabs>
        <w:tab w:val="right" w:pos="8640"/>
      </w:tabs>
      <w:spacing w:line="480" w:lineRule="auto"/>
      <w:ind w:left="1915" w:right="1915"/>
      <w:jc w:val="center"/>
    </w:pPr>
    <w:rPr>
      <w:rFonts w:ascii="Garamond" w:eastAsia="Times New Roman" w:hAnsi="Garamond"/>
      <w:kern w:val="28"/>
      <w:lang w:val="en-US" w:eastAsia="en-US"/>
    </w:rPr>
  </w:style>
  <w:style w:type="character" w:customStyle="1" w:styleId="SubtitleChar">
    <w:name w:val="Subtitle Char"/>
    <w:basedOn w:val="DefaultParagraphFont"/>
    <w:link w:val="Subtitle"/>
    <w:rsid w:val="00712643"/>
    <w:rPr>
      <w:rFonts w:ascii="Garamond" w:eastAsia="Times New Roman" w:hAnsi="Garamond" w:cs="Times New Roman"/>
      <w:kern w:val="28"/>
    </w:rPr>
  </w:style>
  <w:style w:type="paragraph" w:styleId="BodyText">
    <w:name w:val="Body Text"/>
    <w:basedOn w:val="Normal"/>
    <w:link w:val="BodyTextChar"/>
    <w:uiPriority w:val="99"/>
    <w:semiHidden/>
    <w:unhideWhenUsed/>
    <w:rsid w:val="00712643"/>
    <w:pPr>
      <w:spacing w:after="120"/>
    </w:pPr>
    <w:rPr>
      <w:rFonts w:asciiTheme="minorHAnsi" w:hAnsiTheme="minorHAnsi" w:cstheme="minorBidi"/>
      <w:lang w:val="en-US" w:eastAsia="en-US"/>
    </w:rPr>
  </w:style>
  <w:style w:type="character" w:customStyle="1" w:styleId="BodyTextChar">
    <w:name w:val="Body Text Char"/>
    <w:basedOn w:val="DefaultParagraphFont"/>
    <w:link w:val="BodyText"/>
    <w:uiPriority w:val="99"/>
    <w:semiHidden/>
    <w:rsid w:val="00712643"/>
  </w:style>
  <w:style w:type="character" w:styleId="Hyperlink">
    <w:name w:val="Hyperlink"/>
    <w:basedOn w:val="DefaultParagraphFont"/>
    <w:uiPriority w:val="99"/>
    <w:unhideWhenUsed/>
    <w:rsid w:val="00450B35"/>
    <w:rPr>
      <w:color w:val="0563C1" w:themeColor="hyperlink"/>
      <w:u w:val="single"/>
    </w:rPr>
  </w:style>
  <w:style w:type="paragraph" w:styleId="NormalWeb">
    <w:name w:val="Normal (Web)"/>
    <w:basedOn w:val="Normal"/>
    <w:uiPriority w:val="99"/>
    <w:semiHidden/>
    <w:unhideWhenUsed/>
    <w:rsid w:val="001D1515"/>
    <w:pPr>
      <w:spacing w:before="100" w:beforeAutospacing="1" w:after="100" w:afterAutospacing="1"/>
    </w:pPr>
  </w:style>
  <w:style w:type="character" w:styleId="FollowedHyperlink">
    <w:name w:val="FollowedHyperlink"/>
    <w:basedOn w:val="DefaultParagraphFont"/>
    <w:uiPriority w:val="99"/>
    <w:semiHidden/>
    <w:unhideWhenUsed/>
    <w:rsid w:val="00C03DE6"/>
    <w:rPr>
      <w:color w:val="954F72" w:themeColor="followedHyperlink"/>
      <w:u w:val="single"/>
    </w:rPr>
  </w:style>
  <w:style w:type="character" w:customStyle="1" w:styleId="citeproc-title">
    <w:name w:val="citeproc-title"/>
    <w:basedOn w:val="DefaultParagraphFont"/>
    <w:rsid w:val="00FE51B5"/>
  </w:style>
  <w:style w:type="character" w:customStyle="1" w:styleId="citeproc-container-title">
    <w:name w:val="citeproc-container-title"/>
    <w:basedOn w:val="DefaultParagraphFont"/>
    <w:rsid w:val="00FE51B5"/>
  </w:style>
  <w:style w:type="character" w:customStyle="1" w:styleId="citeproc-volume">
    <w:name w:val="citeproc-volume"/>
    <w:basedOn w:val="DefaultParagraphFont"/>
    <w:rsid w:val="00FE51B5"/>
  </w:style>
  <w:style w:type="character" w:customStyle="1" w:styleId="citeproc-page">
    <w:name w:val="citeproc-page"/>
    <w:basedOn w:val="DefaultParagraphFont"/>
    <w:rsid w:val="00FE51B5"/>
  </w:style>
  <w:style w:type="character" w:customStyle="1" w:styleId="UnresolvedMention1">
    <w:name w:val="Unresolved Mention1"/>
    <w:basedOn w:val="DefaultParagraphFont"/>
    <w:uiPriority w:val="99"/>
    <w:semiHidden/>
    <w:unhideWhenUsed/>
    <w:rsid w:val="00BE19BA"/>
    <w:rPr>
      <w:color w:val="808080"/>
      <w:shd w:val="clear" w:color="auto" w:fill="E6E6E6"/>
    </w:rPr>
  </w:style>
  <w:style w:type="paragraph" w:styleId="Revision">
    <w:name w:val="Revision"/>
    <w:hidden/>
    <w:uiPriority w:val="99"/>
    <w:semiHidden/>
    <w:rsid w:val="003119F8"/>
    <w:rPr>
      <w:rFonts w:ascii="Times New Roman" w:hAnsi="Times New Roman" w:cs="Times New Roman"/>
      <w:lang w:val="en-GB" w:eastAsia="en-GB"/>
    </w:rPr>
  </w:style>
  <w:style w:type="character" w:customStyle="1" w:styleId="Heading4Char">
    <w:name w:val="Heading 4 Char"/>
    <w:basedOn w:val="DefaultParagraphFont"/>
    <w:link w:val="Heading4"/>
    <w:uiPriority w:val="9"/>
    <w:rsid w:val="00E71972"/>
    <w:rPr>
      <w:rFonts w:ascii="Times New Roman" w:hAnsi="Times New Roman" w:cs="Times New Roman"/>
      <w:b/>
      <w:bCs/>
      <w:lang w:val="en-GB" w:eastAsia="en-GB"/>
    </w:rPr>
  </w:style>
  <w:style w:type="character" w:customStyle="1" w:styleId="apple-converted-space">
    <w:name w:val="apple-converted-space"/>
    <w:basedOn w:val="DefaultParagraphFont"/>
    <w:rsid w:val="00527284"/>
  </w:style>
  <w:style w:type="character" w:customStyle="1" w:styleId="Heading1Char">
    <w:name w:val="Heading 1 Char"/>
    <w:basedOn w:val="DefaultParagraphFont"/>
    <w:link w:val="Heading1"/>
    <w:uiPriority w:val="9"/>
    <w:rsid w:val="00D7321D"/>
    <w:rPr>
      <w:rFonts w:asciiTheme="majorHAnsi" w:eastAsiaTheme="majorEastAsia" w:hAnsiTheme="majorHAnsi" w:cstheme="majorBidi"/>
      <w:b/>
      <w:bCs/>
      <w:color w:val="2D4F8E" w:themeColor="accent1" w:themeShade="B5"/>
      <w:sz w:val="32"/>
      <w:szCs w:val="32"/>
      <w:lang w:val="en-GB" w:eastAsia="en-GB"/>
    </w:rPr>
  </w:style>
  <w:style w:type="character" w:customStyle="1" w:styleId="nlmarticle-title">
    <w:name w:val="nlm_article-title"/>
    <w:basedOn w:val="DefaultParagraphFont"/>
    <w:rsid w:val="00D73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8239">
      <w:bodyDiv w:val="1"/>
      <w:marLeft w:val="0"/>
      <w:marRight w:val="0"/>
      <w:marTop w:val="0"/>
      <w:marBottom w:val="0"/>
      <w:divBdr>
        <w:top w:val="none" w:sz="0" w:space="0" w:color="auto"/>
        <w:left w:val="none" w:sz="0" w:space="0" w:color="auto"/>
        <w:bottom w:val="none" w:sz="0" w:space="0" w:color="auto"/>
        <w:right w:val="none" w:sz="0" w:space="0" w:color="auto"/>
      </w:divBdr>
    </w:div>
    <w:div w:id="37633290">
      <w:bodyDiv w:val="1"/>
      <w:marLeft w:val="0"/>
      <w:marRight w:val="0"/>
      <w:marTop w:val="0"/>
      <w:marBottom w:val="0"/>
      <w:divBdr>
        <w:top w:val="none" w:sz="0" w:space="0" w:color="auto"/>
        <w:left w:val="none" w:sz="0" w:space="0" w:color="auto"/>
        <w:bottom w:val="none" w:sz="0" w:space="0" w:color="auto"/>
        <w:right w:val="none" w:sz="0" w:space="0" w:color="auto"/>
      </w:divBdr>
    </w:div>
    <w:div w:id="137649210">
      <w:bodyDiv w:val="1"/>
      <w:marLeft w:val="0"/>
      <w:marRight w:val="0"/>
      <w:marTop w:val="0"/>
      <w:marBottom w:val="0"/>
      <w:divBdr>
        <w:top w:val="none" w:sz="0" w:space="0" w:color="auto"/>
        <w:left w:val="none" w:sz="0" w:space="0" w:color="auto"/>
        <w:bottom w:val="none" w:sz="0" w:space="0" w:color="auto"/>
        <w:right w:val="none" w:sz="0" w:space="0" w:color="auto"/>
      </w:divBdr>
    </w:div>
    <w:div w:id="199392375">
      <w:bodyDiv w:val="1"/>
      <w:marLeft w:val="0"/>
      <w:marRight w:val="0"/>
      <w:marTop w:val="0"/>
      <w:marBottom w:val="0"/>
      <w:divBdr>
        <w:top w:val="none" w:sz="0" w:space="0" w:color="auto"/>
        <w:left w:val="none" w:sz="0" w:space="0" w:color="auto"/>
        <w:bottom w:val="none" w:sz="0" w:space="0" w:color="auto"/>
        <w:right w:val="none" w:sz="0" w:space="0" w:color="auto"/>
      </w:divBdr>
    </w:div>
    <w:div w:id="218171318">
      <w:bodyDiv w:val="1"/>
      <w:marLeft w:val="0"/>
      <w:marRight w:val="0"/>
      <w:marTop w:val="0"/>
      <w:marBottom w:val="0"/>
      <w:divBdr>
        <w:top w:val="none" w:sz="0" w:space="0" w:color="auto"/>
        <w:left w:val="none" w:sz="0" w:space="0" w:color="auto"/>
        <w:bottom w:val="none" w:sz="0" w:space="0" w:color="auto"/>
        <w:right w:val="none" w:sz="0" w:space="0" w:color="auto"/>
      </w:divBdr>
    </w:div>
    <w:div w:id="286477142">
      <w:bodyDiv w:val="1"/>
      <w:marLeft w:val="0"/>
      <w:marRight w:val="0"/>
      <w:marTop w:val="0"/>
      <w:marBottom w:val="0"/>
      <w:divBdr>
        <w:top w:val="none" w:sz="0" w:space="0" w:color="auto"/>
        <w:left w:val="none" w:sz="0" w:space="0" w:color="auto"/>
        <w:bottom w:val="none" w:sz="0" w:space="0" w:color="auto"/>
        <w:right w:val="none" w:sz="0" w:space="0" w:color="auto"/>
      </w:divBdr>
    </w:div>
    <w:div w:id="356666298">
      <w:bodyDiv w:val="1"/>
      <w:marLeft w:val="0"/>
      <w:marRight w:val="0"/>
      <w:marTop w:val="0"/>
      <w:marBottom w:val="0"/>
      <w:divBdr>
        <w:top w:val="none" w:sz="0" w:space="0" w:color="auto"/>
        <w:left w:val="none" w:sz="0" w:space="0" w:color="auto"/>
        <w:bottom w:val="none" w:sz="0" w:space="0" w:color="auto"/>
        <w:right w:val="none" w:sz="0" w:space="0" w:color="auto"/>
      </w:divBdr>
    </w:div>
    <w:div w:id="367800586">
      <w:bodyDiv w:val="1"/>
      <w:marLeft w:val="0"/>
      <w:marRight w:val="0"/>
      <w:marTop w:val="0"/>
      <w:marBottom w:val="0"/>
      <w:divBdr>
        <w:top w:val="none" w:sz="0" w:space="0" w:color="auto"/>
        <w:left w:val="none" w:sz="0" w:space="0" w:color="auto"/>
        <w:bottom w:val="none" w:sz="0" w:space="0" w:color="auto"/>
        <w:right w:val="none" w:sz="0" w:space="0" w:color="auto"/>
      </w:divBdr>
    </w:div>
    <w:div w:id="484519302">
      <w:bodyDiv w:val="1"/>
      <w:marLeft w:val="0"/>
      <w:marRight w:val="0"/>
      <w:marTop w:val="0"/>
      <w:marBottom w:val="0"/>
      <w:divBdr>
        <w:top w:val="none" w:sz="0" w:space="0" w:color="auto"/>
        <w:left w:val="none" w:sz="0" w:space="0" w:color="auto"/>
        <w:bottom w:val="none" w:sz="0" w:space="0" w:color="auto"/>
        <w:right w:val="none" w:sz="0" w:space="0" w:color="auto"/>
      </w:divBdr>
    </w:div>
    <w:div w:id="562102940">
      <w:bodyDiv w:val="1"/>
      <w:marLeft w:val="0"/>
      <w:marRight w:val="0"/>
      <w:marTop w:val="0"/>
      <w:marBottom w:val="0"/>
      <w:divBdr>
        <w:top w:val="none" w:sz="0" w:space="0" w:color="auto"/>
        <w:left w:val="none" w:sz="0" w:space="0" w:color="auto"/>
        <w:bottom w:val="none" w:sz="0" w:space="0" w:color="auto"/>
        <w:right w:val="none" w:sz="0" w:space="0" w:color="auto"/>
      </w:divBdr>
    </w:div>
    <w:div w:id="812798008">
      <w:bodyDiv w:val="1"/>
      <w:marLeft w:val="0"/>
      <w:marRight w:val="0"/>
      <w:marTop w:val="0"/>
      <w:marBottom w:val="0"/>
      <w:divBdr>
        <w:top w:val="none" w:sz="0" w:space="0" w:color="auto"/>
        <w:left w:val="none" w:sz="0" w:space="0" w:color="auto"/>
        <w:bottom w:val="none" w:sz="0" w:space="0" w:color="auto"/>
        <w:right w:val="none" w:sz="0" w:space="0" w:color="auto"/>
      </w:divBdr>
    </w:div>
    <w:div w:id="855382987">
      <w:bodyDiv w:val="1"/>
      <w:marLeft w:val="0"/>
      <w:marRight w:val="0"/>
      <w:marTop w:val="0"/>
      <w:marBottom w:val="0"/>
      <w:divBdr>
        <w:top w:val="none" w:sz="0" w:space="0" w:color="auto"/>
        <w:left w:val="none" w:sz="0" w:space="0" w:color="auto"/>
        <w:bottom w:val="none" w:sz="0" w:space="0" w:color="auto"/>
        <w:right w:val="none" w:sz="0" w:space="0" w:color="auto"/>
      </w:divBdr>
    </w:div>
    <w:div w:id="869419408">
      <w:bodyDiv w:val="1"/>
      <w:marLeft w:val="0"/>
      <w:marRight w:val="0"/>
      <w:marTop w:val="0"/>
      <w:marBottom w:val="0"/>
      <w:divBdr>
        <w:top w:val="none" w:sz="0" w:space="0" w:color="auto"/>
        <w:left w:val="none" w:sz="0" w:space="0" w:color="auto"/>
        <w:bottom w:val="none" w:sz="0" w:space="0" w:color="auto"/>
        <w:right w:val="none" w:sz="0" w:space="0" w:color="auto"/>
      </w:divBdr>
    </w:div>
    <w:div w:id="1065107925">
      <w:bodyDiv w:val="1"/>
      <w:marLeft w:val="0"/>
      <w:marRight w:val="0"/>
      <w:marTop w:val="0"/>
      <w:marBottom w:val="0"/>
      <w:divBdr>
        <w:top w:val="none" w:sz="0" w:space="0" w:color="auto"/>
        <w:left w:val="none" w:sz="0" w:space="0" w:color="auto"/>
        <w:bottom w:val="none" w:sz="0" w:space="0" w:color="auto"/>
        <w:right w:val="none" w:sz="0" w:space="0" w:color="auto"/>
      </w:divBdr>
    </w:div>
    <w:div w:id="1163470200">
      <w:bodyDiv w:val="1"/>
      <w:marLeft w:val="0"/>
      <w:marRight w:val="0"/>
      <w:marTop w:val="0"/>
      <w:marBottom w:val="0"/>
      <w:divBdr>
        <w:top w:val="none" w:sz="0" w:space="0" w:color="auto"/>
        <w:left w:val="none" w:sz="0" w:space="0" w:color="auto"/>
        <w:bottom w:val="none" w:sz="0" w:space="0" w:color="auto"/>
        <w:right w:val="none" w:sz="0" w:space="0" w:color="auto"/>
      </w:divBdr>
    </w:div>
    <w:div w:id="1216820410">
      <w:bodyDiv w:val="1"/>
      <w:marLeft w:val="0"/>
      <w:marRight w:val="0"/>
      <w:marTop w:val="0"/>
      <w:marBottom w:val="0"/>
      <w:divBdr>
        <w:top w:val="none" w:sz="0" w:space="0" w:color="auto"/>
        <w:left w:val="none" w:sz="0" w:space="0" w:color="auto"/>
        <w:bottom w:val="none" w:sz="0" w:space="0" w:color="auto"/>
        <w:right w:val="none" w:sz="0" w:space="0" w:color="auto"/>
      </w:divBdr>
    </w:div>
    <w:div w:id="1264192298">
      <w:bodyDiv w:val="1"/>
      <w:marLeft w:val="0"/>
      <w:marRight w:val="0"/>
      <w:marTop w:val="0"/>
      <w:marBottom w:val="0"/>
      <w:divBdr>
        <w:top w:val="none" w:sz="0" w:space="0" w:color="auto"/>
        <w:left w:val="none" w:sz="0" w:space="0" w:color="auto"/>
        <w:bottom w:val="none" w:sz="0" w:space="0" w:color="auto"/>
        <w:right w:val="none" w:sz="0" w:space="0" w:color="auto"/>
      </w:divBdr>
    </w:div>
    <w:div w:id="1391686894">
      <w:bodyDiv w:val="1"/>
      <w:marLeft w:val="0"/>
      <w:marRight w:val="0"/>
      <w:marTop w:val="0"/>
      <w:marBottom w:val="0"/>
      <w:divBdr>
        <w:top w:val="none" w:sz="0" w:space="0" w:color="auto"/>
        <w:left w:val="none" w:sz="0" w:space="0" w:color="auto"/>
        <w:bottom w:val="none" w:sz="0" w:space="0" w:color="auto"/>
        <w:right w:val="none" w:sz="0" w:space="0" w:color="auto"/>
      </w:divBdr>
    </w:div>
    <w:div w:id="1463958608">
      <w:bodyDiv w:val="1"/>
      <w:marLeft w:val="0"/>
      <w:marRight w:val="0"/>
      <w:marTop w:val="0"/>
      <w:marBottom w:val="0"/>
      <w:divBdr>
        <w:top w:val="none" w:sz="0" w:space="0" w:color="auto"/>
        <w:left w:val="none" w:sz="0" w:space="0" w:color="auto"/>
        <w:bottom w:val="none" w:sz="0" w:space="0" w:color="auto"/>
        <w:right w:val="none" w:sz="0" w:space="0" w:color="auto"/>
      </w:divBdr>
    </w:div>
    <w:div w:id="1919632341">
      <w:bodyDiv w:val="1"/>
      <w:marLeft w:val="0"/>
      <w:marRight w:val="0"/>
      <w:marTop w:val="0"/>
      <w:marBottom w:val="0"/>
      <w:divBdr>
        <w:top w:val="none" w:sz="0" w:space="0" w:color="auto"/>
        <w:left w:val="none" w:sz="0" w:space="0" w:color="auto"/>
        <w:bottom w:val="none" w:sz="0" w:space="0" w:color="auto"/>
        <w:right w:val="none" w:sz="0" w:space="0" w:color="auto"/>
      </w:divBdr>
      <w:divsChild>
        <w:div w:id="1128813587">
          <w:marLeft w:val="0"/>
          <w:marRight w:val="0"/>
          <w:marTop w:val="0"/>
          <w:marBottom w:val="0"/>
          <w:divBdr>
            <w:top w:val="none" w:sz="0" w:space="0" w:color="auto"/>
            <w:left w:val="none" w:sz="0" w:space="0" w:color="auto"/>
            <w:bottom w:val="none" w:sz="0" w:space="0" w:color="auto"/>
            <w:right w:val="none" w:sz="0" w:space="0" w:color="auto"/>
          </w:divBdr>
        </w:div>
      </w:divsChild>
    </w:div>
    <w:div w:id="1929077394">
      <w:bodyDiv w:val="1"/>
      <w:marLeft w:val="0"/>
      <w:marRight w:val="0"/>
      <w:marTop w:val="0"/>
      <w:marBottom w:val="0"/>
      <w:divBdr>
        <w:top w:val="none" w:sz="0" w:space="0" w:color="auto"/>
        <w:left w:val="none" w:sz="0" w:space="0" w:color="auto"/>
        <w:bottom w:val="none" w:sz="0" w:space="0" w:color="auto"/>
        <w:right w:val="none" w:sz="0" w:space="0" w:color="auto"/>
      </w:divBdr>
    </w:div>
    <w:div w:id="1941717254">
      <w:bodyDiv w:val="1"/>
      <w:marLeft w:val="0"/>
      <w:marRight w:val="0"/>
      <w:marTop w:val="0"/>
      <w:marBottom w:val="0"/>
      <w:divBdr>
        <w:top w:val="none" w:sz="0" w:space="0" w:color="auto"/>
        <w:left w:val="none" w:sz="0" w:space="0" w:color="auto"/>
        <w:bottom w:val="none" w:sz="0" w:space="0" w:color="auto"/>
        <w:right w:val="none" w:sz="0" w:space="0" w:color="auto"/>
      </w:divBdr>
    </w:div>
    <w:div w:id="1968270346">
      <w:bodyDiv w:val="1"/>
      <w:marLeft w:val="0"/>
      <w:marRight w:val="0"/>
      <w:marTop w:val="0"/>
      <w:marBottom w:val="0"/>
      <w:divBdr>
        <w:top w:val="none" w:sz="0" w:space="0" w:color="auto"/>
        <w:left w:val="none" w:sz="0" w:space="0" w:color="auto"/>
        <w:bottom w:val="none" w:sz="0" w:space="0" w:color="auto"/>
        <w:right w:val="none" w:sz="0" w:space="0" w:color="auto"/>
      </w:divBdr>
    </w:div>
    <w:div w:id="2034572149">
      <w:bodyDiv w:val="1"/>
      <w:marLeft w:val="0"/>
      <w:marRight w:val="0"/>
      <w:marTop w:val="0"/>
      <w:marBottom w:val="0"/>
      <w:divBdr>
        <w:top w:val="none" w:sz="0" w:space="0" w:color="auto"/>
        <w:left w:val="none" w:sz="0" w:space="0" w:color="auto"/>
        <w:bottom w:val="none" w:sz="0" w:space="0" w:color="auto"/>
        <w:right w:val="none" w:sz="0" w:space="0" w:color="auto"/>
      </w:divBdr>
    </w:div>
    <w:div w:id="2065831114">
      <w:bodyDiv w:val="1"/>
      <w:marLeft w:val="0"/>
      <w:marRight w:val="0"/>
      <w:marTop w:val="0"/>
      <w:marBottom w:val="0"/>
      <w:divBdr>
        <w:top w:val="none" w:sz="0" w:space="0" w:color="auto"/>
        <w:left w:val="none" w:sz="0" w:space="0" w:color="auto"/>
        <w:bottom w:val="none" w:sz="0" w:space="0" w:color="auto"/>
        <w:right w:val="none" w:sz="0" w:space="0" w:color="auto"/>
      </w:divBdr>
    </w:div>
    <w:div w:id="2142260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a.gov.cy/MOI/pio/pio.nsf/All/20C7614D06858E9FC2256DC200380113/$file/cuco%20report.pdf?OpenEl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bc.com.cy/index.php?option=com_content&amp;task=view&amp;id=729&amp;Itemid=35"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echr.coe.int/Documents/Annual_report_2010_ENG.pdf" TargetMode="External"/><Relationship Id="rId4" Type="http://schemas.openxmlformats.org/officeDocument/2006/relationships/settings" Target="settings.xml"/><Relationship Id="rId9" Type="http://schemas.openxmlformats.org/officeDocument/2006/relationships/hyperlink" Target="https://www.echr.coe.int/Documents/Annual_report_2003_E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D38D-B1C1-447E-BAA4-FC80559F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6650</Words>
  <Characters>37905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Crame</cp:lastModifiedBy>
  <cp:revision>2</cp:revision>
  <cp:lastPrinted>2018-08-21T08:12:00Z</cp:lastPrinted>
  <dcterms:created xsi:type="dcterms:W3CDTF">2019-02-19T15:19:00Z</dcterms:created>
  <dcterms:modified xsi:type="dcterms:W3CDTF">2019-02-19T15:19:00Z</dcterms:modified>
</cp:coreProperties>
</file>