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DF" w:rsidRDefault="00D87838" w:rsidP="008448DF">
      <w:pPr>
        <w:spacing w:line="240" w:lineRule="auto"/>
        <w:jc w:val="center"/>
        <w:rPr>
          <w:b/>
          <w:sz w:val="28"/>
          <w:szCs w:val="28"/>
        </w:rPr>
      </w:pPr>
      <w:r>
        <w:rPr>
          <w:b/>
          <w:sz w:val="28"/>
          <w:szCs w:val="28"/>
        </w:rPr>
        <w:t xml:space="preserve">More </w:t>
      </w:r>
      <w:r w:rsidR="00126D3E">
        <w:rPr>
          <w:b/>
          <w:sz w:val="28"/>
          <w:szCs w:val="28"/>
        </w:rPr>
        <w:t>t</w:t>
      </w:r>
      <w:r>
        <w:rPr>
          <w:b/>
          <w:sz w:val="28"/>
          <w:szCs w:val="28"/>
        </w:rPr>
        <w:t xml:space="preserve">han Just a Different Face? </w:t>
      </w:r>
    </w:p>
    <w:p w:rsidR="00D87838" w:rsidRPr="00D87838" w:rsidRDefault="00D87838" w:rsidP="008448DF">
      <w:pPr>
        <w:spacing w:line="240" w:lineRule="auto"/>
        <w:jc w:val="center"/>
        <w:rPr>
          <w:b/>
          <w:sz w:val="28"/>
          <w:szCs w:val="28"/>
        </w:rPr>
      </w:pPr>
      <w:r>
        <w:rPr>
          <w:b/>
          <w:sz w:val="28"/>
          <w:szCs w:val="28"/>
        </w:rPr>
        <w:t>Judicial Diversity and Decision-Making</w:t>
      </w:r>
    </w:p>
    <w:p w:rsidR="00D87838" w:rsidRDefault="00D87838" w:rsidP="00D87838">
      <w:pPr>
        <w:spacing w:line="240" w:lineRule="auto"/>
        <w:rPr>
          <w:b/>
          <w:sz w:val="24"/>
          <w:szCs w:val="24"/>
        </w:rPr>
      </w:pPr>
    </w:p>
    <w:p w:rsidR="00D87838" w:rsidRDefault="00D87838" w:rsidP="00D87838">
      <w:pPr>
        <w:spacing w:line="240" w:lineRule="auto"/>
        <w:jc w:val="center"/>
        <w:rPr>
          <w:b/>
          <w:sz w:val="24"/>
          <w:szCs w:val="24"/>
        </w:rPr>
      </w:pPr>
    </w:p>
    <w:p w:rsidR="00D87838" w:rsidRPr="008448DF" w:rsidRDefault="00D87838" w:rsidP="00D87838">
      <w:pPr>
        <w:spacing w:line="240" w:lineRule="auto"/>
        <w:jc w:val="center"/>
        <w:rPr>
          <w:b/>
          <w:sz w:val="24"/>
          <w:szCs w:val="24"/>
        </w:rPr>
      </w:pPr>
      <w:r w:rsidRPr="008448DF">
        <w:rPr>
          <w:b/>
          <w:sz w:val="24"/>
          <w:szCs w:val="24"/>
        </w:rPr>
        <w:t>Rosemary Hunter</w:t>
      </w:r>
      <w:r w:rsidR="0085350B">
        <w:rPr>
          <w:rStyle w:val="FootnoteReference"/>
          <w:b/>
          <w:sz w:val="24"/>
          <w:szCs w:val="24"/>
        </w:rPr>
        <w:footnoteReference w:customMarkFollows="1" w:id="1"/>
        <w:t>*</w:t>
      </w:r>
      <w:r w:rsidRPr="008448DF">
        <w:rPr>
          <w:b/>
          <w:sz w:val="24"/>
          <w:szCs w:val="24"/>
        </w:rPr>
        <w:t xml:space="preserve"> </w:t>
      </w:r>
    </w:p>
    <w:p w:rsidR="00D87838" w:rsidRDefault="00D87838" w:rsidP="00D87838">
      <w:pPr>
        <w:spacing w:line="240" w:lineRule="auto"/>
        <w:rPr>
          <w:sz w:val="24"/>
          <w:szCs w:val="24"/>
        </w:rPr>
      </w:pPr>
    </w:p>
    <w:p w:rsidR="00D87838" w:rsidRDefault="00D87838" w:rsidP="00D87838">
      <w:pPr>
        <w:spacing w:line="240" w:lineRule="auto"/>
        <w:rPr>
          <w:sz w:val="24"/>
          <w:szCs w:val="24"/>
        </w:rPr>
      </w:pPr>
    </w:p>
    <w:p w:rsidR="00D87838" w:rsidRDefault="00D87838" w:rsidP="00D87838">
      <w:pPr>
        <w:spacing w:line="240" w:lineRule="auto"/>
        <w:rPr>
          <w:sz w:val="24"/>
          <w:szCs w:val="24"/>
        </w:rPr>
      </w:pPr>
      <w:r>
        <w:rPr>
          <w:b/>
          <w:sz w:val="24"/>
          <w:szCs w:val="24"/>
        </w:rPr>
        <w:t>Abstract</w:t>
      </w:r>
    </w:p>
    <w:p w:rsidR="00D87838" w:rsidRDefault="00D87838" w:rsidP="00D87838">
      <w:pPr>
        <w:spacing w:line="240" w:lineRule="auto"/>
        <w:rPr>
          <w:sz w:val="24"/>
          <w:szCs w:val="24"/>
        </w:rPr>
      </w:pPr>
    </w:p>
    <w:p w:rsidR="00D87838" w:rsidRPr="00D87838" w:rsidRDefault="00D87838" w:rsidP="00D87838">
      <w:pPr>
        <w:spacing w:line="240" w:lineRule="auto"/>
        <w:rPr>
          <w:sz w:val="24"/>
          <w:szCs w:val="24"/>
        </w:rPr>
      </w:pPr>
      <w:r>
        <w:rPr>
          <w:sz w:val="24"/>
          <w:szCs w:val="24"/>
        </w:rPr>
        <w:t xml:space="preserve">This </w:t>
      </w:r>
      <w:r w:rsidR="0085350B">
        <w:rPr>
          <w:sz w:val="24"/>
          <w:szCs w:val="24"/>
        </w:rPr>
        <w:t>article</w:t>
      </w:r>
      <w:r>
        <w:rPr>
          <w:sz w:val="24"/>
          <w:szCs w:val="24"/>
        </w:rPr>
        <w:t xml:space="preserve"> addresses a key question in debates around judicial diversity: what evidence is there that a more diverse judiciary will make a difference to sub</w:t>
      </w:r>
      <w:r w:rsidR="0085350B">
        <w:rPr>
          <w:sz w:val="24"/>
          <w:szCs w:val="24"/>
        </w:rPr>
        <w:t>stantive decision-making?  The article</w:t>
      </w:r>
      <w:r>
        <w:rPr>
          <w:sz w:val="24"/>
          <w:szCs w:val="24"/>
        </w:rPr>
        <w:t xml:space="preserve"> begin</w:t>
      </w:r>
      <w:r w:rsidR="0085350B">
        <w:rPr>
          <w:sz w:val="24"/>
          <w:szCs w:val="24"/>
        </w:rPr>
        <w:t>s</w:t>
      </w:r>
      <w:r>
        <w:rPr>
          <w:sz w:val="24"/>
          <w:szCs w:val="24"/>
        </w:rPr>
        <w:t xml:space="preserve"> by outlining the range of arguments for a more d</w:t>
      </w:r>
      <w:r w:rsidR="0085350B">
        <w:rPr>
          <w:sz w:val="24"/>
          <w:szCs w:val="24"/>
        </w:rPr>
        <w:t>iverse judiciary</w:t>
      </w:r>
      <w:r>
        <w:rPr>
          <w:sz w:val="24"/>
          <w:szCs w:val="24"/>
        </w:rPr>
        <w:t xml:space="preserve"> which include</w:t>
      </w:r>
      <w:r w:rsidR="0085350B">
        <w:rPr>
          <w:sz w:val="24"/>
          <w:szCs w:val="24"/>
        </w:rPr>
        <w:t>,</w:t>
      </w:r>
      <w:r>
        <w:rPr>
          <w:sz w:val="24"/>
          <w:szCs w:val="24"/>
        </w:rPr>
        <w:t xml:space="preserve"> but are not confined to</w:t>
      </w:r>
      <w:r w:rsidR="0085350B">
        <w:rPr>
          <w:sz w:val="24"/>
          <w:szCs w:val="24"/>
        </w:rPr>
        <w:t>,</w:t>
      </w:r>
      <w:r>
        <w:rPr>
          <w:sz w:val="24"/>
          <w:szCs w:val="24"/>
        </w:rPr>
        <w:t xml:space="preserve"> making a difference to substantive decision-making. It then turn</w:t>
      </w:r>
      <w:r w:rsidR="0085350B">
        <w:rPr>
          <w:sz w:val="24"/>
          <w:szCs w:val="24"/>
        </w:rPr>
        <w:t>s</w:t>
      </w:r>
      <w:r>
        <w:rPr>
          <w:sz w:val="24"/>
          <w:szCs w:val="24"/>
        </w:rPr>
        <w:t xml:space="preserve"> to consider the considerable evidence which now exists both to refute and to support the existence of substantive differences in decision-making following the appointment </w:t>
      </w:r>
      <w:r w:rsidR="0085350B">
        <w:rPr>
          <w:sz w:val="24"/>
          <w:szCs w:val="24"/>
        </w:rPr>
        <w:t xml:space="preserve">to the judiciary </w:t>
      </w:r>
      <w:r>
        <w:rPr>
          <w:sz w:val="24"/>
          <w:szCs w:val="24"/>
        </w:rPr>
        <w:t>of women and others from non-traditional backgrounds. On the basis of this evidence, it draw</w:t>
      </w:r>
      <w:r w:rsidR="0085350B">
        <w:rPr>
          <w:sz w:val="24"/>
          <w:szCs w:val="24"/>
        </w:rPr>
        <w:t>s</w:t>
      </w:r>
      <w:r>
        <w:rPr>
          <w:sz w:val="24"/>
          <w:szCs w:val="24"/>
        </w:rPr>
        <w:t xml:space="preserve"> conclusions as to the kinds of differences in decision-making which might be expected, and the circumstances </w:t>
      </w:r>
      <w:r w:rsidR="006441E1">
        <w:rPr>
          <w:sz w:val="24"/>
          <w:szCs w:val="24"/>
        </w:rPr>
        <w:t>under which</w:t>
      </w:r>
      <w:r>
        <w:rPr>
          <w:sz w:val="24"/>
          <w:szCs w:val="24"/>
        </w:rPr>
        <w:t xml:space="preserve"> different approaches to decision-making </w:t>
      </w:r>
      <w:r w:rsidR="006441E1">
        <w:rPr>
          <w:sz w:val="24"/>
          <w:szCs w:val="24"/>
        </w:rPr>
        <w:t xml:space="preserve">are likely </w:t>
      </w:r>
      <w:r>
        <w:rPr>
          <w:sz w:val="24"/>
          <w:szCs w:val="24"/>
        </w:rPr>
        <w:t>to flourish.</w:t>
      </w:r>
    </w:p>
    <w:p w:rsidR="00D87838" w:rsidRDefault="00D87838" w:rsidP="00D87838">
      <w:pPr>
        <w:spacing w:line="240" w:lineRule="auto"/>
        <w:rPr>
          <w:b/>
          <w:sz w:val="24"/>
          <w:szCs w:val="24"/>
        </w:rPr>
      </w:pPr>
    </w:p>
    <w:p w:rsidR="00C60C99" w:rsidRDefault="00C60C99" w:rsidP="00D87838">
      <w:pPr>
        <w:spacing w:line="240" w:lineRule="auto"/>
        <w:rPr>
          <w:b/>
          <w:sz w:val="24"/>
          <w:szCs w:val="24"/>
        </w:rPr>
      </w:pPr>
    </w:p>
    <w:p w:rsidR="00C60C99" w:rsidRPr="00326734" w:rsidRDefault="00C60C99" w:rsidP="00C60C99">
      <w:pPr>
        <w:spacing w:line="480" w:lineRule="auto"/>
        <w:rPr>
          <w:sz w:val="24"/>
          <w:szCs w:val="24"/>
        </w:rPr>
      </w:pPr>
      <w:r w:rsidRPr="00326734">
        <w:rPr>
          <w:b/>
          <w:sz w:val="24"/>
          <w:szCs w:val="24"/>
        </w:rPr>
        <w:t>Introduction</w:t>
      </w:r>
    </w:p>
    <w:p w:rsidR="00C60C99" w:rsidRPr="00326734" w:rsidRDefault="00C60C99" w:rsidP="00C60C99">
      <w:pPr>
        <w:spacing w:line="480" w:lineRule="auto"/>
        <w:rPr>
          <w:sz w:val="24"/>
          <w:szCs w:val="24"/>
        </w:rPr>
      </w:pPr>
      <w:r w:rsidRPr="00326734">
        <w:rPr>
          <w:sz w:val="24"/>
          <w:szCs w:val="24"/>
        </w:rPr>
        <w:t>There has been significant attention paid in England and Wales in recent years to the need for greater judicial diversity; in particular, the need to appoint more women judges. The judicial appointments system was changed in 2006, replacing the old system of ‘tap on the shoulder’ and ‘secret soundings’, which inevitably reproduced the profile of the existing incumbents, with a Judicial Appointments Commission whose mandate is to operate a transparent system based on applications and appointment on merit, and to increase the diversity of those applying for judicial office.</w:t>
      </w:r>
      <w:r w:rsidRPr="00326734">
        <w:rPr>
          <w:rStyle w:val="FootnoteReference"/>
          <w:sz w:val="24"/>
          <w:szCs w:val="24"/>
        </w:rPr>
        <w:footnoteReference w:id="2"/>
      </w:r>
      <w:r w:rsidRPr="00326734">
        <w:rPr>
          <w:sz w:val="24"/>
          <w:szCs w:val="24"/>
        </w:rPr>
        <w:t xml:space="preserve"> An Advisory Panel on Judicial Diversity, chaired by Baroness Neuberger, was appointed in 2009 and reported in 2010, making 53 </w:t>
      </w:r>
      <w:r w:rsidRPr="00326734">
        <w:rPr>
          <w:sz w:val="24"/>
          <w:szCs w:val="24"/>
        </w:rPr>
        <w:lastRenderedPageBreak/>
        <w:t>recommendations for progressing the objective of achieving a more diverse judiciary.</w:t>
      </w:r>
      <w:r w:rsidRPr="00326734">
        <w:rPr>
          <w:rStyle w:val="FootnoteReference"/>
          <w:sz w:val="24"/>
          <w:szCs w:val="24"/>
        </w:rPr>
        <w:footnoteReference w:id="3"/>
      </w:r>
      <w:r w:rsidRPr="00326734">
        <w:rPr>
          <w:sz w:val="24"/>
          <w:szCs w:val="24"/>
        </w:rPr>
        <w:t xml:space="preserve"> A Judicial Diversity Taskforce was subsequently appointed to oversee implementation of the recommendations, which has published three annual progress reports.</w:t>
      </w:r>
      <w:r w:rsidRPr="00326734">
        <w:rPr>
          <w:rStyle w:val="FootnoteReference"/>
          <w:sz w:val="24"/>
          <w:szCs w:val="24"/>
        </w:rPr>
        <w:footnoteReference w:id="4"/>
      </w:r>
      <w:r w:rsidRPr="00326734">
        <w:rPr>
          <w:sz w:val="24"/>
          <w:szCs w:val="24"/>
        </w:rPr>
        <w:t xml:space="preserve">  In 2011 the House of Lords Constitution Committee held an inquiry into judicial appointments, which paid particular attention to the issue of judicial diversity.</w:t>
      </w:r>
      <w:r w:rsidRPr="00326734">
        <w:rPr>
          <w:rStyle w:val="FootnoteReference"/>
          <w:sz w:val="24"/>
          <w:szCs w:val="24"/>
        </w:rPr>
        <w:footnoteReference w:id="5"/>
      </w:r>
      <w:r w:rsidR="00777B35" w:rsidRPr="00326734">
        <w:rPr>
          <w:sz w:val="24"/>
          <w:szCs w:val="24"/>
        </w:rPr>
        <w:t xml:space="preserve">  I</w:t>
      </w:r>
      <w:r w:rsidRPr="00326734">
        <w:rPr>
          <w:sz w:val="24"/>
          <w:szCs w:val="24"/>
        </w:rPr>
        <w:t>n 2013, the Crime and Courts Act introduced a new statutory duty on the Lord Chancellor and the Lord Chief Justice to encourage judicial diversity.</w:t>
      </w:r>
      <w:r w:rsidRPr="00326734">
        <w:rPr>
          <w:rStyle w:val="FootnoteReference"/>
          <w:sz w:val="24"/>
          <w:szCs w:val="24"/>
        </w:rPr>
        <w:footnoteReference w:id="6"/>
      </w:r>
      <w:r w:rsidR="00777B35" w:rsidRPr="00326734">
        <w:rPr>
          <w:sz w:val="24"/>
          <w:szCs w:val="24"/>
        </w:rPr>
        <w:t xml:space="preserve">  And in 2014, a report commissioned by the Shadow Secretary of State for Justice made recommendations as to what a future Labour government could do to ‘speed up moves to a more diverse judiciary</w:t>
      </w:r>
      <w:r w:rsidR="00025E98" w:rsidRPr="00326734">
        <w:rPr>
          <w:sz w:val="24"/>
          <w:szCs w:val="24"/>
        </w:rPr>
        <w:t>’</w:t>
      </w:r>
      <w:r w:rsidR="00777B35" w:rsidRPr="00326734">
        <w:rPr>
          <w:sz w:val="24"/>
          <w:szCs w:val="24"/>
        </w:rPr>
        <w:t>.</w:t>
      </w:r>
      <w:r w:rsidR="00777B35" w:rsidRPr="00326734">
        <w:rPr>
          <w:rStyle w:val="FootnoteReference"/>
          <w:sz w:val="24"/>
          <w:szCs w:val="24"/>
        </w:rPr>
        <w:footnoteReference w:id="7"/>
      </w:r>
    </w:p>
    <w:p w:rsidR="00C60C99" w:rsidRPr="00326734" w:rsidRDefault="00176D50" w:rsidP="00C60C99">
      <w:pPr>
        <w:spacing w:line="480" w:lineRule="auto"/>
        <w:ind w:firstLine="720"/>
        <w:rPr>
          <w:sz w:val="24"/>
          <w:szCs w:val="24"/>
        </w:rPr>
      </w:pPr>
      <w:r>
        <w:rPr>
          <w:sz w:val="24"/>
          <w:szCs w:val="24"/>
        </w:rPr>
        <w:t>An important</w:t>
      </w:r>
      <w:r w:rsidR="00C60C99" w:rsidRPr="00326734">
        <w:rPr>
          <w:sz w:val="24"/>
          <w:szCs w:val="24"/>
        </w:rPr>
        <w:t xml:space="preserve"> question begged by all of this activity is why we should want a more diverse judiciary, and in particular, whether it would make any difference to judicial decision-making. This was a question floated by </w:t>
      </w:r>
      <w:r w:rsidR="00657BE5">
        <w:rPr>
          <w:sz w:val="24"/>
          <w:szCs w:val="24"/>
        </w:rPr>
        <w:t xml:space="preserve">the President of the Supreme Court, </w:t>
      </w:r>
      <w:r w:rsidR="00C60C99" w:rsidRPr="00326734">
        <w:rPr>
          <w:sz w:val="24"/>
          <w:szCs w:val="24"/>
        </w:rPr>
        <w:t>Lord Neuberger, on BBC Radio 4’s</w:t>
      </w:r>
      <w:r w:rsidR="00657BE5">
        <w:rPr>
          <w:sz w:val="24"/>
          <w:szCs w:val="24"/>
        </w:rPr>
        <w:t xml:space="preserve"> Law in Action programme in 2013</w:t>
      </w:r>
      <w:r w:rsidR="00C60C99" w:rsidRPr="00326734">
        <w:rPr>
          <w:sz w:val="24"/>
          <w:szCs w:val="24"/>
        </w:rPr>
        <w:t xml:space="preserve">. He professed to be unsure whether women judged differently from men, and wondered if it would be possible to tell, </w:t>
      </w:r>
      <w:r w:rsidR="00C60C99" w:rsidRPr="00326734">
        <w:rPr>
          <w:sz w:val="24"/>
          <w:szCs w:val="24"/>
        </w:rPr>
        <w:lastRenderedPageBreak/>
        <w:t>from reading a selection of anonymised judgments, which were written by women and which by men.</w:t>
      </w:r>
      <w:r w:rsidR="00C60C99" w:rsidRPr="00326734">
        <w:rPr>
          <w:rStyle w:val="FootnoteReference"/>
          <w:sz w:val="24"/>
          <w:szCs w:val="24"/>
        </w:rPr>
        <w:footnoteReference w:id="8"/>
      </w:r>
      <w:r w:rsidR="00C60C99" w:rsidRPr="00326734">
        <w:rPr>
          <w:sz w:val="24"/>
          <w:szCs w:val="24"/>
        </w:rPr>
        <w:t xml:space="preserve">  This challenge was taken up by Law in Action, which conducted an experiment in the terms proposed by Lord Neuberger with students at Durham Law School. </w:t>
      </w:r>
      <w:r w:rsidR="00415D23">
        <w:rPr>
          <w:sz w:val="24"/>
          <w:szCs w:val="24"/>
        </w:rPr>
        <w:t>The students were presented with 16 Court of Appeal judgments in the areas of family law, employment law and criminal law, eight written by men and eight written by women</w:t>
      </w:r>
      <w:r w:rsidR="00657BE5">
        <w:rPr>
          <w:sz w:val="24"/>
          <w:szCs w:val="24"/>
        </w:rPr>
        <w:t xml:space="preserve">, and asked to identify the </w:t>
      </w:r>
      <w:r w:rsidR="00E03AC7">
        <w:rPr>
          <w:sz w:val="24"/>
          <w:szCs w:val="24"/>
        </w:rPr>
        <w:t xml:space="preserve">gender </w:t>
      </w:r>
      <w:r w:rsidR="00657BE5">
        <w:rPr>
          <w:sz w:val="24"/>
          <w:szCs w:val="24"/>
        </w:rPr>
        <w:t>of each judgment-writer</w:t>
      </w:r>
      <w:r w:rsidR="00415D23">
        <w:rPr>
          <w:sz w:val="24"/>
          <w:szCs w:val="24"/>
        </w:rPr>
        <w:t>.</w:t>
      </w:r>
      <w:r w:rsidR="00415D23">
        <w:rPr>
          <w:rStyle w:val="FootnoteReference"/>
          <w:sz w:val="24"/>
          <w:szCs w:val="24"/>
        </w:rPr>
        <w:footnoteReference w:id="9"/>
      </w:r>
      <w:r w:rsidR="00415D23">
        <w:rPr>
          <w:sz w:val="24"/>
          <w:szCs w:val="24"/>
        </w:rPr>
        <w:t xml:space="preserve"> </w:t>
      </w:r>
      <w:r w:rsidR="00C60C99" w:rsidRPr="00326734">
        <w:rPr>
          <w:sz w:val="24"/>
          <w:szCs w:val="24"/>
        </w:rPr>
        <w:t xml:space="preserve">The results were equivocal. The students correctly identified the </w:t>
      </w:r>
      <w:r w:rsidR="00E03AC7">
        <w:rPr>
          <w:sz w:val="24"/>
          <w:szCs w:val="24"/>
        </w:rPr>
        <w:t>gender</w:t>
      </w:r>
      <w:r w:rsidR="00C60C99" w:rsidRPr="00326734">
        <w:rPr>
          <w:sz w:val="24"/>
          <w:szCs w:val="24"/>
        </w:rPr>
        <w:t xml:space="preserve"> of the judge about half the time, and were incorrect half the time. That is, they did no better than tossing a coin to determine the</w:t>
      </w:r>
      <w:r w:rsidR="00B46CD2">
        <w:rPr>
          <w:sz w:val="24"/>
          <w:szCs w:val="24"/>
        </w:rPr>
        <w:t xml:space="preserve"> gender of each judicial author.</w:t>
      </w:r>
      <w:r w:rsidR="00415D23" w:rsidRPr="00326734">
        <w:rPr>
          <w:rStyle w:val="FootnoteReference"/>
          <w:sz w:val="24"/>
          <w:szCs w:val="24"/>
        </w:rPr>
        <w:footnoteReference w:id="10"/>
      </w:r>
      <w:r w:rsidR="008F0DBB">
        <w:rPr>
          <w:sz w:val="24"/>
          <w:szCs w:val="24"/>
        </w:rPr>
        <w:t xml:space="preserve"> </w:t>
      </w:r>
      <w:r w:rsidR="00B46CD2">
        <w:rPr>
          <w:sz w:val="24"/>
          <w:szCs w:val="24"/>
        </w:rPr>
        <w:t>As Erika Rackley concluded, the experiment said more about the students’ assumptions a</w:t>
      </w:r>
      <w:r w:rsidR="008779D9">
        <w:rPr>
          <w:sz w:val="24"/>
          <w:szCs w:val="24"/>
        </w:rPr>
        <w:t>bout gender performance</w:t>
      </w:r>
      <w:r w:rsidR="00657BE5">
        <w:rPr>
          <w:sz w:val="24"/>
          <w:szCs w:val="24"/>
        </w:rPr>
        <w:t xml:space="preserve"> than it did about any actual gender differences in decision-making.</w:t>
      </w:r>
      <w:r w:rsidR="004E4BD4">
        <w:rPr>
          <w:rStyle w:val="FootnoteReference"/>
          <w:sz w:val="24"/>
          <w:szCs w:val="24"/>
        </w:rPr>
        <w:footnoteReference w:id="11"/>
      </w:r>
      <w:r w:rsidR="00657BE5">
        <w:rPr>
          <w:sz w:val="24"/>
          <w:szCs w:val="24"/>
        </w:rPr>
        <w:t xml:space="preserve"> T</w:t>
      </w:r>
      <w:r w:rsidR="008F0DBB">
        <w:rPr>
          <w:sz w:val="24"/>
          <w:szCs w:val="24"/>
        </w:rPr>
        <w:t>he kind of gender stereotypes the</w:t>
      </w:r>
      <w:r w:rsidR="00B46CD2">
        <w:rPr>
          <w:sz w:val="24"/>
          <w:szCs w:val="24"/>
        </w:rPr>
        <w:t>y</w:t>
      </w:r>
      <w:r w:rsidR="008F0DBB">
        <w:rPr>
          <w:sz w:val="24"/>
          <w:szCs w:val="24"/>
        </w:rPr>
        <w:t xml:space="preserve"> </w:t>
      </w:r>
      <w:r w:rsidR="00657BE5">
        <w:rPr>
          <w:sz w:val="24"/>
          <w:szCs w:val="24"/>
        </w:rPr>
        <w:t xml:space="preserve">employed – </w:t>
      </w:r>
      <w:r w:rsidR="00E03AC7">
        <w:rPr>
          <w:sz w:val="24"/>
          <w:szCs w:val="24"/>
        </w:rPr>
        <w:t xml:space="preserve">for example, </w:t>
      </w:r>
      <w:r w:rsidR="00B46CD2">
        <w:rPr>
          <w:sz w:val="24"/>
          <w:szCs w:val="24"/>
        </w:rPr>
        <w:t>expecting</w:t>
      </w:r>
      <w:r w:rsidR="00657BE5">
        <w:rPr>
          <w:sz w:val="24"/>
          <w:szCs w:val="24"/>
        </w:rPr>
        <w:t xml:space="preserve"> </w:t>
      </w:r>
      <w:r w:rsidR="00B46CD2">
        <w:rPr>
          <w:sz w:val="24"/>
          <w:szCs w:val="24"/>
        </w:rPr>
        <w:t>women to be more attentive to emotions and feeling</w:t>
      </w:r>
      <w:r w:rsidR="008779D9">
        <w:rPr>
          <w:sz w:val="24"/>
          <w:szCs w:val="24"/>
        </w:rPr>
        <w:t>s</w:t>
      </w:r>
      <w:r w:rsidR="00B46CD2">
        <w:rPr>
          <w:sz w:val="24"/>
          <w:szCs w:val="24"/>
        </w:rPr>
        <w:t xml:space="preserve"> and to emphasise gender equality, while expecting men to be less se</w:t>
      </w:r>
      <w:r w:rsidR="00657BE5">
        <w:rPr>
          <w:sz w:val="24"/>
          <w:szCs w:val="24"/>
        </w:rPr>
        <w:t xml:space="preserve">nsitive and more matter-of-fact – </w:t>
      </w:r>
      <w:r w:rsidR="008779D9">
        <w:rPr>
          <w:sz w:val="24"/>
          <w:szCs w:val="24"/>
        </w:rPr>
        <w:t>proved</w:t>
      </w:r>
      <w:r w:rsidR="00657BE5">
        <w:rPr>
          <w:sz w:val="24"/>
          <w:szCs w:val="24"/>
        </w:rPr>
        <w:t xml:space="preserve"> </w:t>
      </w:r>
      <w:r w:rsidR="008779D9">
        <w:rPr>
          <w:sz w:val="24"/>
          <w:szCs w:val="24"/>
        </w:rPr>
        <w:t>not to be</w:t>
      </w:r>
      <w:r w:rsidR="00B46CD2">
        <w:rPr>
          <w:sz w:val="24"/>
          <w:szCs w:val="24"/>
        </w:rPr>
        <w:t xml:space="preserve"> reliable predicto</w:t>
      </w:r>
      <w:r w:rsidR="00E03AC7">
        <w:rPr>
          <w:sz w:val="24"/>
          <w:szCs w:val="24"/>
        </w:rPr>
        <w:t xml:space="preserve">rs of </w:t>
      </w:r>
      <w:r w:rsidR="004E4BD4">
        <w:rPr>
          <w:sz w:val="24"/>
          <w:szCs w:val="24"/>
        </w:rPr>
        <w:t>the sex of the judge</w:t>
      </w:r>
      <w:r w:rsidR="00B46CD2">
        <w:rPr>
          <w:sz w:val="24"/>
          <w:szCs w:val="24"/>
        </w:rPr>
        <w:t>.</w:t>
      </w:r>
      <w:r w:rsidR="008F0DBB">
        <w:rPr>
          <w:sz w:val="24"/>
          <w:szCs w:val="24"/>
        </w:rPr>
        <w:t xml:space="preserve"> </w:t>
      </w:r>
      <w:r w:rsidR="00C60C99" w:rsidRPr="00326734">
        <w:rPr>
          <w:sz w:val="24"/>
          <w:szCs w:val="24"/>
        </w:rPr>
        <w:t xml:space="preserve"> </w:t>
      </w:r>
    </w:p>
    <w:p w:rsidR="00C60C99" w:rsidRPr="00326734" w:rsidRDefault="00C60C99" w:rsidP="00C60C99">
      <w:pPr>
        <w:spacing w:line="480" w:lineRule="auto"/>
        <w:ind w:firstLine="720"/>
        <w:rPr>
          <w:sz w:val="24"/>
          <w:szCs w:val="24"/>
        </w:rPr>
      </w:pPr>
      <w:r w:rsidRPr="00326734">
        <w:rPr>
          <w:sz w:val="24"/>
          <w:szCs w:val="24"/>
        </w:rPr>
        <w:t xml:space="preserve">A similar question </w:t>
      </w:r>
      <w:r w:rsidR="008779D9">
        <w:rPr>
          <w:sz w:val="24"/>
          <w:szCs w:val="24"/>
        </w:rPr>
        <w:t xml:space="preserve">about the impact of greater diversity on decision-making </w:t>
      </w:r>
      <w:r w:rsidRPr="00326734">
        <w:rPr>
          <w:sz w:val="24"/>
          <w:szCs w:val="24"/>
        </w:rPr>
        <w:t xml:space="preserve">was broached by the House of Lords Constitution Committee when Lord </w:t>
      </w:r>
      <w:proofErr w:type="spellStart"/>
      <w:r w:rsidRPr="00326734">
        <w:rPr>
          <w:sz w:val="24"/>
          <w:szCs w:val="24"/>
        </w:rPr>
        <w:t>Pannick</w:t>
      </w:r>
      <w:proofErr w:type="spellEnd"/>
      <w:r w:rsidRPr="00326734">
        <w:rPr>
          <w:sz w:val="24"/>
          <w:szCs w:val="24"/>
        </w:rPr>
        <w:t xml:space="preserve"> asked </w:t>
      </w:r>
      <w:r w:rsidR="00291E75" w:rsidRPr="00326734">
        <w:rPr>
          <w:sz w:val="24"/>
          <w:szCs w:val="24"/>
        </w:rPr>
        <w:t>Lady</w:t>
      </w:r>
      <w:r w:rsidRPr="00326734">
        <w:rPr>
          <w:sz w:val="24"/>
          <w:szCs w:val="24"/>
        </w:rPr>
        <w:t xml:space="preserve"> Hale, during her appearance before the Committee, whether she could provide any </w:t>
      </w:r>
      <w:r w:rsidRPr="00326734">
        <w:rPr>
          <w:sz w:val="24"/>
          <w:szCs w:val="24"/>
        </w:rPr>
        <w:lastRenderedPageBreak/>
        <w:t>evidence that ‘substantive decisions being taken would or may be different if the composition of the appeal courts were different’.</w:t>
      </w:r>
      <w:r w:rsidRPr="00326734">
        <w:rPr>
          <w:rStyle w:val="FootnoteReference"/>
          <w:sz w:val="24"/>
          <w:szCs w:val="24"/>
        </w:rPr>
        <w:footnoteReference w:id="12"/>
      </w:r>
      <w:r w:rsidRPr="00326734">
        <w:rPr>
          <w:sz w:val="24"/>
          <w:szCs w:val="24"/>
        </w:rPr>
        <w:t xml:space="preserve">  She replied:</w:t>
      </w:r>
    </w:p>
    <w:p w:rsidR="00255C2D" w:rsidRPr="00326734" w:rsidRDefault="00255C2D" w:rsidP="00C60C99">
      <w:pPr>
        <w:spacing w:line="480" w:lineRule="auto"/>
        <w:ind w:firstLine="720"/>
        <w:rPr>
          <w:sz w:val="24"/>
          <w:szCs w:val="24"/>
        </w:rPr>
      </w:pPr>
    </w:p>
    <w:p w:rsidR="00C60C99" w:rsidRPr="00326734" w:rsidRDefault="00C60C99" w:rsidP="00C60C99">
      <w:pPr>
        <w:spacing w:line="480" w:lineRule="auto"/>
        <w:ind w:left="720"/>
        <w:rPr>
          <w:sz w:val="24"/>
          <w:szCs w:val="24"/>
        </w:rPr>
      </w:pPr>
      <w:r w:rsidRPr="00326734">
        <w:rPr>
          <w:sz w:val="24"/>
          <w:szCs w:val="24"/>
        </w:rPr>
        <w:t xml:space="preserve">I used to be quite sceptical about these arguments that it made a difference. The more I have thought and read about it, and the more that I have experienced being in a collective court, the more I have thought that, yes, a difference can be made. I think it could be made on anything. You may be aware that there was a very interesting project recently, the Feminist Judgments Project, where some academic, feminist lawyers decided that they would rewrite from a feminist perspective the judgments in a range of mostly famous cases from areas </w:t>
      </w:r>
      <w:proofErr w:type="spellStart"/>
      <w:r w:rsidRPr="00326734">
        <w:rPr>
          <w:sz w:val="24"/>
          <w:szCs w:val="24"/>
        </w:rPr>
        <w:t>all round</w:t>
      </w:r>
      <w:proofErr w:type="spellEnd"/>
      <w:r w:rsidRPr="00326734">
        <w:rPr>
          <w:sz w:val="24"/>
          <w:szCs w:val="24"/>
        </w:rPr>
        <w:t xml:space="preserve"> the law. Sometimes they reached exactly the same conclusion but with a different reasoning and sometimes they reached a different conclusion, demonstrating with varying degrees of success that where you start from can have an effect on where you end up. ...that is the best answer I can give: go and read that book.</w:t>
      </w:r>
      <w:r w:rsidRPr="00326734">
        <w:rPr>
          <w:rStyle w:val="FootnoteReference"/>
          <w:sz w:val="24"/>
          <w:szCs w:val="24"/>
        </w:rPr>
        <w:footnoteReference w:id="13"/>
      </w:r>
    </w:p>
    <w:p w:rsidR="00255C2D" w:rsidRPr="00326734" w:rsidRDefault="00255C2D" w:rsidP="00291E75">
      <w:pPr>
        <w:spacing w:line="480" w:lineRule="auto"/>
        <w:jc w:val="both"/>
        <w:rPr>
          <w:sz w:val="24"/>
          <w:szCs w:val="24"/>
        </w:rPr>
      </w:pPr>
    </w:p>
    <w:p w:rsidR="00E5374B" w:rsidRPr="00326734" w:rsidRDefault="00291E75" w:rsidP="00F473DD">
      <w:pPr>
        <w:spacing w:line="480" w:lineRule="auto"/>
        <w:ind w:firstLine="720"/>
        <w:jc w:val="both"/>
        <w:rPr>
          <w:sz w:val="24"/>
          <w:szCs w:val="24"/>
        </w:rPr>
      </w:pPr>
      <w:r w:rsidRPr="00326734">
        <w:rPr>
          <w:sz w:val="24"/>
          <w:szCs w:val="24"/>
        </w:rPr>
        <w:t>This response might be taken to suggest that if not all women judges, then certainly feminist judges might make a difference to substantive decis</w:t>
      </w:r>
      <w:r w:rsidR="00025E98" w:rsidRPr="00326734">
        <w:rPr>
          <w:sz w:val="24"/>
          <w:szCs w:val="24"/>
        </w:rPr>
        <w:t>ion-making, a point to which I shall return below</w:t>
      </w:r>
      <w:r w:rsidRPr="00326734">
        <w:rPr>
          <w:sz w:val="24"/>
          <w:szCs w:val="24"/>
        </w:rPr>
        <w:t xml:space="preserve">. </w:t>
      </w:r>
      <w:r w:rsidR="008A395D">
        <w:rPr>
          <w:sz w:val="24"/>
          <w:szCs w:val="24"/>
        </w:rPr>
        <w:t xml:space="preserve">The questions asked by Lord Neuberger and Lord </w:t>
      </w:r>
      <w:proofErr w:type="spellStart"/>
      <w:r w:rsidR="008A395D">
        <w:rPr>
          <w:sz w:val="24"/>
          <w:szCs w:val="24"/>
        </w:rPr>
        <w:t>Pannick</w:t>
      </w:r>
      <w:proofErr w:type="spellEnd"/>
      <w:r w:rsidR="008A395D">
        <w:rPr>
          <w:sz w:val="24"/>
          <w:szCs w:val="24"/>
        </w:rPr>
        <w:t xml:space="preserve">, however, demonstrate </w:t>
      </w:r>
      <w:r w:rsidR="00657BE5">
        <w:rPr>
          <w:sz w:val="24"/>
          <w:szCs w:val="24"/>
        </w:rPr>
        <w:t>an ongoing</w:t>
      </w:r>
      <w:r w:rsidR="008A395D">
        <w:rPr>
          <w:sz w:val="24"/>
          <w:szCs w:val="24"/>
        </w:rPr>
        <w:t xml:space="preserve"> concern, and </w:t>
      </w:r>
      <w:r w:rsidR="00E03AC7">
        <w:rPr>
          <w:sz w:val="24"/>
          <w:szCs w:val="24"/>
        </w:rPr>
        <w:t xml:space="preserve">a </w:t>
      </w:r>
      <w:r w:rsidR="008A395D">
        <w:rPr>
          <w:sz w:val="24"/>
          <w:szCs w:val="24"/>
        </w:rPr>
        <w:t xml:space="preserve">lack of clarity and certainty, as to whether a more diverse judiciary will make a difference to substantive decision-making, and if so, how and when such a difference might be made. </w:t>
      </w:r>
      <w:r w:rsidR="00657BE5">
        <w:rPr>
          <w:sz w:val="24"/>
          <w:szCs w:val="24"/>
        </w:rPr>
        <w:t xml:space="preserve">This article </w:t>
      </w:r>
      <w:r w:rsidR="008A395D">
        <w:rPr>
          <w:sz w:val="24"/>
          <w:szCs w:val="24"/>
        </w:rPr>
        <w:t>add</w:t>
      </w:r>
      <w:r w:rsidR="002439FD">
        <w:rPr>
          <w:sz w:val="24"/>
          <w:szCs w:val="24"/>
        </w:rPr>
        <w:t>ress</w:t>
      </w:r>
      <w:r w:rsidR="00657BE5">
        <w:rPr>
          <w:sz w:val="24"/>
          <w:szCs w:val="24"/>
        </w:rPr>
        <w:t>es</w:t>
      </w:r>
      <w:r w:rsidR="008A395D">
        <w:rPr>
          <w:sz w:val="24"/>
          <w:szCs w:val="24"/>
        </w:rPr>
        <w:t xml:space="preserve"> these questions</w:t>
      </w:r>
      <w:r w:rsidR="00657BE5">
        <w:rPr>
          <w:sz w:val="24"/>
          <w:szCs w:val="24"/>
        </w:rPr>
        <w:t xml:space="preserve">. In doing so, it goes </w:t>
      </w:r>
      <w:r w:rsidR="008A395D">
        <w:rPr>
          <w:sz w:val="24"/>
          <w:szCs w:val="24"/>
        </w:rPr>
        <w:t xml:space="preserve">beyond well-established theoretical arguments to examine new and emerging </w:t>
      </w:r>
      <w:r w:rsidR="008A395D">
        <w:rPr>
          <w:sz w:val="24"/>
          <w:szCs w:val="24"/>
        </w:rPr>
        <w:lastRenderedPageBreak/>
        <w:t>empirical evidence on the subject</w:t>
      </w:r>
      <w:r w:rsidR="00E03AC7">
        <w:rPr>
          <w:sz w:val="24"/>
          <w:szCs w:val="24"/>
        </w:rPr>
        <w:t>,</w:t>
      </w:r>
      <w:r w:rsidR="00D81D52">
        <w:rPr>
          <w:sz w:val="24"/>
          <w:szCs w:val="24"/>
        </w:rPr>
        <w:t xml:space="preserve"> from a range of sources</w:t>
      </w:r>
      <w:r w:rsidR="008A395D">
        <w:rPr>
          <w:sz w:val="24"/>
          <w:szCs w:val="24"/>
        </w:rPr>
        <w:t xml:space="preserve">. </w:t>
      </w:r>
      <w:r w:rsidR="002439FD">
        <w:rPr>
          <w:sz w:val="24"/>
          <w:szCs w:val="24"/>
        </w:rPr>
        <w:t>I argue</w:t>
      </w:r>
      <w:r w:rsidR="00D81D52">
        <w:rPr>
          <w:sz w:val="24"/>
          <w:szCs w:val="24"/>
        </w:rPr>
        <w:t xml:space="preserve"> that non-traditional judges clearly </w:t>
      </w:r>
      <w:r w:rsidR="00D81D52">
        <w:rPr>
          <w:i/>
          <w:sz w:val="24"/>
          <w:szCs w:val="24"/>
        </w:rPr>
        <w:t>may</w:t>
      </w:r>
      <w:r w:rsidR="00D81D52">
        <w:rPr>
          <w:sz w:val="24"/>
          <w:szCs w:val="24"/>
        </w:rPr>
        <w:t xml:space="preserve"> reach different decisions, but their willingness and ability to do so are </w:t>
      </w:r>
      <w:r w:rsidR="00657BE5">
        <w:rPr>
          <w:sz w:val="24"/>
          <w:szCs w:val="24"/>
        </w:rPr>
        <w:t>constrained.</w:t>
      </w:r>
      <w:r w:rsidR="002439FD">
        <w:rPr>
          <w:sz w:val="24"/>
          <w:szCs w:val="24"/>
        </w:rPr>
        <w:t xml:space="preserve"> I </w:t>
      </w:r>
      <w:r w:rsidR="00657BE5">
        <w:rPr>
          <w:sz w:val="24"/>
          <w:szCs w:val="24"/>
        </w:rPr>
        <w:t>further</w:t>
      </w:r>
      <w:r w:rsidR="002439FD">
        <w:rPr>
          <w:sz w:val="24"/>
          <w:szCs w:val="24"/>
        </w:rPr>
        <w:t xml:space="preserve"> argue</w:t>
      </w:r>
      <w:r w:rsidR="00D81D52">
        <w:rPr>
          <w:sz w:val="24"/>
          <w:szCs w:val="24"/>
        </w:rPr>
        <w:t xml:space="preserve"> that </w:t>
      </w:r>
      <w:r w:rsidR="00657BE5">
        <w:rPr>
          <w:sz w:val="24"/>
          <w:szCs w:val="24"/>
        </w:rPr>
        <w:t xml:space="preserve">while some constraints are unavoidable, others are unnecessary and should be </w:t>
      </w:r>
      <w:r w:rsidR="00590951">
        <w:rPr>
          <w:sz w:val="24"/>
          <w:szCs w:val="24"/>
        </w:rPr>
        <w:t xml:space="preserve">reversed in the interests of </w:t>
      </w:r>
      <w:r w:rsidR="007850EC">
        <w:rPr>
          <w:sz w:val="24"/>
          <w:szCs w:val="24"/>
        </w:rPr>
        <w:t>better decision-making</w:t>
      </w:r>
      <w:r w:rsidR="00590951">
        <w:rPr>
          <w:sz w:val="24"/>
          <w:szCs w:val="24"/>
        </w:rPr>
        <w:t>. B</w:t>
      </w:r>
      <w:r w:rsidR="002439FD">
        <w:rPr>
          <w:sz w:val="24"/>
          <w:szCs w:val="24"/>
        </w:rPr>
        <w:t xml:space="preserve">efore proceeding with my </w:t>
      </w:r>
      <w:r w:rsidRPr="00326734">
        <w:rPr>
          <w:sz w:val="24"/>
          <w:szCs w:val="24"/>
        </w:rPr>
        <w:t xml:space="preserve">specific argument about substantive </w:t>
      </w:r>
      <w:r w:rsidR="007850EC">
        <w:rPr>
          <w:sz w:val="24"/>
          <w:szCs w:val="24"/>
        </w:rPr>
        <w:t>diversity</w:t>
      </w:r>
      <w:r w:rsidR="002439FD">
        <w:rPr>
          <w:sz w:val="24"/>
          <w:szCs w:val="24"/>
        </w:rPr>
        <w:t xml:space="preserve">, I </w:t>
      </w:r>
      <w:r w:rsidR="00704223">
        <w:rPr>
          <w:sz w:val="24"/>
          <w:szCs w:val="24"/>
        </w:rPr>
        <w:t xml:space="preserve">will </w:t>
      </w:r>
      <w:r w:rsidR="00590951">
        <w:rPr>
          <w:sz w:val="24"/>
          <w:szCs w:val="24"/>
        </w:rPr>
        <w:t>first</w:t>
      </w:r>
      <w:r w:rsidR="002439FD">
        <w:rPr>
          <w:sz w:val="24"/>
          <w:szCs w:val="24"/>
        </w:rPr>
        <w:t xml:space="preserve"> place it</w:t>
      </w:r>
      <w:r w:rsidRPr="00326734">
        <w:rPr>
          <w:sz w:val="24"/>
          <w:szCs w:val="24"/>
        </w:rPr>
        <w:t xml:space="preserve"> in context by reviewing the range of reasons for </w:t>
      </w:r>
      <w:r w:rsidR="00AE2437">
        <w:rPr>
          <w:sz w:val="24"/>
          <w:szCs w:val="24"/>
        </w:rPr>
        <w:t>having</w:t>
      </w:r>
      <w:r w:rsidRPr="00326734">
        <w:rPr>
          <w:sz w:val="24"/>
          <w:szCs w:val="24"/>
        </w:rPr>
        <w:t xml:space="preserve"> a </w:t>
      </w:r>
      <w:r w:rsidR="00172286" w:rsidRPr="00326734">
        <w:rPr>
          <w:sz w:val="24"/>
          <w:szCs w:val="24"/>
        </w:rPr>
        <w:t>(</w:t>
      </w:r>
      <w:r w:rsidRPr="00326734">
        <w:rPr>
          <w:sz w:val="24"/>
          <w:szCs w:val="24"/>
        </w:rPr>
        <w:t>more</w:t>
      </w:r>
      <w:r w:rsidR="00172286" w:rsidRPr="00326734">
        <w:rPr>
          <w:sz w:val="24"/>
          <w:szCs w:val="24"/>
        </w:rPr>
        <w:t>)</w:t>
      </w:r>
      <w:r w:rsidRPr="00326734">
        <w:rPr>
          <w:sz w:val="24"/>
          <w:szCs w:val="24"/>
        </w:rPr>
        <w:t xml:space="preserve"> diverse judiciary.</w:t>
      </w:r>
    </w:p>
    <w:p w:rsidR="00E5374B" w:rsidRPr="00326734" w:rsidRDefault="00E5374B" w:rsidP="00291E75">
      <w:pPr>
        <w:spacing w:line="480" w:lineRule="auto"/>
        <w:jc w:val="both"/>
        <w:rPr>
          <w:sz w:val="24"/>
          <w:szCs w:val="24"/>
        </w:rPr>
      </w:pPr>
    </w:p>
    <w:p w:rsidR="00E5374B" w:rsidRPr="00326734" w:rsidRDefault="00E5374B" w:rsidP="00E5374B">
      <w:pPr>
        <w:spacing w:line="480" w:lineRule="auto"/>
        <w:rPr>
          <w:sz w:val="24"/>
          <w:szCs w:val="24"/>
        </w:rPr>
      </w:pPr>
      <w:r w:rsidRPr="00326734">
        <w:rPr>
          <w:b/>
          <w:sz w:val="24"/>
          <w:szCs w:val="24"/>
        </w:rPr>
        <w:t xml:space="preserve">Why should we want a more diverse judiciary? </w:t>
      </w:r>
      <w:r w:rsidRPr="00326734">
        <w:rPr>
          <w:sz w:val="24"/>
          <w:szCs w:val="24"/>
        </w:rPr>
        <w:t xml:space="preserve"> </w:t>
      </w:r>
    </w:p>
    <w:p w:rsidR="00E5374B" w:rsidRPr="00326734" w:rsidRDefault="00AE2437" w:rsidP="00E5374B">
      <w:pPr>
        <w:spacing w:line="480" w:lineRule="auto"/>
        <w:rPr>
          <w:sz w:val="24"/>
          <w:szCs w:val="24"/>
        </w:rPr>
      </w:pPr>
      <w:r>
        <w:rPr>
          <w:sz w:val="24"/>
          <w:szCs w:val="24"/>
        </w:rPr>
        <w:t>At the outset of</w:t>
      </w:r>
      <w:r w:rsidR="00172286" w:rsidRPr="00326734">
        <w:rPr>
          <w:sz w:val="24"/>
          <w:szCs w:val="24"/>
        </w:rPr>
        <w:t xml:space="preserve"> this discussion, </w:t>
      </w:r>
      <w:r>
        <w:rPr>
          <w:sz w:val="24"/>
          <w:szCs w:val="24"/>
        </w:rPr>
        <w:t xml:space="preserve">it is necessary to </w:t>
      </w:r>
      <w:r w:rsidR="007850EC">
        <w:rPr>
          <w:sz w:val="24"/>
          <w:szCs w:val="24"/>
        </w:rPr>
        <w:t>acknowledge some unevenness in the</w:t>
      </w:r>
      <w:r>
        <w:rPr>
          <w:sz w:val="24"/>
          <w:szCs w:val="24"/>
        </w:rPr>
        <w:t xml:space="preserve"> available </w:t>
      </w:r>
      <w:r w:rsidR="00172286" w:rsidRPr="00326734">
        <w:rPr>
          <w:sz w:val="24"/>
          <w:szCs w:val="24"/>
        </w:rPr>
        <w:t>sources. While there is some literature on the importance of judicial diversity from the point of view of race, ethnicity and sexuality,</w:t>
      </w:r>
      <w:r w:rsidR="00172286" w:rsidRPr="00326734">
        <w:rPr>
          <w:rStyle w:val="FootnoteReference"/>
          <w:sz w:val="24"/>
          <w:szCs w:val="24"/>
        </w:rPr>
        <w:footnoteReference w:id="14"/>
      </w:r>
      <w:r w:rsidR="00172286" w:rsidRPr="00326734">
        <w:rPr>
          <w:sz w:val="24"/>
          <w:szCs w:val="24"/>
        </w:rPr>
        <w:t xml:space="preserve"> there is, by contrast, an extensive feminist</w:t>
      </w:r>
      <w:r w:rsidR="00E5374B" w:rsidRPr="00326734">
        <w:rPr>
          <w:sz w:val="24"/>
          <w:szCs w:val="24"/>
        </w:rPr>
        <w:t xml:space="preserve"> literature speculating or making claims about the difference women judges might make.</w:t>
      </w:r>
      <w:r w:rsidR="002F66A3">
        <w:rPr>
          <w:rStyle w:val="FootnoteReference"/>
          <w:sz w:val="24"/>
          <w:szCs w:val="24"/>
        </w:rPr>
        <w:footnoteReference w:id="15"/>
      </w:r>
      <w:r w:rsidR="00E5374B" w:rsidRPr="00326734">
        <w:rPr>
          <w:sz w:val="24"/>
          <w:szCs w:val="24"/>
        </w:rPr>
        <w:t xml:space="preserve"> </w:t>
      </w:r>
      <w:r w:rsidR="00172286" w:rsidRPr="00326734">
        <w:rPr>
          <w:sz w:val="24"/>
          <w:szCs w:val="24"/>
        </w:rPr>
        <w:t xml:space="preserve">Madame Justice Bertha Wilson of the Canadian Supreme Court delivered her </w:t>
      </w:r>
      <w:r w:rsidR="00172286" w:rsidRPr="00326734">
        <w:rPr>
          <w:sz w:val="24"/>
          <w:szCs w:val="24"/>
        </w:rPr>
        <w:lastRenderedPageBreak/>
        <w:t>landmark lecture, ‘Will Women Judges Really Make a Difference?’,</w:t>
      </w:r>
      <w:r w:rsidR="00172286" w:rsidRPr="00326734">
        <w:rPr>
          <w:rStyle w:val="FootnoteReference"/>
          <w:sz w:val="24"/>
          <w:szCs w:val="24"/>
        </w:rPr>
        <w:footnoteReference w:id="16"/>
      </w:r>
      <w:r w:rsidR="00172286" w:rsidRPr="00326734">
        <w:rPr>
          <w:sz w:val="24"/>
          <w:szCs w:val="24"/>
        </w:rPr>
        <w:t xml:space="preserve"> at </w:t>
      </w:r>
      <w:proofErr w:type="spellStart"/>
      <w:r w:rsidR="00172286" w:rsidRPr="00326734">
        <w:rPr>
          <w:sz w:val="24"/>
          <w:szCs w:val="24"/>
        </w:rPr>
        <w:t>Osgoode</w:t>
      </w:r>
      <w:proofErr w:type="spellEnd"/>
      <w:r w:rsidR="00172286" w:rsidRPr="00326734">
        <w:rPr>
          <w:sz w:val="24"/>
          <w:szCs w:val="24"/>
        </w:rPr>
        <w:t xml:space="preserve"> Hall Law School in February 1990. Since then, dozens if not hundreds of articles and reports have been written on that topic. The following discussion therefore focuses on women judges and gender difference, although all of the arguments apply, </w:t>
      </w:r>
      <w:r w:rsidR="00172286" w:rsidRPr="00326734">
        <w:rPr>
          <w:i/>
          <w:sz w:val="24"/>
          <w:szCs w:val="24"/>
        </w:rPr>
        <w:t>mutatis mutandis</w:t>
      </w:r>
      <w:r w:rsidR="00172286" w:rsidRPr="00326734">
        <w:rPr>
          <w:sz w:val="24"/>
          <w:szCs w:val="24"/>
        </w:rPr>
        <w:t>, to other forms of diversity – not forgetting</w:t>
      </w:r>
      <w:r w:rsidR="00A91395" w:rsidRPr="00326734">
        <w:rPr>
          <w:sz w:val="24"/>
          <w:szCs w:val="24"/>
        </w:rPr>
        <w:t>, of course,</w:t>
      </w:r>
      <w:r w:rsidR="00172286" w:rsidRPr="00326734">
        <w:rPr>
          <w:sz w:val="24"/>
          <w:szCs w:val="24"/>
        </w:rPr>
        <w:t xml:space="preserve"> that </w:t>
      </w:r>
      <w:r w:rsidR="00D022CB" w:rsidRPr="00326734">
        <w:rPr>
          <w:sz w:val="24"/>
          <w:szCs w:val="24"/>
        </w:rPr>
        <w:t xml:space="preserve">gender and other forms of diversity are not mutually exclusive, so </w:t>
      </w:r>
      <w:r w:rsidR="00172286" w:rsidRPr="00326734">
        <w:rPr>
          <w:sz w:val="24"/>
          <w:szCs w:val="24"/>
        </w:rPr>
        <w:t xml:space="preserve">women judges may also be Black, Asian, </w:t>
      </w:r>
      <w:r w:rsidR="00A91395" w:rsidRPr="00326734">
        <w:rPr>
          <w:sz w:val="24"/>
          <w:szCs w:val="24"/>
        </w:rPr>
        <w:t>lesbian</w:t>
      </w:r>
      <w:r w:rsidR="00172286" w:rsidRPr="00326734">
        <w:rPr>
          <w:sz w:val="24"/>
          <w:szCs w:val="24"/>
        </w:rPr>
        <w:t xml:space="preserve"> and/or from a working class background</w:t>
      </w:r>
      <w:r w:rsidR="00965946" w:rsidRPr="00326734">
        <w:rPr>
          <w:sz w:val="24"/>
          <w:szCs w:val="24"/>
        </w:rPr>
        <w:t xml:space="preserve"> – see, for example, US Supreme Court Justice Sonia Sotomayor</w:t>
      </w:r>
      <w:r>
        <w:rPr>
          <w:sz w:val="24"/>
          <w:szCs w:val="24"/>
        </w:rPr>
        <w:t xml:space="preserve">, former England and Wales High Court judge Linda Dobbs, and </w:t>
      </w:r>
      <w:r w:rsidR="00EE582A">
        <w:rPr>
          <w:sz w:val="24"/>
          <w:szCs w:val="24"/>
        </w:rPr>
        <w:t>several of the current and former justices of the South African Constitutional Court</w:t>
      </w:r>
      <w:r w:rsidR="00704223">
        <w:rPr>
          <w:sz w:val="24"/>
          <w:szCs w:val="24"/>
        </w:rPr>
        <w:t>, among others</w:t>
      </w:r>
      <w:r w:rsidR="00172286" w:rsidRPr="00326734">
        <w:rPr>
          <w:sz w:val="24"/>
          <w:szCs w:val="24"/>
        </w:rPr>
        <w:t xml:space="preserve">. </w:t>
      </w:r>
    </w:p>
    <w:p w:rsidR="00E5374B" w:rsidRPr="00326734" w:rsidRDefault="00965946" w:rsidP="00E5374B">
      <w:pPr>
        <w:spacing w:line="480" w:lineRule="auto"/>
        <w:ind w:firstLine="720"/>
        <w:rPr>
          <w:sz w:val="24"/>
          <w:szCs w:val="24"/>
        </w:rPr>
      </w:pPr>
      <w:r w:rsidRPr="00326734">
        <w:rPr>
          <w:sz w:val="24"/>
          <w:szCs w:val="24"/>
        </w:rPr>
        <w:t xml:space="preserve"> To summarise the</w:t>
      </w:r>
      <w:r w:rsidR="00E5374B" w:rsidRPr="00326734">
        <w:rPr>
          <w:sz w:val="24"/>
          <w:szCs w:val="24"/>
        </w:rPr>
        <w:t xml:space="preserve"> literature in a short space, there are six basic arguments as to why and how women judges make a difference. The first three arguments are symbolic. First, the presence of women judges increases the democratic legitimacy of the judiciary, because a bench including women is more representative of the wider society which it serves than a bench with no women.</w:t>
      </w:r>
      <w:r w:rsidR="00E5374B" w:rsidRPr="00326734">
        <w:rPr>
          <w:rStyle w:val="FootnoteReference"/>
          <w:sz w:val="24"/>
          <w:szCs w:val="24"/>
        </w:rPr>
        <w:footnoteReference w:id="17"/>
      </w:r>
      <w:r w:rsidR="00E5374B" w:rsidRPr="00326734">
        <w:rPr>
          <w:sz w:val="24"/>
          <w:szCs w:val="24"/>
        </w:rPr>
        <w:t xml:space="preserve"> Ideally, women should be represented on the judiciary in equal numbers with men</w:t>
      </w:r>
      <w:r w:rsidR="00A91395" w:rsidRPr="00326734">
        <w:rPr>
          <w:sz w:val="24"/>
          <w:szCs w:val="24"/>
        </w:rPr>
        <w:t>, since this would reflect their proportions both in the general population and in the population of law graduates for at least the last 15 years</w:t>
      </w:r>
      <w:r w:rsidR="00E5374B" w:rsidRPr="00326734">
        <w:rPr>
          <w:sz w:val="24"/>
          <w:szCs w:val="24"/>
        </w:rPr>
        <w:t>.</w:t>
      </w:r>
      <w:r w:rsidR="00A91395" w:rsidRPr="00326734">
        <w:rPr>
          <w:rStyle w:val="FootnoteReference"/>
          <w:sz w:val="24"/>
          <w:szCs w:val="24"/>
        </w:rPr>
        <w:footnoteReference w:id="18"/>
      </w:r>
      <w:r w:rsidR="00E5374B" w:rsidRPr="00326734">
        <w:rPr>
          <w:sz w:val="24"/>
          <w:szCs w:val="24"/>
        </w:rPr>
        <w:t xml:space="preserve">  Secondly, the presence of women judges signals equality of opportunity for women in the </w:t>
      </w:r>
      <w:r w:rsidR="00E5374B" w:rsidRPr="00326734">
        <w:rPr>
          <w:sz w:val="24"/>
          <w:szCs w:val="24"/>
        </w:rPr>
        <w:lastRenderedPageBreak/>
        <w:t>legal profession who aspire to judicial office</w:t>
      </w:r>
      <w:r w:rsidR="00A91395" w:rsidRPr="00326734">
        <w:rPr>
          <w:sz w:val="24"/>
          <w:szCs w:val="24"/>
        </w:rPr>
        <w:t>,</w:t>
      </w:r>
      <w:r w:rsidR="00E5374B" w:rsidRPr="00326734">
        <w:rPr>
          <w:rStyle w:val="FootnoteReference"/>
          <w:sz w:val="24"/>
          <w:szCs w:val="24"/>
        </w:rPr>
        <w:footnoteReference w:id="19"/>
      </w:r>
      <w:r w:rsidR="00E5374B" w:rsidRPr="00326734">
        <w:rPr>
          <w:sz w:val="24"/>
          <w:szCs w:val="24"/>
        </w:rPr>
        <w:t xml:space="preserve"> </w:t>
      </w:r>
      <w:r w:rsidR="00A91395" w:rsidRPr="00326734">
        <w:rPr>
          <w:sz w:val="24"/>
          <w:szCs w:val="24"/>
        </w:rPr>
        <w:t xml:space="preserve">and </w:t>
      </w:r>
      <w:r w:rsidR="00E5374B" w:rsidRPr="00326734">
        <w:rPr>
          <w:sz w:val="24"/>
          <w:szCs w:val="24"/>
        </w:rPr>
        <w:t>demonstrate</w:t>
      </w:r>
      <w:r w:rsidRPr="00326734">
        <w:rPr>
          <w:sz w:val="24"/>
          <w:szCs w:val="24"/>
        </w:rPr>
        <w:t>s</w:t>
      </w:r>
      <w:r w:rsidR="00E5374B" w:rsidRPr="00326734">
        <w:rPr>
          <w:sz w:val="24"/>
          <w:szCs w:val="24"/>
        </w:rPr>
        <w:t xml:space="preserve"> that judicial appointment processes are </w:t>
      </w:r>
      <w:r w:rsidR="00A91395" w:rsidRPr="00326734">
        <w:rPr>
          <w:sz w:val="24"/>
          <w:szCs w:val="24"/>
        </w:rPr>
        <w:t xml:space="preserve">what they claim to be – </w:t>
      </w:r>
      <w:r w:rsidR="00E5374B" w:rsidRPr="00326734">
        <w:rPr>
          <w:sz w:val="24"/>
          <w:szCs w:val="24"/>
        </w:rPr>
        <w:t>fair, meritocratic and non-discriminatory. Thirdly, the presence of women judges provides encouragement and active mentoring for women in the legal profession, law students, and indeed younger women and girls, to aspire to, seek and obtain judicial appointment, thus creating a virtuous circle enabling the gender balance in the judiciary to be improved.</w:t>
      </w:r>
      <w:r w:rsidR="00E5374B" w:rsidRPr="00326734">
        <w:rPr>
          <w:rStyle w:val="FootnoteReference"/>
          <w:sz w:val="24"/>
          <w:szCs w:val="24"/>
        </w:rPr>
        <w:footnoteReference w:id="20"/>
      </w:r>
    </w:p>
    <w:p w:rsidR="00E5374B" w:rsidRPr="00326734" w:rsidRDefault="00E5374B" w:rsidP="00E5374B">
      <w:pPr>
        <w:spacing w:line="480" w:lineRule="auto"/>
        <w:ind w:firstLine="720"/>
        <w:rPr>
          <w:sz w:val="24"/>
          <w:szCs w:val="24"/>
        </w:rPr>
      </w:pPr>
      <w:r w:rsidRPr="00326734">
        <w:rPr>
          <w:sz w:val="24"/>
          <w:szCs w:val="24"/>
        </w:rPr>
        <w:t xml:space="preserve">To the extent that women judges engage in active mentoring, this may be seen as a practical rather than merely symbolic effect of their presence. The fourth and fifth arguments as to why and how women judges make a difference are also practical. The fourth argument is that women judges are likely to have more empathy with women litigants and witnesses, including victims of crime, and thus may provide a better courtroom experience for these participants in the justice system, or at least one in which they (and women lawyers) are not subjected to sexist comments or other forms of gender bias from the bench, and in which overt sexism and gender bias by others in the courtroom in the </w:t>
      </w:r>
      <w:r w:rsidRPr="00326734">
        <w:rPr>
          <w:sz w:val="24"/>
          <w:szCs w:val="24"/>
        </w:rPr>
        <w:lastRenderedPageBreak/>
        <w:t>course of proceedings is not tolerated.</w:t>
      </w:r>
      <w:r w:rsidRPr="00326734">
        <w:rPr>
          <w:rStyle w:val="FootnoteReference"/>
          <w:sz w:val="24"/>
          <w:szCs w:val="24"/>
        </w:rPr>
        <w:footnoteReference w:id="21"/>
      </w:r>
      <w:r w:rsidRPr="00326734">
        <w:rPr>
          <w:sz w:val="24"/>
          <w:szCs w:val="24"/>
        </w:rPr>
        <w:t xml:space="preserve"> The fifth argument is that women judges will exercise this same lack of toleration behind the scenes, and so operate to educate and civilise their male colleagues by not allowing sexist comments, stereotyping and gender bias to go unquestioned.</w:t>
      </w:r>
      <w:r w:rsidRPr="00326734">
        <w:rPr>
          <w:rStyle w:val="FootnoteReference"/>
          <w:sz w:val="24"/>
          <w:szCs w:val="24"/>
        </w:rPr>
        <w:footnoteReference w:id="22"/>
      </w:r>
    </w:p>
    <w:p w:rsidR="00B94239" w:rsidRPr="00326734" w:rsidRDefault="00E5374B" w:rsidP="00E5374B">
      <w:pPr>
        <w:spacing w:line="480" w:lineRule="auto"/>
        <w:ind w:firstLine="720"/>
        <w:rPr>
          <w:sz w:val="24"/>
          <w:szCs w:val="24"/>
        </w:rPr>
      </w:pPr>
      <w:r w:rsidRPr="00326734">
        <w:rPr>
          <w:sz w:val="24"/>
          <w:szCs w:val="24"/>
        </w:rPr>
        <w:t xml:space="preserve">This putative approach by women judges leads on to the sixth, substantive, argument, that women judges will </w:t>
      </w:r>
      <w:r w:rsidR="00A91395" w:rsidRPr="00326734">
        <w:rPr>
          <w:sz w:val="24"/>
          <w:szCs w:val="24"/>
        </w:rPr>
        <w:t>bring a gendered sensibility to</w:t>
      </w:r>
      <w:r w:rsidRPr="00326734">
        <w:rPr>
          <w:sz w:val="24"/>
          <w:szCs w:val="24"/>
        </w:rPr>
        <w:t xml:space="preserve"> the process of decision-making, and thus (at least sometimes) alter the outcomes of cases. There are, in turn, two main theories as to why and how women judges will </w:t>
      </w:r>
      <w:r w:rsidR="00A91395" w:rsidRPr="00326734">
        <w:rPr>
          <w:sz w:val="24"/>
          <w:szCs w:val="24"/>
        </w:rPr>
        <w:t>bring a gendered sensibility to bear</w:t>
      </w:r>
      <w:r w:rsidRPr="00326734">
        <w:rPr>
          <w:sz w:val="24"/>
          <w:szCs w:val="24"/>
        </w:rPr>
        <w:t xml:space="preserve">.  One theory is that all judges bring their life experience to the process of judging, and women’s life experiences – in particular their </w:t>
      </w:r>
      <w:r w:rsidR="002F66A3">
        <w:rPr>
          <w:sz w:val="24"/>
          <w:szCs w:val="24"/>
        </w:rPr>
        <w:t>experiences of pregnancy, child-birth, child-r</w:t>
      </w:r>
      <w:r w:rsidRPr="00326734">
        <w:rPr>
          <w:sz w:val="24"/>
          <w:szCs w:val="24"/>
        </w:rPr>
        <w:t>earing and juggling work and family responsibilities, as well as often of sexism and discrimination – are very different from men’s. Thus, the inclusion of women’s experiences will make law more representative of the variety of human experience.</w:t>
      </w:r>
      <w:r w:rsidRPr="00326734">
        <w:rPr>
          <w:rStyle w:val="FootnoteReference"/>
          <w:sz w:val="24"/>
          <w:szCs w:val="24"/>
        </w:rPr>
        <w:footnoteReference w:id="23"/>
      </w:r>
      <w:r w:rsidRPr="00326734">
        <w:rPr>
          <w:sz w:val="24"/>
          <w:szCs w:val="24"/>
        </w:rPr>
        <w:t xml:space="preserve"> </w:t>
      </w:r>
      <w:r w:rsidR="00B94239" w:rsidRPr="00326734">
        <w:rPr>
          <w:sz w:val="24"/>
          <w:szCs w:val="24"/>
        </w:rPr>
        <w:t>To illustrate, t</w:t>
      </w:r>
      <w:r w:rsidRPr="00326734">
        <w:rPr>
          <w:sz w:val="24"/>
          <w:szCs w:val="24"/>
        </w:rPr>
        <w:t xml:space="preserve">here </w:t>
      </w:r>
      <w:r w:rsidRPr="00326734">
        <w:rPr>
          <w:sz w:val="24"/>
          <w:szCs w:val="24"/>
        </w:rPr>
        <w:lastRenderedPageBreak/>
        <w:t xml:space="preserve">is </w:t>
      </w:r>
      <w:r w:rsidR="00B94239" w:rsidRPr="00326734">
        <w:rPr>
          <w:sz w:val="24"/>
          <w:szCs w:val="24"/>
        </w:rPr>
        <w:t>an</w:t>
      </w:r>
      <w:r w:rsidRPr="00326734">
        <w:rPr>
          <w:sz w:val="24"/>
          <w:szCs w:val="24"/>
        </w:rPr>
        <w:t xml:space="preserve"> interesting throw-away observation in Penny </w:t>
      </w:r>
      <w:proofErr w:type="spellStart"/>
      <w:r w:rsidRPr="00326734">
        <w:rPr>
          <w:sz w:val="24"/>
          <w:szCs w:val="24"/>
        </w:rPr>
        <w:t>Darbyshire’s</w:t>
      </w:r>
      <w:proofErr w:type="spellEnd"/>
      <w:r w:rsidRPr="00326734">
        <w:rPr>
          <w:sz w:val="24"/>
          <w:szCs w:val="24"/>
        </w:rPr>
        <w:t xml:space="preserve"> book, </w:t>
      </w:r>
      <w:proofErr w:type="gramStart"/>
      <w:r w:rsidRPr="00326734">
        <w:rPr>
          <w:i/>
          <w:sz w:val="24"/>
          <w:szCs w:val="24"/>
        </w:rPr>
        <w:t>Sitting</w:t>
      </w:r>
      <w:proofErr w:type="gramEnd"/>
      <w:r w:rsidRPr="00326734">
        <w:rPr>
          <w:i/>
          <w:sz w:val="24"/>
          <w:szCs w:val="24"/>
        </w:rPr>
        <w:t xml:space="preserve"> in Judgment</w:t>
      </w:r>
      <w:r w:rsidRPr="00326734">
        <w:rPr>
          <w:sz w:val="24"/>
          <w:szCs w:val="24"/>
        </w:rPr>
        <w:t>,</w:t>
      </w:r>
      <w:r w:rsidRPr="00326734">
        <w:rPr>
          <w:i/>
          <w:sz w:val="24"/>
          <w:szCs w:val="24"/>
        </w:rPr>
        <w:t xml:space="preserve"> </w:t>
      </w:r>
      <w:r w:rsidR="00F2001B">
        <w:rPr>
          <w:sz w:val="24"/>
          <w:szCs w:val="24"/>
        </w:rPr>
        <w:t xml:space="preserve">which is </w:t>
      </w:r>
      <w:r w:rsidR="00EE582A">
        <w:rPr>
          <w:sz w:val="24"/>
          <w:szCs w:val="24"/>
        </w:rPr>
        <w:t>based on extensive</w:t>
      </w:r>
      <w:r w:rsidR="00F2001B">
        <w:rPr>
          <w:sz w:val="24"/>
          <w:szCs w:val="24"/>
        </w:rPr>
        <w:t xml:space="preserve"> observations of judges at work. </w:t>
      </w:r>
      <w:proofErr w:type="spellStart"/>
      <w:r w:rsidR="00F2001B">
        <w:rPr>
          <w:sz w:val="24"/>
          <w:szCs w:val="24"/>
        </w:rPr>
        <w:t>Darbyshire</w:t>
      </w:r>
      <w:proofErr w:type="spellEnd"/>
      <w:r w:rsidR="00F2001B">
        <w:rPr>
          <w:sz w:val="24"/>
          <w:szCs w:val="24"/>
        </w:rPr>
        <w:t xml:space="preserve"> </w:t>
      </w:r>
      <w:r w:rsidRPr="00326734">
        <w:rPr>
          <w:sz w:val="24"/>
          <w:szCs w:val="24"/>
        </w:rPr>
        <w:t>says: ‘Judges used their own experiences as reference points. In one case, where I preferred the woman driver’s account, the judge explained why he preferred the male lorry driver’s account.’</w:t>
      </w:r>
      <w:r w:rsidRPr="00326734">
        <w:rPr>
          <w:rStyle w:val="FootnoteReference"/>
          <w:sz w:val="24"/>
          <w:szCs w:val="24"/>
        </w:rPr>
        <w:footnoteReference w:id="24"/>
      </w:r>
      <w:r w:rsidRPr="00326734">
        <w:rPr>
          <w:sz w:val="24"/>
          <w:szCs w:val="24"/>
        </w:rPr>
        <w:t xml:space="preserve"> Regrettably, </w:t>
      </w:r>
      <w:proofErr w:type="spellStart"/>
      <w:r w:rsidRPr="00326734">
        <w:rPr>
          <w:sz w:val="24"/>
          <w:szCs w:val="24"/>
        </w:rPr>
        <w:t>Darbyshire</w:t>
      </w:r>
      <w:proofErr w:type="spellEnd"/>
      <w:r w:rsidRPr="00326734">
        <w:rPr>
          <w:sz w:val="24"/>
          <w:szCs w:val="24"/>
        </w:rPr>
        <w:t xml:space="preserve"> makes no further comment on this anecdote, but it is im</w:t>
      </w:r>
      <w:r w:rsidR="00025E98" w:rsidRPr="00326734">
        <w:rPr>
          <w:sz w:val="24"/>
          <w:szCs w:val="24"/>
        </w:rPr>
        <w:t xml:space="preserve">plicit that </w:t>
      </w:r>
      <w:r w:rsidRPr="00326734">
        <w:rPr>
          <w:sz w:val="24"/>
          <w:szCs w:val="24"/>
        </w:rPr>
        <w:t xml:space="preserve">had </w:t>
      </w:r>
      <w:r w:rsidR="00025E98" w:rsidRPr="00326734">
        <w:rPr>
          <w:sz w:val="24"/>
          <w:szCs w:val="24"/>
        </w:rPr>
        <w:t xml:space="preserve">she </w:t>
      </w:r>
      <w:r w:rsidRPr="00326734">
        <w:rPr>
          <w:sz w:val="24"/>
          <w:szCs w:val="24"/>
        </w:rPr>
        <w:t>been deciding the case, the woman driver would have won. Given the predominance of male judges, this suggests a system</w:t>
      </w:r>
      <w:r w:rsidR="00EE582A">
        <w:rPr>
          <w:sz w:val="24"/>
          <w:szCs w:val="24"/>
        </w:rPr>
        <w:t>at</w:t>
      </w:r>
      <w:r w:rsidRPr="00326734">
        <w:rPr>
          <w:sz w:val="24"/>
          <w:szCs w:val="24"/>
        </w:rPr>
        <w:t xml:space="preserve">ic tendency for judgments based on </w:t>
      </w:r>
      <w:r w:rsidR="00025E98" w:rsidRPr="00326734">
        <w:rPr>
          <w:sz w:val="24"/>
          <w:szCs w:val="24"/>
        </w:rPr>
        <w:t>male life experience to prevail. H</w:t>
      </w:r>
      <w:r w:rsidR="00CD7DAB" w:rsidRPr="00326734">
        <w:rPr>
          <w:sz w:val="24"/>
          <w:szCs w:val="24"/>
        </w:rPr>
        <w:t xml:space="preserve">omogeneity </w:t>
      </w:r>
      <w:r w:rsidR="00025E98" w:rsidRPr="00326734">
        <w:rPr>
          <w:sz w:val="24"/>
          <w:szCs w:val="24"/>
        </w:rPr>
        <w:t>then becomes mistaken for neutrality,</w:t>
      </w:r>
      <w:r w:rsidR="00CD7DAB" w:rsidRPr="00326734">
        <w:rPr>
          <w:rStyle w:val="FootnoteReference"/>
          <w:sz w:val="24"/>
          <w:szCs w:val="24"/>
        </w:rPr>
        <w:footnoteReference w:id="25"/>
      </w:r>
      <w:r w:rsidR="00CD7DAB" w:rsidRPr="00326734">
        <w:rPr>
          <w:sz w:val="24"/>
          <w:szCs w:val="24"/>
        </w:rPr>
        <w:t xml:space="preserve"> </w:t>
      </w:r>
      <w:r w:rsidR="00025E98" w:rsidRPr="00326734">
        <w:rPr>
          <w:sz w:val="24"/>
          <w:szCs w:val="24"/>
        </w:rPr>
        <w:t>but in fact there is a persistent bias which</w:t>
      </w:r>
      <w:r w:rsidRPr="00326734">
        <w:rPr>
          <w:sz w:val="24"/>
          <w:szCs w:val="24"/>
        </w:rPr>
        <w:t xml:space="preserve"> the presence of more women judges is needed to correct.  </w:t>
      </w:r>
    </w:p>
    <w:p w:rsidR="00E5374B" w:rsidRPr="00326734" w:rsidRDefault="00E5374B" w:rsidP="00E5374B">
      <w:pPr>
        <w:spacing w:line="480" w:lineRule="auto"/>
        <w:ind w:firstLine="720"/>
        <w:rPr>
          <w:sz w:val="24"/>
          <w:szCs w:val="24"/>
        </w:rPr>
      </w:pPr>
      <w:r w:rsidRPr="00326734">
        <w:rPr>
          <w:sz w:val="24"/>
          <w:szCs w:val="24"/>
        </w:rPr>
        <w:t>The second theory is that women judge ‘in a different voice’, that is, they apply a feminine ‘ethic of care’ as opposed to the masculine ‘ethic of justice’.</w:t>
      </w:r>
      <w:r w:rsidRPr="00326734">
        <w:rPr>
          <w:rStyle w:val="FootnoteReference"/>
          <w:sz w:val="24"/>
          <w:szCs w:val="24"/>
        </w:rPr>
        <w:footnoteReference w:id="26"/>
      </w:r>
      <w:r w:rsidRPr="00326734">
        <w:rPr>
          <w:sz w:val="24"/>
          <w:szCs w:val="24"/>
        </w:rPr>
        <w:t xml:space="preserve"> This theory is based on the work of Carol Gilligan</w:t>
      </w:r>
      <w:r w:rsidR="00B94239" w:rsidRPr="00326734">
        <w:rPr>
          <w:sz w:val="24"/>
          <w:szCs w:val="24"/>
        </w:rPr>
        <w:t xml:space="preserve"> and her followers, who posit </w:t>
      </w:r>
      <w:r w:rsidRPr="00326734">
        <w:rPr>
          <w:sz w:val="24"/>
          <w:szCs w:val="24"/>
        </w:rPr>
        <w:t>gender difference</w:t>
      </w:r>
      <w:r w:rsidR="00B94239" w:rsidRPr="00326734">
        <w:rPr>
          <w:sz w:val="24"/>
          <w:szCs w:val="24"/>
        </w:rPr>
        <w:t>s</w:t>
      </w:r>
      <w:r w:rsidRPr="00326734">
        <w:rPr>
          <w:sz w:val="24"/>
          <w:szCs w:val="24"/>
        </w:rPr>
        <w:t xml:space="preserve"> in moral reasoning, with the feminine voice acknowledging and being concerned to preserve social relationships, while the masculine voice tends to see individuals as </w:t>
      </w:r>
      <w:r w:rsidR="00B94239" w:rsidRPr="00326734">
        <w:rPr>
          <w:sz w:val="24"/>
          <w:szCs w:val="24"/>
        </w:rPr>
        <w:t>atomistic</w:t>
      </w:r>
      <w:r w:rsidRPr="00326734">
        <w:rPr>
          <w:sz w:val="24"/>
          <w:szCs w:val="24"/>
        </w:rPr>
        <w:t xml:space="preserve"> and to make </w:t>
      </w:r>
      <w:r w:rsidRPr="00326734">
        <w:rPr>
          <w:sz w:val="24"/>
          <w:szCs w:val="24"/>
        </w:rPr>
        <w:lastRenderedPageBreak/>
        <w:t>judgments according to a hierarchy of rights.</w:t>
      </w:r>
      <w:r w:rsidRPr="00326734">
        <w:rPr>
          <w:rStyle w:val="FootnoteReference"/>
          <w:sz w:val="24"/>
          <w:szCs w:val="24"/>
        </w:rPr>
        <w:footnoteReference w:id="27"/>
      </w:r>
      <w:r w:rsidRPr="00326734">
        <w:rPr>
          <w:sz w:val="24"/>
          <w:szCs w:val="24"/>
        </w:rPr>
        <w:t xml:space="preserve"> </w:t>
      </w:r>
      <w:r w:rsidR="00965946" w:rsidRPr="00326734">
        <w:rPr>
          <w:sz w:val="24"/>
          <w:szCs w:val="24"/>
        </w:rPr>
        <w:t xml:space="preserve">To the extent that </w:t>
      </w:r>
      <w:r w:rsidR="00F2001B">
        <w:rPr>
          <w:sz w:val="24"/>
          <w:szCs w:val="24"/>
        </w:rPr>
        <w:t xml:space="preserve">both of </w:t>
      </w:r>
      <w:r w:rsidR="00965946" w:rsidRPr="00326734">
        <w:rPr>
          <w:sz w:val="24"/>
          <w:szCs w:val="24"/>
        </w:rPr>
        <w:t xml:space="preserve">these theories assume that all women share </w:t>
      </w:r>
      <w:r w:rsidR="00025E98" w:rsidRPr="00326734">
        <w:rPr>
          <w:sz w:val="24"/>
          <w:szCs w:val="24"/>
        </w:rPr>
        <w:t>some essential characteristics</w:t>
      </w:r>
      <w:r w:rsidR="00AC6C3C">
        <w:rPr>
          <w:sz w:val="24"/>
          <w:szCs w:val="24"/>
        </w:rPr>
        <w:t>,</w:t>
      </w:r>
      <w:r w:rsidR="00025E98" w:rsidRPr="00326734">
        <w:rPr>
          <w:sz w:val="24"/>
          <w:szCs w:val="24"/>
        </w:rPr>
        <w:t xml:space="preserve"> they have been subject to sustained critique</w:t>
      </w:r>
      <w:r w:rsidR="00F2001B">
        <w:rPr>
          <w:sz w:val="24"/>
          <w:szCs w:val="24"/>
        </w:rPr>
        <w:t>.</w:t>
      </w:r>
      <w:r w:rsidR="00025E98" w:rsidRPr="00326734">
        <w:rPr>
          <w:rStyle w:val="FootnoteReference"/>
          <w:sz w:val="24"/>
          <w:szCs w:val="24"/>
        </w:rPr>
        <w:footnoteReference w:id="28"/>
      </w:r>
      <w:r w:rsidR="00965946" w:rsidRPr="00326734">
        <w:rPr>
          <w:sz w:val="24"/>
          <w:szCs w:val="24"/>
        </w:rPr>
        <w:t xml:space="preserve"> </w:t>
      </w:r>
      <w:r w:rsidR="00F2001B">
        <w:rPr>
          <w:sz w:val="24"/>
          <w:szCs w:val="24"/>
        </w:rPr>
        <w:t>I</w:t>
      </w:r>
      <w:r w:rsidR="00EE582A">
        <w:rPr>
          <w:sz w:val="24"/>
          <w:szCs w:val="24"/>
        </w:rPr>
        <w:t xml:space="preserve">ndeed, the results of Law in Action’s ‘Neuberger Experiment’ indicate </w:t>
      </w:r>
      <w:r w:rsidR="006E7FB1">
        <w:rPr>
          <w:sz w:val="24"/>
          <w:szCs w:val="24"/>
        </w:rPr>
        <w:t xml:space="preserve">that it is impossible to ‘read off’ judicial gender from </w:t>
      </w:r>
      <w:r w:rsidR="00AC6C3C">
        <w:rPr>
          <w:sz w:val="24"/>
          <w:szCs w:val="24"/>
        </w:rPr>
        <w:t>simple heuristics</w:t>
      </w:r>
      <w:r w:rsidR="006E7FB1">
        <w:rPr>
          <w:sz w:val="24"/>
          <w:szCs w:val="24"/>
        </w:rPr>
        <w:t xml:space="preserve"> based on either female life experience or the ethic of care. At the same time, both </w:t>
      </w:r>
      <w:r w:rsidR="00AC6C3C">
        <w:rPr>
          <w:sz w:val="24"/>
          <w:szCs w:val="24"/>
        </w:rPr>
        <w:t xml:space="preserve">theories appear to </w:t>
      </w:r>
      <w:r w:rsidR="006E7FB1">
        <w:rPr>
          <w:sz w:val="24"/>
          <w:szCs w:val="24"/>
        </w:rPr>
        <w:t xml:space="preserve">contain some grains of truth. </w:t>
      </w:r>
      <w:r w:rsidR="00255C2D" w:rsidRPr="00326734">
        <w:rPr>
          <w:sz w:val="24"/>
          <w:szCs w:val="24"/>
        </w:rPr>
        <w:t xml:space="preserve">In the </w:t>
      </w:r>
      <w:r w:rsidRPr="00326734">
        <w:rPr>
          <w:sz w:val="24"/>
          <w:szCs w:val="24"/>
        </w:rPr>
        <w:t xml:space="preserve">remainder of this </w:t>
      </w:r>
      <w:r w:rsidR="00025E98" w:rsidRPr="00326734">
        <w:rPr>
          <w:sz w:val="24"/>
          <w:szCs w:val="24"/>
        </w:rPr>
        <w:t>article</w:t>
      </w:r>
      <w:r w:rsidRPr="00326734">
        <w:rPr>
          <w:sz w:val="24"/>
          <w:szCs w:val="24"/>
        </w:rPr>
        <w:t xml:space="preserve"> </w:t>
      </w:r>
      <w:r w:rsidR="00255C2D" w:rsidRPr="00326734">
        <w:rPr>
          <w:sz w:val="24"/>
          <w:szCs w:val="24"/>
        </w:rPr>
        <w:t xml:space="preserve">I </w:t>
      </w:r>
      <w:r w:rsidR="00025E98" w:rsidRPr="00326734">
        <w:rPr>
          <w:sz w:val="24"/>
          <w:szCs w:val="24"/>
        </w:rPr>
        <w:t>shall</w:t>
      </w:r>
      <w:r w:rsidR="00255C2D" w:rsidRPr="00326734">
        <w:rPr>
          <w:sz w:val="24"/>
          <w:szCs w:val="24"/>
        </w:rPr>
        <w:t xml:space="preserve"> investigate</w:t>
      </w:r>
      <w:r w:rsidRPr="00326734">
        <w:rPr>
          <w:sz w:val="24"/>
          <w:szCs w:val="24"/>
        </w:rPr>
        <w:t xml:space="preserve"> in more detail </w:t>
      </w:r>
      <w:r w:rsidR="00255C2D" w:rsidRPr="00326734">
        <w:rPr>
          <w:sz w:val="24"/>
          <w:szCs w:val="24"/>
        </w:rPr>
        <w:t xml:space="preserve">and in a more nuanced way </w:t>
      </w:r>
      <w:r w:rsidRPr="00326734">
        <w:rPr>
          <w:sz w:val="24"/>
          <w:szCs w:val="24"/>
        </w:rPr>
        <w:t xml:space="preserve">the argument that the identity of the judge </w:t>
      </w:r>
      <w:r w:rsidR="00255C2D" w:rsidRPr="00326734">
        <w:rPr>
          <w:sz w:val="24"/>
          <w:szCs w:val="24"/>
        </w:rPr>
        <w:t xml:space="preserve">might </w:t>
      </w:r>
      <w:r w:rsidRPr="00326734">
        <w:rPr>
          <w:sz w:val="24"/>
          <w:szCs w:val="24"/>
        </w:rPr>
        <w:t xml:space="preserve">make a </w:t>
      </w:r>
      <w:r w:rsidR="00B94239" w:rsidRPr="00326734">
        <w:rPr>
          <w:sz w:val="24"/>
          <w:szCs w:val="24"/>
        </w:rPr>
        <w:t xml:space="preserve">substantive </w:t>
      </w:r>
      <w:r w:rsidRPr="00326734">
        <w:rPr>
          <w:sz w:val="24"/>
          <w:szCs w:val="24"/>
        </w:rPr>
        <w:t xml:space="preserve">difference to judicial reasoning and decision-making.  </w:t>
      </w:r>
    </w:p>
    <w:p w:rsidR="00F66799" w:rsidRPr="00326734" w:rsidRDefault="00F66799" w:rsidP="00F66799">
      <w:pPr>
        <w:spacing w:line="480" w:lineRule="auto"/>
        <w:rPr>
          <w:sz w:val="24"/>
          <w:szCs w:val="24"/>
        </w:rPr>
      </w:pPr>
    </w:p>
    <w:p w:rsidR="00F66799" w:rsidRPr="00326734" w:rsidRDefault="00025E98" w:rsidP="00F66799">
      <w:pPr>
        <w:spacing w:line="480" w:lineRule="auto"/>
        <w:rPr>
          <w:sz w:val="24"/>
          <w:szCs w:val="24"/>
        </w:rPr>
      </w:pPr>
      <w:r w:rsidRPr="00326734">
        <w:rPr>
          <w:b/>
          <w:sz w:val="24"/>
          <w:szCs w:val="24"/>
        </w:rPr>
        <w:t>The impossibility of substantive diversity</w:t>
      </w:r>
    </w:p>
    <w:p w:rsidR="001249D9" w:rsidRPr="00326734" w:rsidRDefault="00255C2D" w:rsidP="00F66799">
      <w:pPr>
        <w:spacing w:line="480" w:lineRule="auto"/>
        <w:rPr>
          <w:sz w:val="24"/>
          <w:szCs w:val="24"/>
        </w:rPr>
      </w:pPr>
      <w:r w:rsidRPr="00326734">
        <w:rPr>
          <w:sz w:val="24"/>
          <w:szCs w:val="24"/>
        </w:rPr>
        <w:t>To begin with the counter-arguments, t</w:t>
      </w:r>
      <w:r w:rsidR="00CD7DAB" w:rsidRPr="00326734">
        <w:rPr>
          <w:sz w:val="24"/>
          <w:szCs w:val="24"/>
        </w:rPr>
        <w:t xml:space="preserve">he contention that women might theoretically judge differently is countered from several angles by arguments that </w:t>
      </w:r>
      <w:r w:rsidR="00E142DA" w:rsidRPr="00326734">
        <w:rPr>
          <w:sz w:val="24"/>
          <w:szCs w:val="24"/>
        </w:rPr>
        <w:t>they do not</w:t>
      </w:r>
      <w:r w:rsidR="00CD7DAB" w:rsidRPr="00326734">
        <w:rPr>
          <w:sz w:val="24"/>
          <w:szCs w:val="24"/>
        </w:rPr>
        <w:t xml:space="preserve"> and in fact cannot do so</w:t>
      </w:r>
      <w:r w:rsidR="00E142DA" w:rsidRPr="00326734">
        <w:rPr>
          <w:sz w:val="24"/>
          <w:szCs w:val="24"/>
        </w:rPr>
        <w:t xml:space="preserve"> in practice</w:t>
      </w:r>
      <w:r w:rsidR="00CD7DAB" w:rsidRPr="00326734">
        <w:rPr>
          <w:sz w:val="24"/>
          <w:szCs w:val="24"/>
        </w:rPr>
        <w:t>.</w:t>
      </w:r>
      <w:r w:rsidR="00E142DA" w:rsidRPr="00326734">
        <w:rPr>
          <w:sz w:val="24"/>
          <w:szCs w:val="24"/>
        </w:rPr>
        <w:t xml:space="preserve"> First, there is the </w:t>
      </w:r>
      <w:r w:rsidR="006E7FB1">
        <w:rPr>
          <w:sz w:val="24"/>
          <w:szCs w:val="24"/>
        </w:rPr>
        <w:t xml:space="preserve">quantitative </w:t>
      </w:r>
      <w:r w:rsidR="00E142DA" w:rsidRPr="00326734">
        <w:rPr>
          <w:sz w:val="24"/>
          <w:szCs w:val="24"/>
        </w:rPr>
        <w:t xml:space="preserve">empirical literature which has sought to establish whether or not women judges make a difference. Much of this literature has been generated within the political science discipline in the USA, and has usually involved large scale databases of decisions made by State or Federal benches, with statistical tests for the significance of judicial gender as an independent variable explaining the outcomes of cases. The results of these </w:t>
      </w:r>
      <w:r w:rsidR="00DE7275" w:rsidRPr="00326734">
        <w:rPr>
          <w:sz w:val="24"/>
          <w:szCs w:val="24"/>
        </w:rPr>
        <w:t>quantitative</w:t>
      </w:r>
      <w:r w:rsidR="00E142DA" w:rsidRPr="00326734">
        <w:rPr>
          <w:sz w:val="24"/>
          <w:szCs w:val="24"/>
        </w:rPr>
        <w:t xml:space="preserve"> studies are equivocal</w:t>
      </w:r>
      <w:r w:rsidR="001249D9" w:rsidRPr="00326734">
        <w:rPr>
          <w:sz w:val="24"/>
          <w:szCs w:val="24"/>
        </w:rPr>
        <w:t>, with many producing</w:t>
      </w:r>
      <w:r w:rsidR="00E142DA" w:rsidRPr="00326734">
        <w:rPr>
          <w:sz w:val="24"/>
          <w:szCs w:val="24"/>
        </w:rPr>
        <w:t xml:space="preserve"> no </w:t>
      </w:r>
      <w:r w:rsidR="00E142DA" w:rsidRPr="00326734">
        <w:rPr>
          <w:sz w:val="24"/>
          <w:szCs w:val="24"/>
        </w:rPr>
        <w:lastRenderedPageBreak/>
        <w:t>gender difference, or find</w:t>
      </w:r>
      <w:r w:rsidR="001249D9" w:rsidRPr="00326734">
        <w:rPr>
          <w:sz w:val="24"/>
          <w:szCs w:val="24"/>
        </w:rPr>
        <w:t>ing</w:t>
      </w:r>
      <w:r w:rsidR="00E142DA" w:rsidRPr="00326734">
        <w:rPr>
          <w:sz w:val="24"/>
          <w:szCs w:val="24"/>
        </w:rPr>
        <w:t xml:space="preserve"> that gender difference disappears when </w:t>
      </w:r>
      <w:r w:rsidR="001249D9" w:rsidRPr="00326734">
        <w:rPr>
          <w:sz w:val="24"/>
          <w:szCs w:val="24"/>
        </w:rPr>
        <w:t>other factors are controlled</w:t>
      </w:r>
      <w:r w:rsidR="00E142DA" w:rsidRPr="00326734">
        <w:rPr>
          <w:sz w:val="24"/>
          <w:szCs w:val="24"/>
        </w:rPr>
        <w:t xml:space="preserve"> for, particularly judicial political affiliation (i</w:t>
      </w:r>
      <w:r w:rsidR="001249D9" w:rsidRPr="00326734">
        <w:rPr>
          <w:sz w:val="24"/>
          <w:szCs w:val="24"/>
        </w:rPr>
        <w:t>.</w:t>
      </w:r>
      <w:r w:rsidR="00E142DA" w:rsidRPr="00326734">
        <w:rPr>
          <w:sz w:val="24"/>
          <w:szCs w:val="24"/>
        </w:rPr>
        <w:t>e</w:t>
      </w:r>
      <w:r w:rsidR="001249D9" w:rsidRPr="00326734">
        <w:rPr>
          <w:sz w:val="24"/>
          <w:szCs w:val="24"/>
        </w:rPr>
        <w:t>.</w:t>
      </w:r>
      <w:r w:rsidRPr="00326734">
        <w:rPr>
          <w:sz w:val="24"/>
          <w:szCs w:val="24"/>
        </w:rPr>
        <w:t>, whether judges</w:t>
      </w:r>
      <w:r w:rsidR="00E142DA" w:rsidRPr="00326734">
        <w:rPr>
          <w:sz w:val="24"/>
          <w:szCs w:val="24"/>
        </w:rPr>
        <w:t xml:space="preserve"> were appointed by a Democratic or Republican President or Governor).</w:t>
      </w:r>
      <w:r w:rsidR="00E142DA" w:rsidRPr="00326734">
        <w:rPr>
          <w:rStyle w:val="FootnoteReference"/>
          <w:sz w:val="24"/>
          <w:szCs w:val="24"/>
        </w:rPr>
        <w:footnoteReference w:id="29"/>
      </w:r>
      <w:r w:rsidR="00E142DA" w:rsidRPr="00326734">
        <w:rPr>
          <w:sz w:val="24"/>
          <w:szCs w:val="24"/>
        </w:rPr>
        <w:t xml:space="preserve"> </w:t>
      </w:r>
    </w:p>
    <w:p w:rsidR="00E142DA" w:rsidRPr="00326734" w:rsidRDefault="001249D9" w:rsidP="001249D9">
      <w:pPr>
        <w:spacing w:line="480" w:lineRule="auto"/>
        <w:ind w:firstLine="720"/>
        <w:rPr>
          <w:sz w:val="24"/>
          <w:szCs w:val="24"/>
        </w:rPr>
      </w:pPr>
      <w:r w:rsidRPr="00326734">
        <w:rPr>
          <w:sz w:val="24"/>
          <w:szCs w:val="24"/>
        </w:rPr>
        <w:t>There are, in turn, a number of possible explanations for this lack of gender difference. One is</w:t>
      </w:r>
      <w:r w:rsidR="00F473DD">
        <w:rPr>
          <w:sz w:val="24"/>
          <w:szCs w:val="24"/>
        </w:rPr>
        <w:t xml:space="preserve"> common law</w:t>
      </w:r>
      <w:r w:rsidRPr="00326734">
        <w:rPr>
          <w:sz w:val="24"/>
          <w:szCs w:val="24"/>
        </w:rPr>
        <w:t xml:space="preserve"> judicial ideology – the notion that whatever a judge’s background or beliefs, they are trumped by a </w:t>
      </w:r>
      <w:r w:rsidR="003A2678" w:rsidRPr="00326734">
        <w:rPr>
          <w:sz w:val="24"/>
          <w:szCs w:val="24"/>
        </w:rPr>
        <w:t xml:space="preserve">deeply acculturated </w:t>
      </w:r>
      <w:r w:rsidR="00255C2D" w:rsidRPr="00326734">
        <w:rPr>
          <w:sz w:val="24"/>
          <w:szCs w:val="24"/>
        </w:rPr>
        <w:t>set of norms and</w:t>
      </w:r>
      <w:r w:rsidRPr="00326734">
        <w:rPr>
          <w:sz w:val="24"/>
          <w:szCs w:val="24"/>
        </w:rPr>
        <w:t xml:space="preserve"> traditions of judicial decision-making to which all judges tend to adhere. These norms include deference to the separation of powers and a limited judicial role, adherence to precedent</w:t>
      </w:r>
      <w:r w:rsidR="00490CAF" w:rsidRPr="00326734">
        <w:rPr>
          <w:sz w:val="24"/>
          <w:szCs w:val="24"/>
        </w:rPr>
        <w:t>,</w:t>
      </w:r>
      <w:r w:rsidR="00F646B2">
        <w:rPr>
          <w:sz w:val="24"/>
          <w:szCs w:val="24"/>
        </w:rPr>
        <w:t xml:space="preserve"> </w:t>
      </w:r>
      <w:proofErr w:type="spellStart"/>
      <w:r w:rsidRPr="00326734">
        <w:rPr>
          <w:sz w:val="24"/>
          <w:szCs w:val="24"/>
        </w:rPr>
        <w:t>incrementalism</w:t>
      </w:r>
      <w:proofErr w:type="spellEnd"/>
      <w:r w:rsidRPr="00326734">
        <w:rPr>
          <w:sz w:val="24"/>
          <w:szCs w:val="24"/>
        </w:rPr>
        <w:t xml:space="preserve">, </w:t>
      </w:r>
      <w:r w:rsidR="00F646B2">
        <w:rPr>
          <w:sz w:val="24"/>
          <w:szCs w:val="24"/>
        </w:rPr>
        <w:t>and</w:t>
      </w:r>
      <w:r w:rsidRPr="00326734">
        <w:rPr>
          <w:sz w:val="24"/>
          <w:szCs w:val="24"/>
        </w:rPr>
        <w:t xml:space="preserve"> </w:t>
      </w:r>
      <w:r w:rsidR="00490CAF" w:rsidRPr="00326734">
        <w:rPr>
          <w:sz w:val="24"/>
          <w:szCs w:val="24"/>
        </w:rPr>
        <w:t>the upholding of ‘fundamental principles’ of the common law</w:t>
      </w:r>
      <w:r w:rsidR="00F646B2">
        <w:rPr>
          <w:sz w:val="24"/>
          <w:szCs w:val="24"/>
        </w:rPr>
        <w:t xml:space="preserve">, which may give rise to </w:t>
      </w:r>
      <w:r w:rsidR="00490CAF" w:rsidRPr="00326734">
        <w:rPr>
          <w:sz w:val="24"/>
          <w:szCs w:val="24"/>
        </w:rPr>
        <w:t xml:space="preserve">resistance to legislative </w:t>
      </w:r>
      <w:r w:rsidR="00F646B2">
        <w:rPr>
          <w:sz w:val="24"/>
          <w:szCs w:val="24"/>
        </w:rPr>
        <w:t>reforms which are perceived to contravene those principles.</w:t>
      </w:r>
      <w:r w:rsidR="00490CAF" w:rsidRPr="00326734">
        <w:rPr>
          <w:rStyle w:val="FootnoteReference"/>
          <w:sz w:val="24"/>
          <w:szCs w:val="24"/>
        </w:rPr>
        <w:footnoteReference w:id="30"/>
      </w:r>
      <w:r w:rsidR="00490CAF" w:rsidRPr="00326734">
        <w:rPr>
          <w:sz w:val="24"/>
          <w:szCs w:val="24"/>
        </w:rPr>
        <w:t xml:space="preserve"> </w:t>
      </w:r>
      <w:r w:rsidR="00552EEC" w:rsidRPr="00326734">
        <w:rPr>
          <w:sz w:val="24"/>
          <w:szCs w:val="24"/>
        </w:rPr>
        <w:t>Thus, for example, judges might resist giving full effect to mandatory sentencing legislation</w:t>
      </w:r>
      <w:r w:rsidR="00F473DD">
        <w:rPr>
          <w:sz w:val="24"/>
          <w:szCs w:val="24"/>
        </w:rPr>
        <w:t xml:space="preserve"> because </w:t>
      </w:r>
      <w:r w:rsidR="00AC6C3C">
        <w:rPr>
          <w:sz w:val="24"/>
          <w:szCs w:val="24"/>
        </w:rPr>
        <w:t>it</w:t>
      </w:r>
      <w:r w:rsidR="00F473DD">
        <w:rPr>
          <w:sz w:val="24"/>
          <w:szCs w:val="24"/>
        </w:rPr>
        <w:t xml:space="preserve"> encroaches on a traditional area of judicial </w:t>
      </w:r>
      <w:r w:rsidR="00F473DD">
        <w:rPr>
          <w:sz w:val="24"/>
          <w:szCs w:val="24"/>
        </w:rPr>
        <w:lastRenderedPageBreak/>
        <w:t>discretion</w:t>
      </w:r>
      <w:r w:rsidR="00AC6C3C">
        <w:rPr>
          <w:sz w:val="24"/>
          <w:szCs w:val="24"/>
        </w:rPr>
        <w:t>.</w:t>
      </w:r>
      <w:r w:rsidR="00552EEC" w:rsidRPr="00326734">
        <w:rPr>
          <w:rStyle w:val="FootnoteReference"/>
          <w:sz w:val="24"/>
          <w:szCs w:val="24"/>
        </w:rPr>
        <w:footnoteReference w:id="31"/>
      </w:r>
      <w:r w:rsidR="00552EEC" w:rsidRPr="00326734">
        <w:rPr>
          <w:sz w:val="24"/>
          <w:szCs w:val="24"/>
        </w:rPr>
        <w:t xml:space="preserve"> </w:t>
      </w:r>
      <w:r w:rsidR="00AC6C3C">
        <w:rPr>
          <w:sz w:val="24"/>
          <w:szCs w:val="24"/>
        </w:rPr>
        <w:t>B</w:t>
      </w:r>
      <w:r w:rsidR="00552EEC" w:rsidRPr="00326734">
        <w:rPr>
          <w:sz w:val="24"/>
          <w:szCs w:val="24"/>
        </w:rPr>
        <w:t xml:space="preserve">ut they might also find ways </w:t>
      </w:r>
      <w:r w:rsidR="003A2678" w:rsidRPr="00326734">
        <w:rPr>
          <w:sz w:val="24"/>
          <w:szCs w:val="24"/>
        </w:rPr>
        <w:t>to limit the scope of</w:t>
      </w:r>
      <w:r w:rsidR="00552EEC" w:rsidRPr="00326734">
        <w:rPr>
          <w:sz w:val="24"/>
          <w:szCs w:val="24"/>
        </w:rPr>
        <w:t xml:space="preserve"> progressive reforms designed to produce greater gender justice, </w:t>
      </w:r>
      <w:r w:rsidR="00F646B2">
        <w:rPr>
          <w:sz w:val="24"/>
          <w:szCs w:val="24"/>
        </w:rPr>
        <w:t>such as rape shield legislation</w:t>
      </w:r>
      <w:r w:rsidR="00552EEC" w:rsidRPr="00326734">
        <w:rPr>
          <w:rStyle w:val="FootnoteReference"/>
          <w:sz w:val="24"/>
          <w:szCs w:val="24"/>
        </w:rPr>
        <w:footnoteReference w:id="32"/>
      </w:r>
      <w:r w:rsidR="00552EEC" w:rsidRPr="00326734">
        <w:rPr>
          <w:sz w:val="24"/>
          <w:szCs w:val="24"/>
        </w:rPr>
        <w:t xml:space="preserve"> and occupation orders in domestic violence cases</w:t>
      </w:r>
      <w:r w:rsidR="00F473DD">
        <w:rPr>
          <w:sz w:val="24"/>
          <w:szCs w:val="24"/>
        </w:rPr>
        <w:t>,</w:t>
      </w:r>
      <w:r w:rsidR="00F646B2" w:rsidRPr="00326734">
        <w:rPr>
          <w:rStyle w:val="FootnoteReference"/>
          <w:sz w:val="24"/>
          <w:szCs w:val="24"/>
        </w:rPr>
        <w:footnoteReference w:id="33"/>
      </w:r>
      <w:r w:rsidR="00F473DD">
        <w:rPr>
          <w:sz w:val="24"/>
          <w:szCs w:val="24"/>
        </w:rPr>
        <w:t xml:space="preserve"> because these appear to </w:t>
      </w:r>
      <w:r w:rsidR="00F646B2">
        <w:rPr>
          <w:sz w:val="24"/>
          <w:szCs w:val="24"/>
        </w:rPr>
        <w:t>undermine</w:t>
      </w:r>
      <w:r w:rsidR="00F473DD">
        <w:rPr>
          <w:sz w:val="24"/>
          <w:szCs w:val="24"/>
        </w:rPr>
        <w:t xml:space="preserve"> fundamental rights (the right to a fair trial and property rights, respectively)</w:t>
      </w:r>
      <w:r w:rsidR="00552EEC" w:rsidRPr="00326734">
        <w:rPr>
          <w:sz w:val="24"/>
          <w:szCs w:val="24"/>
        </w:rPr>
        <w:t>.</w:t>
      </w:r>
      <w:r w:rsidR="003A2678" w:rsidRPr="00326734">
        <w:rPr>
          <w:sz w:val="24"/>
          <w:szCs w:val="24"/>
        </w:rPr>
        <w:t xml:space="preserve"> Indeed, Fielding cites one of the women judges he interviewed referring to</w:t>
      </w:r>
      <w:r w:rsidR="00025E98" w:rsidRPr="00326734">
        <w:rPr>
          <w:sz w:val="24"/>
          <w:szCs w:val="24"/>
        </w:rPr>
        <w:t xml:space="preserve"> s 41 of the Youth Justice and Criminal Evidence Act 1999 – the rape shield provision which was </w:t>
      </w:r>
      <w:r w:rsidR="00917BD6" w:rsidRPr="00326734">
        <w:rPr>
          <w:sz w:val="24"/>
          <w:szCs w:val="24"/>
        </w:rPr>
        <w:t>read down</w:t>
      </w:r>
      <w:r w:rsidR="00025E98" w:rsidRPr="00326734">
        <w:rPr>
          <w:sz w:val="24"/>
          <w:szCs w:val="24"/>
        </w:rPr>
        <w:t xml:space="preserve"> by the House of Lords in </w:t>
      </w:r>
      <w:r w:rsidR="00025E98" w:rsidRPr="00326734">
        <w:rPr>
          <w:i/>
          <w:sz w:val="24"/>
          <w:szCs w:val="24"/>
        </w:rPr>
        <w:t>R v A (No 2)</w:t>
      </w:r>
      <w:r w:rsidR="00917BD6" w:rsidRPr="00326734">
        <w:rPr>
          <w:rStyle w:val="FootnoteReference"/>
          <w:sz w:val="24"/>
          <w:szCs w:val="24"/>
        </w:rPr>
        <w:footnoteReference w:id="34"/>
      </w:r>
      <w:r w:rsidR="00025E98" w:rsidRPr="00326734">
        <w:rPr>
          <w:sz w:val="24"/>
          <w:szCs w:val="24"/>
        </w:rPr>
        <w:t xml:space="preserve"> – as ‘</w:t>
      </w:r>
      <w:r w:rsidR="003A2678" w:rsidRPr="00326734">
        <w:rPr>
          <w:sz w:val="24"/>
          <w:szCs w:val="24"/>
        </w:rPr>
        <w:t xml:space="preserve">that ludicrous stuff about rape, previous sexual experience of the complainant, completely unjust, which the House of Lords happily found their way around with the </w:t>
      </w:r>
      <w:r w:rsidR="00025E98" w:rsidRPr="00326734">
        <w:rPr>
          <w:sz w:val="24"/>
          <w:szCs w:val="24"/>
        </w:rPr>
        <w:t>help of the European Convention’</w:t>
      </w:r>
      <w:r w:rsidR="003A2678" w:rsidRPr="00326734">
        <w:rPr>
          <w:sz w:val="24"/>
          <w:szCs w:val="24"/>
        </w:rPr>
        <w:t>.</w:t>
      </w:r>
      <w:r w:rsidR="003A2678" w:rsidRPr="00326734">
        <w:rPr>
          <w:rStyle w:val="FootnoteReference"/>
          <w:sz w:val="24"/>
          <w:szCs w:val="24"/>
        </w:rPr>
        <w:footnoteReference w:id="35"/>
      </w:r>
    </w:p>
    <w:p w:rsidR="001938B0" w:rsidRPr="00326734" w:rsidRDefault="003A2678" w:rsidP="001249D9">
      <w:pPr>
        <w:spacing w:line="480" w:lineRule="auto"/>
        <w:ind w:firstLine="720"/>
        <w:rPr>
          <w:sz w:val="24"/>
          <w:szCs w:val="24"/>
        </w:rPr>
      </w:pPr>
      <w:r w:rsidRPr="00326734">
        <w:rPr>
          <w:sz w:val="24"/>
          <w:szCs w:val="24"/>
        </w:rPr>
        <w:t>A</w:t>
      </w:r>
      <w:r w:rsidR="00883EBC" w:rsidRPr="00326734">
        <w:rPr>
          <w:sz w:val="24"/>
          <w:szCs w:val="24"/>
        </w:rPr>
        <w:t xml:space="preserve"> related point, and arguably another element of judicial ideology, is the invidiousness of difference – that is, the notion that exhibiting difference of any kind is inimical to the judicial role</w:t>
      </w:r>
      <w:r w:rsidR="001938B0" w:rsidRPr="00326734">
        <w:rPr>
          <w:sz w:val="24"/>
          <w:szCs w:val="24"/>
        </w:rPr>
        <w:t xml:space="preserve">. In other words, women have been ‘let in’ to the judiciary on </w:t>
      </w:r>
      <w:r w:rsidR="001938B0" w:rsidRPr="00326734">
        <w:rPr>
          <w:sz w:val="24"/>
          <w:szCs w:val="24"/>
        </w:rPr>
        <w:lastRenderedPageBreak/>
        <w:t>condition of co</w:t>
      </w:r>
      <w:r w:rsidR="00255C2D" w:rsidRPr="00326734">
        <w:rPr>
          <w:sz w:val="24"/>
          <w:szCs w:val="24"/>
        </w:rPr>
        <w:t>nformity to the prevailing (masculine</w:t>
      </w:r>
      <w:r w:rsidR="001938B0" w:rsidRPr="00326734">
        <w:rPr>
          <w:sz w:val="24"/>
          <w:szCs w:val="24"/>
        </w:rPr>
        <w:t>) ethos,</w:t>
      </w:r>
      <w:r w:rsidR="001938B0" w:rsidRPr="00326734">
        <w:rPr>
          <w:rStyle w:val="FootnoteReference"/>
          <w:sz w:val="24"/>
          <w:szCs w:val="24"/>
        </w:rPr>
        <w:footnoteReference w:id="36"/>
      </w:r>
      <w:r w:rsidR="001938B0" w:rsidRPr="00326734">
        <w:rPr>
          <w:sz w:val="24"/>
          <w:szCs w:val="24"/>
        </w:rPr>
        <w:t xml:space="preserve"> and any hint of failure to conform would call into question their qualification to be a judge</w:t>
      </w:r>
      <w:r w:rsidR="00883EBC" w:rsidRPr="00326734">
        <w:rPr>
          <w:sz w:val="24"/>
          <w:szCs w:val="24"/>
        </w:rPr>
        <w:t>. This is what</w:t>
      </w:r>
      <w:r w:rsidR="001938B0" w:rsidRPr="00326734">
        <w:rPr>
          <w:sz w:val="24"/>
          <w:szCs w:val="24"/>
        </w:rPr>
        <w:t xml:space="preserve"> Erika Rackley has termed the Little Mermaid </w:t>
      </w:r>
      <w:r w:rsidR="00917BD6" w:rsidRPr="00326734">
        <w:rPr>
          <w:sz w:val="24"/>
          <w:szCs w:val="24"/>
        </w:rPr>
        <w:t>syndrome</w:t>
      </w:r>
      <w:r w:rsidR="001938B0" w:rsidRPr="00326734">
        <w:rPr>
          <w:sz w:val="24"/>
          <w:szCs w:val="24"/>
        </w:rPr>
        <w:t xml:space="preserve">: </w:t>
      </w:r>
    </w:p>
    <w:p w:rsidR="00255C2D" w:rsidRPr="00326734" w:rsidRDefault="00255C2D" w:rsidP="001249D9">
      <w:pPr>
        <w:spacing w:line="480" w:lineRule="auto"/>
        <w:ind w:firstLine="720"/>
        <w:rPr>
          <w:sz w:val="24"/>
          <w:szCs w:val="24"/>
        </w:rPr>
      </w:pPr>
    </w:p>
    <w:p w:rsidR="003A2678" w:rsidRPr="00326734" w:rsidRDefault="001938B0" w:rsidP="001938B0">
      <w:pPr>
        <w:spacing w:line="480" w:lineRule="auto"/>
        <w:ind w:left="720"/>
        <w:rPr>
          <w:sz w:val="24"/>
          <w:szCs w:val="24"/>
        </w:rPr>
      </w:pPr>
      <w:r w:rsidRPr="00326734">
        <w:rPr>
          <w:sz w:val="24"/>
          <w:szCs w:val="24"/>
        </w:rPr>
        <w:t>Like Anderson’s mermaid, [the woman judge] is induced to sell her voice in order to walk on land (or enter the court room) with her prince; her dangerous siren call is silenced, and in the silence, difference is lost.</w:t>
      </w:r>
      <w:r w:rsidRPr="00326734">
        <w:rPr>
          <w:rStyle w:val="FootnoteReference"/>
          <w:sz w:val="24"/>
          <w:szCs w:val="24"/>
        </w:rPr>
        <w:footnoteReference w:id="37"/>
      </w:r>
      <w:r w:rsidR="00883EBC" w:rsidRPr="00326734">
        <w:rPr>
          <w:sz w:val="24"/>
          <w:szCs w:val="24"/>
        </w:rPr>
        <w:t xml:space="preserve"> </w:t>
      </w:r>
    </w:p>
    <w:p w:rsidR="00255C2D" w:rsidRPr="00326734" w:rsidRDefault="00255C2D" w:rsidP="00F66799">
      <w:pPr>
        <w:spacing w:line="480" w:lineRule="auto"/>
        <w:rPr>
          <w:sz w:val="24"/>
          <w:szCs w:val="24"/>
        </w:rPr>
      </w:pPr>
    </w:p>
    <w:p w:rsidR="00E142DA" w:rsidRPr="00326734" w:rsidRDefault="00A6546E" w:rsidP="00F66799">
      <w:pPr>
        <w:spacing w:line="480" w:lineRule="auto"/>
        <w:rPr>
          <w:sz w:val="24"/>
          <w:szCs w:val="24"/>
        </w:rPr>
      </w:pPr>
      <w:r w:rsidRPr="00326734">
        <w:rPr>
          <w:sz w:val="24"/>
          <w:szCs w:val="24"/>
        </w:rPr>
        <w:t>Several studies of women and other non-traditional judges have demonstrated their unwillingness to step out of line, and a feeling that they must distance themselves from any notion of difference in order to establish their judicial authority and to be taken seriously by their peers and the judicial hierarchy.</w:t>
      </w:r>
      <w:r w:rsidRPr="00326734">
        <w:rPr>
          <w:rStyle w:val="FootnoteReference"/>
          <w:sz w:val="24"/>
          <w:szCs w:val="24"/>
        </w:rPr>
        <w:footnoteReference w:id="38"/>
      </w:r>
      <w:r w:rsidR="000C173F" w:rsidRPr="00326734">
        <w:rPr>
          <w:sz w:val="24"/>
          <w:szCs w:val="24"/>
        </w:rPr>
        <w:t xml:space="preserve"> This performance </w:t>
      </w:r>
      <w:r w:rsidR="00842BF7" w:rsidRPr="00326734">
        <w:rPr>
          <w:sz w:val="24"/>
          <w:szCs w:val="24"/>
        </w:rPr>
        <w:t xml:space="preserve">of </w:t>
      </w:r>
      <w:r w:rsidR="00D53C21" w:rsidRPr="00326734">
        <w:rPr>
          <w:sz w:val="24"/>
          <w:szCs w:val="24"/>
        </w:rPr>
        <w:t>‘</w:t>
      </w:r>
      <w:r w:rsidR="00842BF7" w:rsidRPr="00326734">
        <w:rPr>
          <w:sz w:val="24"/>
          <w:szCs w:val="24"/>
        </w:rPr>
        <w:t>neutrality</w:t>
      </w:r>
      <w:r w:rsidR="00D53C21" w:rsidRPr="00326734">
        <w:rPr>
          <w:sz w:val="24"/>
          <w:szCs w:val="24"/>
        </w:rPr>
        <w:t>’</w:t>
      </w:r>
      <w:r w:rsidR="00842BF7" w:rsidRPr="00326734">
        <w:rPr>
          <w:sz w:val="24"/>
          <w:szCs w:val="24"/>
        </w:rPr>
        <w:t xml:space="preserve"> may even become exaggerated, as a South Asian immigration judge interviewed by Hilary Sommerlad stated:</w:t>
      </w:r>
    </w:p>
    <w:p w:rsidR="00255C2D" w:rsidRPr="00326734" w:rsidRDefault="00255C2D" w:rsidP="00F66799">
      <w:pPr>
        <w:spacing w:line="480" w:lineRule="auto"/>
        <w:rPr>
          <w:sz w:val="24"/>
          <w:szCs w:val="24"/>
        </w:rPr>
      </w:pPr>
    </w:p>
    <w:p w:rsidR="00842BF7" w:rsidRPr="00326734" w:rsidRDefault="00842BF7" w:rsidP="00842BF7">
      <w:pPr>
        <w:spacing w:line="480" w:lineRule="auto"/>
        <w:ind w:left="720"/>
        <w:rPr>
          <w:sz w:val="24"/>
          <w:szCs w:val="24"/>
        </w:rPr>
      </w:pPr>
      <w:r w:rsidRPr="00326734">
        <w:rPr>
          <w:sz w:val="24"/>
          <w:szCs w:val="24"/>
        </w:rPr>
        <w:t>The feeling of being an outsider did extend to how I behaved as a judge at first. I felt terribly self-conscious, on guard, needing to make sure I was right and also be seen to be doing it ‘properly’. So I may even have been harsher than white judges.</w:t>
      </w:r>
      <w:r w:rsidRPr="00326734">
        <w:rPr>
          <w:rStyle w:val="FootnoteReference"/>
          <w:sz w:val="24"/>
          <w:szCs w:val="24"/>
        </w:rPr>
        <w:footnoteReference w:id="39"/>
      </w:r>
    </w:p>
    <w:p w:rsidR="00255C2D" w:rsidRPr="00326734" w:rsidRDefault="00255C2D" w:rsidP="00F66799">
      <w:pPr>
        <w:spacing w:line="480" w:lineRule="auto"/>
        <w:rPr>
          <w:sz w:val="24"/>
          <w:szCs w:val="24"/>
        </w:rPr>
      </w:pPr>
    </w:p>
    <w:p w:rsidR="001938B0" w:rsidRPr="00326734" w:rsidRDefault="00842BF7" w:rsidP="00F66799">
      <w:pPr>
        <w:spacing w:line="480" w:lineRule="auto"/>
        <w:rPr>
          <w:sz w:val="24"/>
          <w:szCs w:val="24"/>
        </w:rPr>
      </w:pPr>
      <w:r w:rsidRPr="00326734">
        <w:rPr>
          <w:sz w:val="24"/>
          <w:szCs w:val="24"/>
        </w:rPr>
        <w:t xml:space="preserve">Moreover, conformity arises not merely from a subjective desire to ‘fit in’, but is also objectively enforced. According to another of </w:t>
      </w:r>
      <w:proofErr w:type="spellStart"/>
      <w:r w:rsidRPr="00326734">
        <w:rPr>
          <w:sz w:val="24"/>
          <w:szCs w:val="24"/>
        </w:rPr>
        <w:t>Sommerlad’s</w:t>
      </w:r>
      <w:proofErr w:type="spellEnd"/>
      <w:r w:rsidRPr="00326734">
        <w:rPr>
          <w:sz w:val="24"/>
          <w:szCs w:val="24"/>
        </w:rPr>
        <w:t xml:space="preserve"> interviewees, a regional tribunal judge of the social entitlement chamber, if one of her decisions is appealed:</w:t>
      </w:r>
    </w:p>
    <w:p w:rsidR="00255C2D" w:rsidRPr="00326734" w:rsidRDefault="00255C2D" w:rsidP="00F66799">
      <w:pPr>
        <w:spacing w:line="480" w:lineRule="auto"/>
        <w:rPr>
          <w:sz w:val="24"/>
          <w:szCs w:val="24"/>
        </w:rPr>
      </w:pPr>
    </w:p>
    <w:p w:rsidR="00842BF7" w:rsidRPr="00326734" w:rsidRDefault="00842BF7" w:rsidP="00842BF7">
      <w:pPr>
        <w:spacing w:line="480" w:lineRule="auto"/>
        <w:ind w:left="720"/>
        <w:rPr>
          <w:sz w:val="24"/>
          <w:szCs w:val="24"/>
        </w:rPr>
      </w:pPr>
      <w:r w:rsidRPr="00326734">
        <w:rPr>
          <w:sz w:val="24"/>
          <w:szCs w:val="24"/>
        </w:rPr>
        <w:t>There are more males in the Upper Tier – it’s probably worse than the officers’ mess. I know as a woman that if I’m seen to be particularly lenient it will be seen as a negative thing so I’ve always tried to administer the law directly, within the law.</w:t>
      </w:r>
      <w:r w:rsidRPr="00326734">
        <w:rPr>
          <w:rStyle w:val="FootnoteReference"/>
          <w:sz w:val="24"/>
          <w:szCs w:val="24"/>
        </w:rPr>
        <w:footnoteReference w:id="40"/>
      </w:r>
    </w:p>
    <w:p w:rsidR="00255C2D" w:rsidRPr="00326734" w:rsidRDefault="00255C2D" w:rsidP="00F66799">
      <w:pPr>
        <w:spacing w:line="480" w:lineRule="auto"/>
        <w:rPr>
          <w:sz w:val="24"/>
          <w:szCs w:val="24"/>
        </w:rPr>
      </w:pPr>
    </w:p>
    <w:p w:rsidR="004F7655" w:rsidRPr="00326734" w:rsidRDefault="00D53C21" w:rsidP="00F66799">
      <w:pPr>
        <w:spacing w:line="480" w:lineRule="auto"/>
        <w:rPr>
          <w:sz w:val="24"/>
          <w:szCs w:val="24"/>
        </w:rPr>
      </w:pPr>
      <w:r w:rsidRPr="00326734">
        <w:rPr>
          <w:sz w:val="24"/>
          <w:szCs w:val="24"/>
        </w:rPr>
        <w:tab/>
        <w:t xml:space="preserve">Even a feminist judge, who might </w:t>
      </w:r>
      <w:r w:rsidR="00255C2D" w:rsidRPr="00326734">
        <w:rPr>
          <w:sz w:val="24"/>
          <w:szCs w:val="24"/>
        </w:rPr>
        <w:t xml:space="preserve">be expected to </w:t>
      </w:r>
      <w:r w:rsidRPr="00326734">
        <w:rPr>
          <w:sz w:val="24"/>
          <w:szCs w:val="24"/>
        </w:rPr>
        <w:t>take a more robust approach to the issue of difference, may find it impossible to insert a different perspective because the disciplinary techniques through which lawyers and judges are constituted induce and enforce conformity to established legal norms</w:t>
      </w:r>
      <w:r w:rsidR="00F62537" w:rsidRPr="00326734">
        <w:rPr>
          <w:sz w:val="24"/>
          <w:szCs w:val="24"/>
        </w:rPr>
        <w:t>.</w:t>
      </w:r>
      <w:r w:rsidRPr="00326734">
        <w:rPr>
          <w:sz w:val="24"/>
          <w:szCs w:val="24"/>
        </w:rPr>
        <w:t xml:space="preserve">  In accordance with this view, </w:t>
      </w:r>
      <w:r w:rsidR="00917BD6" w:rsidRPr="00326734">
        <w:rPr>
          <w:sz w:val="24"/>
          <w:szCs w:val="24"/>
        </w:rPr>
        <w:t>some</w:t>
      </w:r>
      <w:r w:rsidRPr="00326734">
        <w:rPr>
          <w:sz w:val="24"/>
          <w:szCs w:val="24"/>
        </w:rPr>
        <w:t xml:space="preserve"> </w:t>
      </w:r>
      <w:r w:rsidR="00917BD6" w:rsidRPr="00326734">
        <w:rPr>
          <w:sz w:val="24"/>
          <w:szCs w:val="24"/>
        </w:rPr>
        <w:t xml:space="preserve">feminist legal </w:t>
      </w:r>
      <w:r w:rsidRPr="00326734">
        <w:rPr>
          <w:sz w:val="24"/>
          <w:szCs w:val="24"/>
        </w:rPr>
        <w:t xml:space="preserve">theorists </w:t>
      </w:r>
      <w:r w:rsidR="00917BD6" w:rsidRPr="00326734">
        <w:rPr>
          <w:sz w:val="24"/>
          <w:szCs w:val="24"/>
        </w:rPr>
        <w:t xml:space="preserve">have </w:t>
      </w:r>
      <w:r w:rsidR="00E142DA" w:rsidRPr="00326734">
        <w:rPr>
          <w:sz w:val="24"/>
          <w:szCs w:val="24"/>
        </w:rPr>
        <w:t>argue</w:t>
      </w:r>
      <w:r w:rsidR="00917BD6" w:rsidRPr="00326734">
        <w:rPr>
          <w:sz w:val="24"/>
          <w:szCs w:val="24"/>
        </w:rPr>
        <w:t>d</w:t>
      </w:r>
      <w:r w:rsidR="00E142DA" w:rsidRPr="00326734">
        <w:rPr>
          <w:sz w:val="24"/>
          <w:szCs w:val="24"/>
        </w:rPr>
        <w:t xml:space="preserve"> that law is impervious to a feminist approach, that </w:t>
      </w:r>
      <w:r w:rsidRPr="00326734">
        <w:rPr>
          <w:sz w:val="24"/>
          <w:szCs w:val="24"/>
        </w:rPr>
        <w:t>it</w:t>
      </w:r>
      <w:r w:rsidR="00E142DA" w:rsidRPr="00326734">
        <w:rPr>
          <w:sz w:val="24"/>
          <w:szCs w:val="24"/>
        </w:rPr>
        <w:t xml:space="preserve"> is in the </w:t>
      </w:r>
      <w:r w:rsidR="00E142DA" w:rsidRPr="00326734">
        <w:rPr>
          <w:sz w:val="24"/>
          <w:szCs w:val="24"/>
        </w:rPr>
        <w:lastRenderedPageBreak/>
        <w:t>business of disqualifying rather than embracing feminist knowledge,</w:t>
      </w:r>
      <w:r w:rsidRPr="00326734">
        <w:rPr>
          <w:rStyle w:val="FootnoteReference"/>
          <w:sz w:val="24"/>
          <w:szCs w:val="24"/>
        </w:rPr>
        <w:footnoteReference w:id="41"/>
      </w:r>
      <w:r w:rsidR="00E142DA" w:rsidRPr="00326734">
        <w:rPr>
          <w:sz w:val="24"/>
          <w:szCs w:val="24"/>
        </w:rPr>
        <w:t xml:space="preserve"> and that </w:t>
      </w:r>
      <w:r w:rsidRPr="00326734">
        <w:rPr>
          <w:sz w:val="24"/>
          <w:szCs w:val="24"/>
        </w:rPr>
        <w:t>it</w:t>
      </w:r>
      <w:r w:rsidR="00E142DA" w:rsidRPr="00326734">
        <w:rPr>
          <w:sz w:val="24"/>
          <w:szCs w:val="24"/>
        </w:rPr>
        <w:t xml:space="preserve"> provides no space for a judgment </w:t>
      </w:r>
      <w:r w:rsidR="00F473DD">
        <w:rPr>
          <w:sz w:val="24"/>
          <w:szCs w:val="24"/>
        </w:rPr>
        <w:t>which</w:t>
      </w:r>
      <w:r w:rsidR="00E142DA" w:rsidRPr="00326734">
        <w:rPr>
          <w:sz w:val="24"/>
          <w:szCs w:val="24"/>
        </w:rPr>
        <w:t xml:space="preserve"> is at once informed by a feminist perspective </w:t>
      </w:r>
      <w:r w:rsidR="00E142DA" w:rsidRPr="00326734">
        <w:rPr>
          <w:i/>
          <w:sz w:val="24"/>
          <w:szCs w:val="24"/>
        </w:rPr>
        <w:t>and</w:t>
      </w:r>
      <w:r w:rsidR="00E142DA" w:rsidRPr="00326734">
        <w:rPr>
          <w:sz w:val="24"/>
          <w:szCs w:val="24"/>
        </w:rPr>
        <w:t xml:space="preserve"> legally plausible.</w:t>
      </w:r>
      <w:r w:rsidRPr="00326734">
        <w:rPr>
          <w:rStyle w:val="FootnoteReference"/>
          <w:sz w:val="24"/>
          <w:szCs w:val="24"/>
        </w:rPr>
        <w:footnoteReference w:id="42"/>
      </w:r>
      <w:r w:rsidR="00E142DA" w:rsidRPr="00326734">
        <w:rPr>
          <w:sz w:val="24"/>
          <w:szCs w:val="24"/>
        </w:rPr>
        <w:t xml:space="preserve">  In a 1986 article, for example, Mary Jane Mossman </w:t>
      </w:r>
      <w:r w:rsidR="00917BD6" w:rsidRPr="00326734">
        <w:rPr>
          <w:sz w:val="24"/>
          <w:szCs w:val="24"/>
        </w:rPr>
        <w:t>contended</w:t>
      </w:r>
      <w:r w:rsidR="00E142DA" w:rsidRPr="00326734">
        <w:rPr>
          <w:sz w:val="24"/>
          <w:szCs w:val="24"/>
        </w:rPr>
        <w:t xml:space="preserve"> that legal method – involving characterisation of the issues, choice of precedent, and the canons of statutory interpretation – is a closed method of reasoning which enforces the status quo and does not allow for the introduction of feminist theory or concerns about gender justice.</w:t>
      </w:r>
      <w:r w:rsidR="00E142DA" w:rsidRPr="00326734">
        <w:rPr>
          <w:rStyle w:val="FootnoteReference"/>
          <w:sz w:val="24"/>
          <w:szCs w:val="24"/>
        </w:rPr>
        <w:footnoteReference w:id="43"/>
      </w:r>
      <w:r w:rsidR="004F7655" w:rsidRPr="00326734">
        <w:rPr>
          <w:sz w:val="24"/>
          <w:szCs w:val="24"/>
        </w:rPr>
        <w:t xml:space="preserve"> Thus, for </w:t>
      </w:r>
      <w:r w:rsidR="00704223">
        <w:rPr>
          <w:sz w:val="24"/>
          <w:szCs w:val="24"/>
        </w:rPr>
        <w:t>instance</w:t>
      </w:r>
      <w:r w:rsidR="004F7655" w:rsidRPr="00326734">
        <w:rPr>
          <w:sz w:val="24"/>
          <w:szCs w:val="24"/>
        </w:rPr>
        <w:t>, a family judge interviewed as part of the Australian Feminist Judgme</w:t>
      </w:r>
      <w:r w:rsidR="00F62537" w:rsidRPr="00326734">
        <w:rPr>
          <w:sz w:val="24"/>
          <w:szCs w:val="24"/>
        </w:rPr>
        <w:t>nts Project</w:t>
      </w:r>
      <w:r w:rsidR="00917BD6" w:rsidRPr="00326734">
        <w:rPr>
          <w:rStyle w:val="FootnoteReference"/>
          <w:sz w:val="24"/>
          <w:szCs w:val="24"/>
        </w:rPr>
        <w:footnoteReference w:id="44"/>
      </w:r>
      <w:r w:rsidR="00917BD6" w:rsidRPr="00326734">
        <w:rPr>
          <w:sz w:val="24"/>
          <w:szCs w:val="24"/>
        </w:rPr>
        <w:t xml:space="preserve"> regretted that she ‘not infrequently’ had to make decisions ‘</w:t>
      </w:r>
      <w:r w:rsidR="004F7655" w:rsidRPr="00326734">
        <w:rPr>
          <w:sz w:val="24"/>
          <w:szCs w:val="24"/>
        </w:rPr>
        <w:t>that I know are the right decision in terms of the legal framework in which I have to operate, but don’t actually sit well wi</w:t>
      </w:r>
      <w:r w:rsidR="00917BD6" w:rsidRPr="00326734">
        <w:rPr>
          <w:sz w:val="24"/>
          <w:szCs w:val="24"/>
        </w:rPr>
        <w:t>thin my feminist heart and soul’</w:t>
      </w:r>
      <w:r w:rsidR="004F7655" w:rsidRPr="00326734">
        <w:rPr>
          <w:sz w:val="24"/>
          <w:szCs w:val="24"/>
        </w:rPr>
        <w:t xml:space="preserve"> (Judge 35</w:t>
      </w:r>
      <w:r w:rsidR="007D0A16" w:rsidRPr="00326734">
        <w:rPr>
          <w:sz w:val="24"/>
          <w:szCs w:val="24"/>
        </w:rPr>
        <w:t>: Circuit Court</w:t>
      </w:r>
      <w:r w:rsidR="00BE64B9" w:rsidRPr="00326734">
        <w:rPr>
          <w:sz w:val="24"/>
          <w:szCs w:val="24"/>
        </w:rPr>
        <w:t xml:space="preserve"> equivalent</w:t>
      </w:r>
      <w:r w:rsidR="004F7655" w:rsidRPr="00326734">
        <w:rPr>
          <w:sz w:val="24"/>
          <w:szCs w:val="24"/>
        </w:rPr>
        <w:t>). Another interviewee went further</w:t>
      </w:r>
      <w:r w:rsidR="00F473DD">
        <w:rPr>
          <w:sz w:val="24"/>
          <w:szCs w:val="24"/>
        </w:rPr>
        <w:t xml:space="preserve"> in </w:t>
      </w:r>
      <w:r w:rsidR="00CF3C73">
        <w:rPr>
          <w:sz w:val="24"/>
          <w:szCs w:val="24"/>
        </w:rPr>
        <w:t>embracing</w:t>
      </w:r>
      <w:r w:rsidR="00F473DD">
        <w:rPr>
          <w:sz w:val="24"/>
          <w:szCs w:val="24"/>
        </w:rPr>
        <w:t xml:space="preserve"> a strict separation between law and </w:t>
      </w:r>
      <w:r w:rsidR="00D54F92">
        <w:rPr>
          <w:sz w:val="24"/>
          <w:szCs w:val="24"/>
        </w:rPr>
        <w:t>feminism</w:t>
      </w:r>
      <w:r w:rsidR="004F7655" w:rsidRPr="00326734">
        <w:rPr>
          <w:sz w:val="24"/>
          <w:szCs w:val="24"/>
        </w:rPr>
        <w:t>:</w:t>
      </w:r>
    </w:p>
    <w:p w:rsidR="00F62537" w:rsidRPr="00326734" w:rsidRDefault="00F62537" w:rsidP="00F66799">
      <w:pPr>
        <w:spacing w:line="480" w:lineRule="auto"/>
        <w:rPr>
          <w:sz w:val="24"/>
          <w:szCs w:val="24"/>
        </w:rPr>
      </w:pPr>
    </w:p>
    <w:p w:rsidR="004F7655" w:rsidRPr="00326734" w:rsidRDefault="004F7655" w:rsidP="00917BD6">
      <w:pPr>
        <w:spacing w:line="480" w:lineRule="auto"/>
        <w:ind w:left="709" w:hanging="709"/>
        <w:rPr>
          <w:sz w:val="24"/>
          <w:szCs w:val="24"/>
        </w:rPr>
      </w:pPr>
      <w:r w:rsidRPr="00326734">
        <w:rPr>
          <w:sz w:val="24"/>
          <w:szCs w:val="24"/>
        </w:rPr>
        <w:tab/>
      </w:r>
      <w:r w:rsidRPr="00326734">
        <w:rPr>
          <w:i/>
          <w:sz w:val="24"/>
          <w:szCs w:val="24"/>
        </w:rPr>
        <w:t>Facilitator</w:t>
      </w:r>
      <w:r w:rsidRPr="00326734">
        <w:rPr>
          <w:sz w:val="24"/>
          <w:szCs w:val="24"/>
        </w:rPr>
        <w:t>: Do you think there’s scope for a feminist approach to judging?</w:t>
      </w:r>
    </w:p>
    <w:p w:rsidR="00CD7DAB" w:rsidRPr="00326734" w:rsidRDefault="004F7655" w:rsidP="00BB2D4D">
      <w:pPr>
        <w:spacing w:line="480" w:lineRule="auto"/>
        <w:ind w:left="720"/>
        <w:rPr>
          <w:sz w:val="24"/>
          <w:szCs w:val="24"/>
        </w:rPr>
      </w:pPr>
      <w:r w:rsidRPr="00326734">
        <w:rPr>
          <w:i/>
          <w:sz w:val="24"/>
          <w:szCs w:val="24"/>
        </w:rPr>
        <w:t>Respondent</w:t>
      </w:r>
      <w:r w:rsidRPr="00326734">
        <w:rPr>
          <w:sz w:val="24"/>
          <w:szCs w:val="24"/>
        </w:rPr>
        <w:t xml:space="preserve">: Judging is judging. You judge on the criteria that you are supposed to judge [on]. There is a religious approach. I don’t think there’s room for religion. I don’t think there’s room for feminism. ... I think you judge on the criteria you’re </w:t>
      </w:r>
      <w:r w:rsidRPr="00326734">
        <w:rPr>
          <w:sz w:val="24"/>
          <w:szCs w:val="24"/>
        </w:rPr>
        <w:lastRenderedPageBreak/>
        <w:t>supposed to judge [on]</w:t>
      </w:r>
      <w:r w:rsidR="00BB2D4D" w:rsidRPr="00326734">
        <w:rPr>
          <w:sz w:val="24"/>
          <w:szCs w:val="24"/>
        </w:rPr>
        <w:t>. Those extraneous things are extraneous things and they shouldn’t be brought to bear on a judgment. (Judge 28</w:t>
      </w:r>
      <w:r w:rsidR="007D0A16" w:rsidRPr="00326734">
        <w:rPr>
          <w:sz w:val="24"/>
          <w:szCs w:val="24"/>
        </w:rPr>
        <w:t>: Magistrates Court</w:t>
      </w:r>
      <w:r w:rsidR="00BB2D4D" w:rsidRPr="00326734">
        <w:rPr>
          <w:sz w:val="24"/>
          <w:szCs w:val="24"/>
        </w:rPr>
        <w:t>)</w:t>
      </w:r>
      <w:r w:rsidR="007D0A16" w:rsidRPr="00326734">
        <w:rPr>
          <w:rStyle w:val="FootnoteReference"/>
          <w:sz w:val="24"/>
          <w:szCs w:val="24"/>
        </w:rPr>
        <w:footnoteReference w:id="45"/>
      </w:r>
      <w:r w:rsidRPr="00326734">
        <w:rPr>
          <w:sz w:val="24"/>
          <w:szCs w:val="24"/>
        </w:rPr>
        <w:t xml:space="preserve"> </w:t>
      </w:r>
    </w:p>
    <w:p w:rsidR="00561178" w:rsidRPr="00326734" w:rsidRDefault="00561178" w:rsidP="00F66799">
      <w:pPr>
        <w:spacing w:line="480" w:lineRule="auto"/>
        <w:rPr>
          <w:b/>
          <w:sz w:val="24"/>
          <w:szCs w:val="24"/>
        </w:rPr>
      </w:pPr>
    </w:p>
    <w:p w:rsidR="00CD7DAB" w:rsidRPr="00326734" w:rsidRDefault="00917BD6" w:rsidP="00F66799">
      <w:pPr>
        <w:spacing w:line="480" w:lineRule="auto"/>
        <w:rPr>
          <w:b/>
          <w:sz w:val="24"/>
          <w:szCs w:val="24"/>
        </w:rPr>
      </w:pPr>
      <w:r w:rsidRPr="00326734">
        <w:rPr>
          <w:b/>
          <w:sz w:val="24"/>
          <w:szCs w:val="24"/>
        </w:rPr>
        <w:t>The contingency of substantive diversity</w:t>
      </w:r>
    </w:p>
    <w:p w:rsidR="00825B82" w:rsidRPr="00326734" w:rsidRDefault="00825B82" w:rsidP="00F66799">
      <w:pPr>
        <w:spacing w:line="480" w:lineRule="auto"/>
        <w:rPr>
          <w:sz w:val="24"/>
          <w:szCs w:val="24"/>
        </w:rPr>
      </w:pPr>
      <w:r w:rsidRPr="00326734">
        <w:rPr>
          <w:sz w:val="24"/>
          <w:szCs w:val="24"/>
        </w:rPr>
        <w:t xml:space="preserve">Against these pessimistic views and accounts lies the growing empirical evidence that </w:t>
      </w:r>
      <w:r w:rsidR="00F33B65" w:rsidRPr="00326734">
        <w:rPr>
          <w:sz w:val="24"/>
          <w:szCs w:val="24"/>
        </w:rPr>
        <w:t xml:space="preserve">women judges do </w:t>
      </w:r>
      <w:r w:rsidR="00F33B65" w:rsidRPr="00326734">
        <w:rPr>
          <w:i/>
          <w:sz w:val="24"/>
          <w:szCs w:val="24"/>
        </w:rPr>
        <w:t>sometimes</w:t>
      </w:r>
      <w:r w:rsidR="00D54F92">
        <w:rPr>
          <w:sz w:val="24"/>
          <w:szCs w:val="24"/>
        </w:rPr>
        <w:t xml:space="preserve"> – or as Erika Rackley puts it ‘</w:t>
      </w:r>
      <w:r w:rsidR="00F33B65" w:rsidRPr="00326734">
        <w:rPr>
          <w:sz w:val="24"/>
          <w:szCs w:val="24"/>
        </w:rPr>
        <w:t>on occasion</w:t>
      </w:r>
      <w:r w:rsidR="00D54F92">
        <w:rPr>
          <w:sz w:val="24"/>
          <w:szCs w:val="24"/>
        </w:rPr>
        <w:t>’</w:t>
      </w:r>
      <w:r w:rsidR="00F33B65" w:rsidRPr="00326734">
        <w:rPr>
          <w:rStyle w:val="FootnoteReference"/>
          <w:sz w:val="24"/>
          <w:szCs w:val="24"/>
        </w:rPr>
        <w:footnoteReference w:id="46"/>
      </w:r>
      <w:r w:rsidR="00F33B65" w:rsidRPr="00326734">
        <w:rPr>
          <w:sz w:val="24"/>
          <w:szCs w:val="24"/>
        </w:rPr>
        <w:t xml:space="preserve"> – judge differently from men. I set out the empirical evidence through the following section of the </w:t>
      </w:r>
      <w:r w:rsidR="00CF3C73">
        <w:rPr>
          <w:sz w:val="24"/>
          <w:szCs w:val="24"/>
        </w:rPr>
        <w:t>article</w:t>
      </w:r>
      <w:r w:rsidR="00F33B65" w:rsidRPr="00326734">
        <w:rPr>
          <w:sz w:val="24"/>
          <w:szCs w:val="24"/>
        </w:rPr>
        <w:t>, but at this point, I pause to note that if we accept th</w:t>
      </w:r>
      <w:r w:rsidR="00D54F92">
        <w:rPr>
          <w:sz w:val="24"/>
          <w:szCs w:val="24"/>
        </w:rPr>
        <w:t>at non-traditional judges will ‘on occasion’</w:t>
      </w:r>
      <w:r w:rsidR="00F33B65" w:rsidRPr="00326734">
        <w:rPr>
          <w:sz w:val="24"/>
          <w:szCs w:val="24"/>
        </w:rPr>
        <w:t xml:space="preserve"> judge differently from the traditional incumbents of the judicial role, the key question then becomes: ‘on what occasion/s?’. </w:t>
      </w:r>
      <w:r w:rsidR="00F33B65" w:rsidRPr="00326734">
        <w:rPr>
          <w:i/>
          <w:sz w:val="24"/>
          <w:szCs w:val="24"/>
        </w:rPr>
        <w:t>When</w:t>
      </w:r>
      <w:r w:rsidR="00F33B65" w:rsidRPr="00326734">
        <w:rPr>
          <w:sz w:val="24"/>
          <w:szCs w:val="24"/>
        </w:rPr>
        <w:t xml:space="preserve"> might we expect those judges to judge differently?</w:t>
      </w:r>
    </w:p>
    <w:p w:rsidR="0016229C" w:rsidRPr="00326734" w:rsidRDefault="0016229C" w:rsidP="0016229C">
      <w:pPr>
        <w:spacing w:line="480" w:lineRule="auto"/>
        <w:rPr>
          <w:sz w:val="24"/>
          <w:szCs w:val="24"/>
        </w:rPr>
      </w:pPr>
    </w:p>
    <w:p w:rsidR="0016229C" w:rsidRPr="00326734" w:rsidRDefault="0016229C" w:rsidP="0016229C">
      <w:pPr>
        <w:spacing w:line="480" w:lineRule="auto"/>
        <w:rPr>
          <w:b/>
          <w:i/>
          <w:sz w:val="24"/>
          <w:szCs w:val="24"/>
        </w:rPr>
      </w:pPr>
      <w:r w:rsidRPr="00326734">
        <w:rPr>
          <w:b/>
          <w:i/>
          <w:sz w:val="24"/>
          <w:szCs w:val="24"/>
        </w:rPr>
        <w:t>Conviction</w:t>
      </w:r>
    </w:p>
    <w:p w:rsidR="003A1BD7" w:rsidRPr="00326734" w:rsidRDefault="00F33B65" w:rsidP="0016229C">
      <w:pPr>
        <w:spacing w:line="480" w:lineRule="auto"/>
        <w:rPr>
          <w:sz w:val="24"/>
          <w:szCs w:val="24"/>
        </w:rPr>
      </w:pPr>
      <w:r w:rsidRPr="00326734">
        <w:rPr>
          <w:sz w:val="24"/>
          <w:szCs w:val="24"/>
        </w:rPr>
        <w:t>On</w:t>
      </w:r>
      <w:r w:rsidR="003A1BD7" w:rsidRPr="00326734">
        <w:rPr>
          <w:sz w:val="24"/>
          <w:szCs w:val="24"/>
        </w:rPr>
        <w:t>e</w:t>
      </w:r>
      <w:r w:rsidRPr="00326734">
        <w:rPr>
          <w:sz w:val="24"/>
          <w:szCs w:val="24"/>
        </w:rPr>
        <w:t xml:space="preserve"> answer which I and others have previously given in relation</w:t>
      </w:r>
      <w:r w:rsidR="003A1BD7" w:rsidRPr="00326734">
        <w:rPr>
          <w:sz w:val="24"/>
          <w:szCs w:val="24"/>
        </w:rPr>
        <w:t xml:space="preserve"> to women judges</w:t>
      </w:r>
      <w:r w:rsidRPr="00326734">
        <w:rPr>
          <w:sz w:val="24"/>
          <w:szCs w:val="24"/>
        </w:rPr>
        <w:t xml:space="preserve"> is: when they are feminists.</w:t>
      </w:r>
      <w:r w:rsidRPr="00326734">
        <w:rPr>
          <w:rStyle w:val="FootnoteReference"/>
          <w:sz w:val="24"/>
          <w:szCs w:val="24"/>
        </w:rPr>
        <w:footnoteReference w:id="47"/>
      </w:r>
      <w:r w:rsidR="003A1BD7" w:rsidRPr="00326734">
        <w:rPr>
          <w:sz w:val="24"/>
          <w:szCs w:val="24"/>
        </w:rPr>
        <w:t xml:space="preserve">  As Sally Kenney has argued:</w:t>
      </w:r>
    </w:p>
    <w:p w:rsidR="00F62537" w:rsidRPr="00326734" w:rsidRDefault="00F62537" w:rsidP="0016229C">
      <w:pPr>
        <w:spacing w:line="480" w:lineRule="auto"/>
        <w:rPr>
          <w:sz w:val="24"/>
          <w:szCs w:val="24"/>
        </w:rPr>
      </w:pPr>
    </w:p>
    <w:p w:rsidR="00F33B65" w:rsidRPr="00326734" w:rsidRDefault="003A1BD7" w:rsidP="003A1BD7">
      <w:pPr>
        <w:spacing w:line="480" w:lineRule="auto"/>
        <w:ind w:left="720"/>
        <w:rPr>
          <w:sz w:val="24"/>
          <w:szCs w:val="24"/>
        </w:rPr>
      </w:pPr>
      <w:r w:rsidRPr="00326734">
        <w:rPr>
          <w:sz w:val="24"/>
          <w:szCs w:val="24"/>
        </w:rPr>
        <w:t xml:space="preserve">We need more feminist judges: judges who understand women’s experiences and take seriously harm to women and girls, who ask the gender question, ‘How might this law, statute, or holding affect men and women differently?’; who interpret equal protection and discrimination law in light of those provisions’ broad social change purposes; who value women’s lives and women’s work; who do not believe women to be liars, whores or deserving of violence by nature; who question their own </w:t>
      </w:r>
      <w:r w:rsidRPr="00326734">
        <w:rPr>
          <w:sz w:val="24"/>
          <w:szCs w:val="24"/>
        </w:rPr>
        <w:lastRenderedPageBreak/>
        <w:t>stereotypes and predilections and listen to evidence; and who, simply put, believe in equal justice for all.</w:t>
      </w:r>
      <w:r w:rsidRPr="00326734">
        <w:rPr>
          <w:rStyle w:val="FootnoteReference"/>
          <w:sz w:val="24"/>
          <w:szCs w:val="24"/>
        </w:rPr>
        <w:footnoteReference w:id="48"/>
      </w:r>
    </w:p>
    <w:p w:rsidR="00F62537" w:rsidRPr="00326734" w:rsidRDefault="00F62537" w:rsidP="00F66799">
      <w:pPr>
        <w:spacing w:line="480" w:lineRule="auto"/>
        <w:rPr>
          <w:sz w:val="24"/>
          <w:szCs w:val="24"/>
        </w:rPr>
      </w:pPr>
    </w:p>
    <w:p w:rsidR="00D54F92" w:rsidRDefault="003A1BD7" w:rsidP="00CF3C73">
      <w:pPr>
        <w:spacing w:line="480" w:lineRule="auto"/>
        <w:ind w:firstLine="720"/>
        <w:rPr>
          <w:sz w:val="24"/>
          <w:szCs w:val="24"/>
        </w:rPr>
      </w:pPr>
      <w:r w:rsidRPr="00326734">
        <w:rPr>
          <w:sz w:val="24"/>
          <w:szCs w:val="24"/>
        </w:rPr>
        <w:t xml:space="preserve">The various feminist judgment projects </w:t>
      </w:r>
      <w:r w:rsidR="00524979" w:rsidRPr="00326734">
        <w:rPr>
          <w:sz w:val="24"/>
          <w:szCs w:val="24"/>
        </w:rPr>
        <w:t>now in existence seek to demonstrate precisely the difference that feminist judges might make.</w:t>
      </w:r>
      <w:r w:rsidR="00B42CF6" w:rsidRPr="00326734">
        <w:rPr>
          <w:rStyle w:val="FootnoteReference"/>
          <w:sz w:val="24"/>
          <w:szCs w:val="24"/>
        </w:rPr>
        <w:footnoteReference w:id="49"/>
      </w:r>
      <w:r w:rsidR="00524979" w:rsidRPr="00326734">
        <w:rPr>
          <w:sz w:val="24"/>
          <w:szCs w:val="24"/>
        </w:rPr>
        <w:t xml:space="preserve"> </w:t>
      </w:r>
      <w:r w:rsidR="00F62537" w:rsidRPr="00326734">
        <w:rPr>
          <w:sz w:val="24"/>
          <w:szCs w:val="24"/>
        </w:rPr>
        <w:t xml:space="preserve">In these projects, participants rewrite selected legal decisions, imagining they were a feminist judge sitting on the court alongside the original judges, and writing the judgment a feminist judge might have written. </w:t>
      </w:r>
      <w:r w:rsidR="00524979" w:rsidRPr="00326734">
        <w:rPr>
          <w:sz w:val="24"/>
          <w:szCs w:val="24"/>
        </w:rPr>
        <w:t xml:space="preserve">In her evidence to the House of Lords Constitution Committee mentioned at the beginning of this </w:t>
      </w:r>
      <w:r w:rsidR="008B0748">
        <w:rPr>
          <w:sz w:val="24"/>
          <w:szCs w:val="24"/>
        </w:rPr>
        <w:t>article</w:t>
      </w:r>
      <w:r w:rsidR="00524979" w:rsidRPr="00326734">
        <w:rPr>
          <w:sz w:val="24"/>
          <w:szCs w:val="24"/>
        </w:rPr>
        <w:t>, and in subsequent lectures, Lady Hale has invoked</w:t>
      </w:r>
      <w:r w:rsidR="00F62537" w:rsidRPr="00326734">
        <w:rPr>
          <w:sz w:val="24"/>
          <w:szCs w:val="24"/>
        </w:rPr>
        <w:t xml:space="preserve"> the UK</w:t>
      </w:r>
      <w:r w:rsidR="00524979" w:rsidRPr="00326734">
        <w:rPr>
          <w:sz w:val="24"/>
          <w:szCs w:val="24"/>
        </w:rPr>
        <w:t xml:space="preserve"> </w:t>
      </w:r>
      <w:r w:rsidR="00524979" w:rsidRPr="00326734">
        <w:rPr>
          <w:i/>
          <w:sz w:val="24"/>
          <w:szCs w:val="24"/>
        </w:rPr>
        <w:t>Feminist Judgments</w:t>
      </w:r>
      <w:r w:rsidR="00524979" w:rsidRPr="00326734">
        <w:rPr>
          <w:sz w:val="24"/>
          <w:szCs w:val="24"/>
        </w:rPr>
        <w:t xml:space="preserve"> </w:t>
      </w:r>
      <w:r w:rsidR="00F62537" w:rsidRPr="00326734">
        <w:rPr>
          <w:sz w:val="24"/>
          <w:szCs w:val="24"/>
        </w:rPr>
        <w:t>book</w:t>
      </w:r>
      <w:r w:rsidR="00917BD6" w:rsidRPr="00326734">
        <w:rPr>
          <w:rStyle w:val="FootnoteReference"/>
          <w:sz w:val="24"/>
          <w:szCs w:val="24"/>
        </w:rPr>
        <w:footnoteReference w:id="50"/>
      </w:r>
      <w:r w:rsidR="00F62537" w:rsidRPr="00326734">
        <w:rPr>
          <w:sz w:val="24"/>
          <w:szCs w:val="24"/>
        </w:rPr>
        <w:t xml:space="preserve"> </w:t>
      </w:r>
      <w:r w:rsidR="00917BD6" w:rsidRPr="00326734">
        <w:rPr>
          <w:sz w:val="24"/>
          <w:szCs w:val="24"/>
        </w:rPr>
        <w:t>as the best objective evidence ‘</w:t>
      </w:r>
      <w:r w:rsidR="00524979" w:rsidRPr="00326734">
        <w:rPr>
          <w:sz w:val="24"/>
          <w:szCs w:val="24"/>
        </w:rPr>
        <w:t>that a different perspective can indeed make a difference</w:t>
      </w:r>
      <w:r w:rsidR="00917BD6" w:rsidRPr="00326734">
        <w:rPr>
          <w:sz w:val="24"/>
          <w:szCs w:val="24"/>
        </w:rPr>
        <w:t>’</w:t>
      </w:r>
      <w:r w:rsidR="00524979" w:rsidRPr="00326734">
        <w:rPr>
          <w:sz w:val="24"/>
          <w:szCs w:val="24"/>
        </w:rPr>
        <w:t xml:space="preserve"> to the reasoning and outcome of appellate cases.</w:t>
      </w:r>
      <w:r w:rsidR="00524979" w:rsidRPr="00326734">
        <w:rPr>
          <w:rStyle w:val="FootnoteReference"/>
          <w:sz w:val="24"/>
          <w:szCs w:val="24"/>
        </w:rPr>
        <w:footnoteReference w:id="51"/>
      </w:r>
      <w:r w:rsidR="00524979" w:rsidRPr="00326734">
        <w:rPr>
          <w:sz w:val="24"/>
          <w:szCs w:val="24"/>
        </w:rPr>
        <w:t xml:space="preserve"> </w:t>
      </w:r>
      <w:r w:rsidR="00CF3C73" w:rsidRPr="00326734">
        <w:rPr>
          <w:sz w:val="24"/>
          <w:szCs w:val="24"/>
        </w:rPr>
        <w:t>Other judgment re-writing projects working from minority rights,</w:t>
      </w:r>
      <w:r w:rsidR="00CF3C73" w:rsidRPr="00326734">
        <w:rPr>
          <w:rStyle w:val="FootnoteReference"/>
          <w:sz w:val="24"/>
          <w:szCs w:val="24"/>
        </w:rPr>
        <w:footnoteReference w:id="52"/>
      </w:r>
      <w:r w:rsidR="00CF3C73" w:rsidRPr="00326734">
        <w:rPr>
          <w:sz w:val="24"/>
          <w:szCs w:val="24"/>
        </w:rPr>
        <w:t xml:space="preserve"> children’s rights</w:t>
      </w:r>
      <w:r w:rsidR="00CF3C73" w:rsidRPr="00326734">
        <w:rPr>
          <w:rStyle w:val="FootnoteReference"/>
          <w:sz w:val="24"/>
          <w:szCs w:val="24"/>
        </w:rPr>
        <w:footnoteReference w:id="53"/>
      </w:r>
      <w:r w:rsidR="00CF3C73" w:rsidRPr="00326734">
        <w:rPr>
          <w:sz w:val="24"/>
          <w:szCs w:val="24"/>
        </w:rPr>
        <w:t xml:space="preserve"> and ‘earth-centred’</w:t>
      </w:r>
      <w:r w:rsidR="00CF3C73" w:rsidRPr="00326734">
        <w:rPr>
          <w:rStyle w:val="FootnoteReference"/>
          <w:sz w:val="24"/>
          <w:szCs w:val="24"/>
        </w:rPr>
        <w:footnoteReference w:id="54"/>
      </w:r>
      <w:r w:rsidR="00CF3C73" w:rsidRPr="00326734">
        <w:rPr>
          <w:sz w:val="24"/>
          <w:szCs w:val="24"/>
        </w:rPr>
        <w:t xml:space="preserve"> </w:t>
      </w:r>
      <w:r w:rsidR="00CF3C73" w:rsidRPr="00326734">
        <w:rPr>
          <w:sz w:val="24"/>
          <w:szCs w:val="24"/>
        </w:rPr>
        <w:lastRenderedPageBreak/>
        <w:t xml:space="preserve">perspectives similarly demonstrate that other kinds of knowledge and philosophical commitments can have a substantive effect on decision-making. </w:t>
      </w:r>
      <w:r w:rsidR="00CF3C73">
        <w:rPr>
          <w:sz w:val="24"/>
          <w:szCs w:val="24"/>
        </w:rPr>
        <w:t xml:space="preserve"> </w:t>
      </w:r>
    </w:p>
    <w:p w:rsidR="00D54F92" w:rsidRDefault="00D54F92" w:rsidP="00F66799">
      <w:pPr>
        <w:spacing w:line="480" w:lineRule="auto"/>
        <w:rPr>
          <w:sz w:val="24"/>
          <w:szCs w:val="24"/>
        </w:rPr>
      </w:pPr>
      <w:r>
        <w:rPr>
          <w:sz w:val="24"/>
          <w:szCs w:val="24"/>
        </w:rPr>
        <w:tab/>
      </w:r>
      <w:r w:rsidR="005422B4">
        <w:rPr>
          <w:sz w:val="24"/>
          <w:szCs w:val="24"/>
        </w:rPr>
        <w:t xml:space="preserve">Space does not permit a thorough exposition of </w:t>
      </w:r>
      <w:r w:rsidR="00D67DDA">
        <w:rPr>
          <w:sz w:val="24"/>
          <w:szCs w:val="24"/>
        </w:rPr>
        <w:t xml:space="preserve">how </w:t>
      </w:r>
      <w:r w:rsidR="006261C9">
        <w:rPr>
          <w:sz w:val="24"/>
          <w:szCs w:val="24"/>
        </w:rPr>
        <w:t xml:space="preserve">a feminist perspective makes a difference to </w:t>
      </w:r>
      <w:r w:rsidR="008B0748">
        <w:rPr>
          <w:sz w:val="24"/>
          <w:szCs w:val="24"/>
        </w:rPr>
        <w:t>judicial decisions</w:t>
      </w:r>
      <w:r w:rsidR="006261C9">
        <w:rPr>
          <w:sz w:val="24"/>
          <w:szCs w:val="24"/>
        </w:rPr>
        <w:t xml:space="preserve">, </w:t>
      </w:r>
      <w:r w:rsidR="00D67DDA">
        <w:rPr>
          <w:sz w:val="24"/>
          <w:szCs w:val="24"/>
        </w:rPr>
        <w:t>although</w:t>
      </w:r>
      <w:r w:rsidR="005422B4">
        <w:rPr>
          <w:sz w:val="24"/>
          <w:szCs w:val="24"/>
        </w:rPr>
        <w:t xml:space="preserve"> I have discussed this at </w:t>
      </w:r>
      <w:r w:rsidR="00D71806">
        <w:rPr>
          <w:sz w:val="24"/>
          <w:szCs w:val="24"/>
        </w:rPr>
        <w:t xml:space="preserve">greater </w:t>
      </w:r>
      <w:r w:rsidR="005422B4">
        <w:rPr>
          <w:sz w:val="24"/>
          <w:szCs w:val="24"/>
        </w:rPr>
        <w:t>length elsewhere.</w:t>
      </w:r>
      <w:r w:rsidR="005422B4">
        <w:rPr>
          <w:rStyle w:val="FootnoteReference"/>
          <w:sz w:val="24"/>
          <w:szCs w:val="24"/>
        </w:rPr>
        <w:footnoteReference w:id="55"/>
      </w:r>
      <w:r w:rsidR="005422B4">
        <w:rPr>
          <w:sz w:val="24"/>
          <w:szCs w:val="24"/>
        </w:rPr>
        <w:t xml:space="preserve"> Briefly, </w:t>
      </w:r>
      <w:r w:rsidR="00D67DDA">
        <w:rPr>
          <w:sz w:val="24"/>
          <w:szCs w:val="24"/>
        </w:rPr>
        <w:t>feminist judging does not simply involve deciding for the woman (especially when there are women on both sides,</w:t>
      </w:r>
      <w:r w:rsidR="00D67DDA">
        <w:rPr>
          <w:rStyle w:val="FootnoteReference"/>
          <w:sz w:val="24"/>
          <w:szCs w:val="24"/>
        </w:rPr>
        <w:footnoteReference w:id="56"/>
      </w:r>
      <w:r w:rsidR="00D67DDA">
        <w:rPr>
          <w:sz w:val="24"/>
          <w:szCs w:val="24"/>
        </w:rPr>
        <w:t xml:space="preserve"> or no women in the case</w:t>
      </w:r>
      <w:r w:rsidR="008D015E">
        <w:rPr>
          <w:rStyle w:val="FootnoteReference"/>
          <w:sz w:val="24"/>
          <w:szCs w:val="24"/>
        </w:rPr>
        <w:footnoteReference w:id="57"/>
      </w:r>
      <w:r w:rsidR="00D67DDA">
        <w:rPr>
          <w:sz w:val="24"/>
          <w:szCs w:val="24"/>
        </w:rPr>
        <w:t>)</w:t>
      </w:r>
      <w:r w:rsidR="00D71806">
        <w:rPr>
          <w:sz w:val="24"/>
          <w:szCs w:val="24"/>
        </w:rPr>
        <w:t xml:space="preserve">, nor does it constitute a </w:t>
      </w:r>
      <w:r w:rsidR="00D71806">
        <w:rPr>
          <w:sz w:val="24"/>
          <w:szCs w:val="24"/>
        </w:rPr>
        <w:lastRenderedPageBreak/>
        <w:t>singular programme</w:t>
      </w:r>
      <w:r w:rsidR="00D67DDA">
        <w:rPr>
          <w:sz w:val="24"/>
          <w:szCs w:val="24"/>
        </w:rPr>
        <w:t xml:space="preserve">. </w:t>
      </w:r>
      <w:r w:rsidR="00D71806">
        <w:rPr>
          <w:sz w:val="24"/>
          <w:szCs w:val="24"/>
        </w:rPr>
        <w:t xml:space="preserve">It is informed by feminist </w:t>
      </w:r>
      <w:r w:rsidR="008B0748">
        <w:rPr>
          <w:sz w:val="24"/>
          <w:szCs w:val="24"/>
        </w:rPr>
        <w:t>theories</w:t>
      </w:r>
      <w:r w:rsidR="006261C9">
        <w:rPr>
          <w:sz w:val="24"/>
          <w:szCs w:val="24"/>
        </w:rPr>
        <w:t xml:space="preserve"> and an understanding of gendered experience</w:t>
      </w:r>
      <w:r w:rsidR="00D71806">
        <w:rPr>
          <w:sz w:val="24"/>
          <w:szCs w:val="24"/>
        </w:rPr>
        <w:t>, but this may result</w:t>
      </w:r>
      <w:r w:rsidR="009243A5">
        <w:rPr>
          <w:sz w:val="24"/>
          <w:szCs w:val="24"/>
        </w:rPr>
        <w:t>, as indicated in the quote from Kenney above,</w:t>
      </w:r>
      <w:r w:rsidR="00D71806">
        <w:rPr>
          <w:sz w:val="24"/>
          <w:szCs w:val="24"/>
        </w:rPr>
        <w:t xml:space="preserve"> in a range of approaches, including noticing the gender implications of apparently neutral rules and practices, challenging gender bias in legal doctrine and judicial reasoning, or promoting substantive equality. </w:t>
      </w:r>
      <w:r w:rsidR="009243A5">
        <w:rPr>
          <w:sz w:val="24"/>
          <w:szCs w:val="24"/>
        </w:rPr>
        <w:t xml:space="preserve">Particular characteristics of feminist judging include paying attention to </w:t>
      </w:r>
      <w:r w:rsidR="002A39A9">
        <w:rPr>
          <w:sz w:val="24"/>
          <w:szCs w:val="24"/>
        </w:rPr>
        <w:t>previously</w:t>
      </w:r>
      <w:r w:rsidR="009243A5">
        <w:rPr>
          <w:sz w:val="24"/>
          <w:szCs w:val="24"/>
        </w:rPr>
        <w:t xml:space="preserve"> excluded </w:t>
      </w:r>
      <w:r w:rsidR="002A39A9">
        <w:rPr>
          <w:sz w:val="24"/>
          <w:szCs w:val="24"/>
        </w:rPr>
        <w:t xml:space="preserve">or marginalised </w:t>
      </w:r>
      <w:r w:rsidR="00CF3C73">
        <w:rPr>
          <w:sz w:val="24"/>
          <w:szCs w:val="24"/>
        </w:rPr>
        <w:t>voices and experiences a</w:t>
      </w:r>
      <w:r w:rsidR="009243A5">
        <w:rPr>
          <w:sz w:val="24"/>
          <w:szCs w:val="24"/>
        </w:rPr>
        <w:t>n</w:t>
      </w:r>
      <w:r w:rsidR="00CF3C73">
        <w:rPr>
          <w:sz w:val="24"/>
          <w:szCs w:val="24"/>
        </w:rPr>
        <w:t>d</w:t>
      </w:r>
      <w:r w:rsidR="009243A5">
        <w:rPr>
          <w:sz w:val="24"/>
          <w:szCs w:val="24"/>
        </w:rPr>
        <w:t xml:space="preserve"> </w:t>
      </w:r>
      <w:r w:rsidR="00CF3C73">
        <w:rPr>
          <w:sz w:val="24"/>
          <w:szCs w:val="24"/>
        </w:rPr>
        <w:t>construing</w:t>
      </w:r>
      <w:r w:rsidR="009243A5">
        <w:rPr>
          <w:sz w:val="24"/>
          <w:szCs w:val="24"/>
        </w:rPr>
        <w:t xml:space="preserve"> the facts of the case</w:t>
      </w:r>
      <w:r w:rsidR="00CF3C73">
        <w:rPr>
          <w:sz w:val="24"/>
          <w:szCs w:val="24"/>
        </w:rPr>
        <w:t xml:space="preserve"> from that perspective</w:t>
      </w:r>
      <w:r w:rsidR="009243A5">
        <w:rPr>
          <w:sz w:val="24"/>
          <w:szCs w:val="24"/>
        </w:rPr>
        <w:t xml:space="preserve">; </w:t>
      </w:r>
      <w:r w:rsidR="00A26654">
        <w:rPr>
          <w:sz w:val="24"/>
          <w:szCs w:val="24"/>
        </w:rPr>
        <w:t>being</w:t>
      </w:r>
      <w:r w:rsidR="00A26654" w:rsidRPr="00326734">
        <w:rPr>
          <w:sz w:val="24"/>
          <w:szCs w:val="24"/>
        </w:rPr>
        <w:t xml:space="preserve"> </w:t>
      </w:r>
      <w:r w:rsidR="00A26654">
        <w:rPr>
          <w:sz w:val="24"/>
          <w:szCs w:val="24"/>
        </w:rPr>
        <w:t xml:space="preserve">alert to </w:t>
      </w:r>
      <w:r w:rsidR="00A26654" w:rsidRPr="00326734">
        <w:rPr>
          <w:sz w:val="24"/>
          <w:szCs w:val="24"/>
        </w:rPr>
        <w:t xml:space="preserve">intersectional experiences of gender and race/ethnicity, religion, sexuality, </w:t>
      </w:r>
      <w:r w:rsidR="00A26654">
        <w:rPr>
          <w:sz w:val="24"/>
          <w:szCs w:val="24"/>
        </w:rPr>
        <w:t xml:space="preserve">age and disability; </w:t>
      </w:r>
      <w:r w:rsidR="009243A5">
        <w:rPr>
          <w:sz w:val="24"/>
          <w:szCs w:val="24"/>
        </w:rPr>
        <w:t xml:space="preserve">placing facts and issues within their broader social and legal context, often drawing upon </w:t>
      </w:r>
      <w:r w:rsidR="006261C9">
        <w:rPr>
          <w:sz w:val="24"/>
          <w:szCs w:val="24"/>
        </w:rPr>
        <w:t xml:space="preserve">relevant </w:t>
      </w:r>
      <w:r w:rsidR="00CF3C73">
        <w:rPr>
          <w:sz w:val="24"/>
          <w:szCs w:val="24"/>
        </w:rPr>
        <w:t>social science research and legislative background</w:t>
      </w:r>
      <w:r w:rsidR="006261C9">
        <w:rPr>
          <w:sz w:val="24"/>
          <w:szCs w:val="24"/>
        </w:rPr>
        <w:t xml:space="preserve"> materials; and reasoning from context and the reality of lived experience rather than in abstract, categorical terms.</w:t>
      </w:r>
      <w:r w:rsidR="00CF3C73">
        <w:rPr>
          <w:rStyle w:val="FootnoteReference"/>
          <w:sz w:val="24"/>
          <w:szCs w:val="24"/>
        </w:rPr>
        <w:footnoteReference w:id="58"/>
      </w:r>
      <w:r w:rsidR="006261C9">
        <w:rPr>
          <w:sz w:val="24"/>
          <w:szCs w:val="24"/>
        </w:rPr>
        <w:t xml:space="preserve"> </w:t>
      </w:r>
      <w:r w:rsidR="002A39A9">
        <w:rPr>
          <w:sz w:val="24"/>
          <w:szCs w:val="24"/>
        </w:rPr>
        <w:t xml:space="preserve">A feminist understanding of the issues may inform the characterisation of the facts, the interpretation of statute and precedent, </w:t>
      </w:r>
      <w:proofErr w:type="gramStart"/>
      <w:r w:rsidR="002A39A9">
        <w:rPr>
          <w:sz w:val="24"/>
          <w:szCs w:val="24"/>
        </w:rPr>
        <w:t>the</w:t>
      </w:r>
      <w:proofErr w:type="gramEnd"/>
      <w:r w:rsidR="002A39A9">
        <w:rPr>
          <w:sz w:val="24"/>
          <w:szCs w:val="24"/>
        </w:rPr>
        <w:t xml:space="preserve"> development of doctrine and</w:t>
      </w:r>
      <w:r w:rsidR="00CF3C73">
        <w:rPr>
          <w:sz w:val="24"/>
          <w:szCs w:val="24"/>
        </w:rPr>
        <w:t>/or</w:t>
      </w:r>
      <w:r w:rsidR="002A39A9">
        <w:rPr>
          <w:sz w:val="24"/>
          <w:szCs w:val="24"/>
        </w:rPr>
        <w:t xml:space="preserve"> the exercise of discretion. </w:t>
      </w:r>
    </w:p>
    <w:p w:rsidR="00B42CF6" w:rsidRPr="00326734" w:rsidRDefault="00B42CF6" w:rsidP="00F66799">
      <w:pPr>
        <w:spacing w:line="480" w:lineRule="auto"/>
        <w:rPr>
          <w:sz w:val="24"/>
          <w:szCs w:val="24"/>
        </w:rPr>
      </w:pPr>
      <w:r w:rsidRPr="00326734">
        <w:rPr>
          <w:sz w:val="24"/>
          <w:szCs w:val="24"/>
        </w:rPr>
        <w:tab/>
        <w:t>I</w:t>
      </w:r>
      <w:r w:rsidR="002A4920" w:rsidRPr="00326734">
        <w:rPr>
          <w:sz w:val="24"/>
          <w:szCs w:val="24"/>
        </w:rPr>
        <w:t>t</w:t>
      </w:r>
      <w:r w:rsidRPr="00326734">
        <w:rPr>
          <w:sz w:val="24"/>
          <w:szCs w:val="24"/>
        </w:rPr>
        <w:t xml:space="preserve"> must</w:t>
      </w:r>
      <w:r w:rsidR="002A4920" w:rsidRPr="00326734">
        <w:rPr>
          <w:sz w:val="24"/>
          <w:szCs w:val="24"/>
        </w:rPr>
        <w:t xml:space="preserve"> be conceded, however,</w:t>
      </w:r>
      <w:r w:rsidRPr="00326734">
        <w:rPr>
          <w:sz w:val="24"/>
          <w:szCs w:val="24"/>
        </w:rPr>
        <w:t xml:space="preserve"> that the </w:t>
      </w:r>
      <w:r w:rsidR="002A4920" w:rsidRPr="00326734">
        <w:rPr>
          <w:sz w:val="24"/>
          <w:szCs w:val="24"/>
        </w:rPr>
        <w:t xml:space="preserve">evidence provided by the </w:t>
      </w:r>
      <w:r w:rsidRPr="00326734">
        <w:rPr>
          <w:sz w:val="24"/>
          <w:szCs w:val="24"/>
        </w:rPr>
        <w:t xml:space="preserve">feminist judgment projects </w:t>
      </w:r>
      <w:r w:rsidR="002A4920" w:rsidRPr="00326734">
        <w:rPr>
          <w:sz w:val="24"/>
          <w:szCs w:val="24"/>
        </w:rPr>
        <w:t>is restricted</w:t>
      </w:r>
      <w:r w:rsidRPr="00326734">
        <w:rPr>
          <w:sz w:val="24"/>
          <w:szCs w:val="24"/>
        </w:rPr>
        <w:t xml:space="preserve">. </w:t>
      </w:r>
      <w:r w:rsidR="002A4920" w:rsidRPr="00326734">
        <w:rPr>
          <w:sz w:val="24"/>
          <w:szCs w:val="24"/>
        </w:rPr>
        <w:t>The outcomes of the projects</w:t>
      </w:r>
      <w:r w:rsidRPr="00326734">
        <w:rPr>
          <w:sz w:val="24"/>
          <w:szCs w:val="24"/>
        </w:rPr>
        <w:t xml:space="preserve"> do, I think, demonstrate that a feminist judgment can be a perfectly legitimate and plausible legal judgment; that legal method is not impervious to a feminist approach; and that law can be used to qualify as well as disqualify feminist knowledge.</w:t>
      </w:r>
      <w:r w:rsidRPr="00326734">
        <w:rPr>
          <w:rStyle w:val="FootnoteReference"/>
          <w:sz w:val="24"/>
          <w:szCs w:val="24"/>
        </w:rPr>
        <w:footnoteReference w:id="59"/>
      </w:r>
      <w:r w:rsidRPr="00326734">
        <w:rPr>
          <w:sz w:val="24"/>
          <w:szCs w:val="24"/>
        </w:rPr>
        <w:t xml:space="preserve"> But there is an important limitation on the </w:t>
      </w:r>
      <w:r w:rsidR="009326D5" w:rsidRPr="00326734">
        <w:rPr>
          <w:sz w:val="24"/>
          <w:szCs w:val="24"/>
        </w:rPr>
        <w:t>realism of the feminist judgments. Part of the strength of these judgments is t</w:t>
      </w:r>
      <w:r w:rsidR="00F62537" w:rsidRPr="00326734">
        <w:rPr>
          <w:sz w:val="24"/>
          <w:szCs w:val="24"/>
        </w:rPr>
        <w:t>hat the feminist judges operate</w:t>
      </w:r>
      <w:r w:rsidR="009326D5" w:rsidRPr="00326734">
        <w:rPr>
          <w:sz w:val="24"/>
          <w:szCs w:val="24"/>
        </w:rPr>
        <w:t xml:space="preserve"> under the same constraints as the original judges deciding the relevant cases, in </w:t>
      </w:r>
      <w:r w:rsidR="009326D5" w:rsidRPr="00326734">
        <w:rPr>
          <w:sz w:val="24"/>
          <w:szCs w:val="24"/>
        </w:rPr>
        <w:lastRenderedPageBreak/>
        <w:t xml:space="preserve">that they </w:t>
      </w:r>
      <w:r w:rsidR="00F62537" w:rsidRPr="00326734">
        <w:rPr>
          <w:sz w:val="24"/>
          <w:szCs w:val="24"/>
        </w:rPr>
        <w:t xml:space="preserve">are </w:t>
      </w:r>
      <w:r w:rsidR="009326D5" w:rsidRPr="00326734">
        <w:rPr>
          <w:sz w:val="24"/>
          <w:szCs w:val="24"/>
        </w:rPr>
        <w:t xml:space="preserve">decided as at the same time, with the same materials as would have been available at that time, on the state of the law as it existed at that time, and in accordance with the relevant </w:t>
      </w:r>
      <w:r w:rsidR="00B00FD4" w:rsidRPr="00326734">
        <w:rPr>
          <w:sz w:val="24"/>
          <w:szCs w:val="24"/>
        </w:rPr>
        <w:t>legislation and precedents. That</w:t>
      </w:r>
      <w:r w:rsidR="009326D5" w:rsidRPr="00326734">
        <w:rPr>
          <w:sz w:val="24"/>
          <w:szCs w:val="24"/>
        </w:rPr>
        <w:t xml:space="preserve"> is why they demonstrate so powerfully that the cases could have been reasoned and/or decided differently. But the feminist judges were not bound by the full force of judicial ideology, nor by the disciplining effects of having to establish and maintain </w:t>
      </w:r>
      <w:r w:rsidR="0016229C" w:rsidRPr="00326734">
        <w:rPr>
          <w:sz w:val="24"/>
          <w:szCs w:val="24"/>
        </w:rPr>
        <w:t>their</w:t>
      </w:r>
      <w:r w:rsidR="009326D5" w:rsidRPr="00326734">
        <w:rPr>
          <w:sz w:val="24"/>
          <w:szCs w:val="24"/>
        </w:rPr>
        <w:t xml:space="preserve"> credibility as judges in a male-dominated work environment.</w:t>
      </w:r>
      <w:r w:rsidR="0016229C" w:rsidRPr="00326734">
        <w:rPr>
          <w:sz w:val="24"/>
          <w:szCs w:val="24"/>
        </w:rPr>
        <w:t xml:space="preserve"> Thus, the achievements of </w:t>
      </w:r>
      <w:r w:rsidR="00B00FD4" w:rsidRPr="00326734">
        <w:rPr>
          <w:sz w:val="24"/>
          <w:szCs w:val="24"/>
        </w:rPr>
        <w:t xml:space="preserve">these </w:t>
      </w:r>
      <w:r w:rsidR="0016229C" w:rsidRPr="00326734">
        <w:rPr>
          <w:sz w:val="24"/>
          <w:szCs w:val="24"/>
        </w:rPr>
        <w:t xml:space="preserve">imagined </w:t>
      </w:r>
      <w:r w:rsidR="00B00FD4" w:rsidRPr="00326734">
        <w:rPr>
          <w:sz w:val="24"/>
          <w:szCs w:val="24"/>
        </w:rPr>
        <w:t xml:space="preserve">feminist </w:t>
      </w:r>
      <w:r w:rsidR="0016229C" w:rsidRPr="00326734">
        <w:rPr>
          <w:sz w:val="24"/>
          <w:szCs w:val="24"/>
        </w:rPr>
        <w:t>judges can only take us so far, and it is necessary to turn to the practices of real judges who are subject to the</w:t>
      </w:r>
      <w:r w:rsidR="00006A8A" w:rsidRPr="00326734">
        <w:rPr>
          <w:sz w:val="24"/>
          <w:szCs w:val="24"/>
        </w:rPr>
        <w:t xml:space="preserve"> full range of constraints</w:t>
      </w:r>
      <w:r w:rsidR="00F902C4" w:rsidRPr="00326734">
        <w:rPr>
          <w:sz w:val="24"/>
          <w:szCs w:val="24"/>
        </w:rPr>
        <w:t xml:space="preserve"> identified </w:t>
      </w:r>
      <w:r w:rsidR="002A4920" w:rsidRPr="00326734">
        <w:rPr>
          <w:sz w:val="24"/>
          <w:szCs w:val="24"/>
        </w:rPr>
        <w:t>above</w:t>
      </w:r>
      <w:r w:rsidR="00006A8A" w:rsidRPr="00326734">
        <w:rPr>
          <w:sz w:val="24"/>
          <w:szCs w:val="24"/>
        </w:rPr>
        <w:t>.</w:t>
      </w:r>
    </w:p>
    <w:p w:rsidR="005D6C49" w:rsidRPr="00326734" w:rsidRDefault="00006A8A" w:rsidP="00F66799">
      <w:pPr>
        <w:spacing w:line="480" w:lineRule="auto"/>
        <w:rPr>
          <w:sz w:val="24"/>
          <w:szCs w:val="24"/>
        </w:rPr>
      </w:pPr>
      <w:r w:rsidRPr="00326734">
        <w:rPr>
          <w:sz w:val="24"/>
          <w:szCs w:val="24"/>
        </w:rPr>
        <w:tab/>
        <w:t>As well as rewriting judgments from a feminist perspective, one of the aims of the Austral</w:t>
      </w:r>
      <w:r w:rsidR="00F902C4" w:rsidRPr="00326734">
        <w:rPr>
          <w:sz w:val="24"/>
          <w:szCs w:val="24"/>
        </w:rPr>
        <w:t xml:space="preserve">ian Feminist Judgments Project </w:t>
      </w:r>
      <w:r w:rsidR="00A91831">
        <w:rPr>
          <w:sz w:val="24"/>
          <w:szCs w:val="24"/>
        </w:rPr>
        <w:t>was</w:t>
      </w:r>
      <w:r w:rsidR="00F902C4" w:rsidRPr="00326734">
        <w:rPr>
          <w:sz w:val="24"/>
          <w:szCs w:val="24"/>
        </w:rPr>
        <w:t xml:space="preserve"> </w:t>
      </w:r>
      <w:r w:rsidRPr="00326734">
        <w:rPr>
          <w:sz w:val="24"/>
          <w:szCs w:val="24"/>
        </w:rPr>
        <w:t xml:space="preserve">to track the influence of feminist legal theory on Australian jurisprudence. As part of the project, therefore, my colleagues Heather Douglas, Francesca Bartlett and Trish Luker conducted 41 interviews with judges around the country and at different court levels who either identified as feminists or were prepared to be interviewed about their approach to judging by something calling itself the Australian Feminist Judgments Project. All but one of the interviewees were women. </w:t>
      </w:r>
    </w:p>
    <w:p w:rsidR="00524979" w:rsidRPr="00326734" w:rsidRDefault="00006A8A" w:rsidP="005D6C49">
      <w:pPr>
        <w:spacing w:line="480" w:lineRule="auto"/>
        <w:ind w:firstLine="720"/>
        <w:rPr>
          <w:sz w:val="24"/>
          <w:szCs w:val="24"/>
        </w:rPr>
      </w:pPr>
      <w:r w:rsidRPr="00326734">
        <w:rPr>
          <w:sz w:val="24"/>
          <w:szCs w:val="24"/>
        </w:rPr>
        <w:t xml:space="preserve">Some of these women judges said they were feminists but not feminist judges. </w:t>
      </w:r>
      <w:r w:rsidR="007D0A16" w:rsidRPr="00326734">
        <w:rPr>
          <w:sz w:val="24"/>
          <w:szCs w:val="24"/>
        </w:rPr>
        <w:t>One could not see the point of the feminist judgments project because</w:t>
      </w:r>
      <w:r w:rsidR="00B00FD4" w:rsidRPr="00326734">
        <w:rPr>
          <w:sz w:val="24"/>
          <w:szCs w:val="24"/>
        </w:rPr>
        <w:t>, she maintained,</w:t>
      </w:r>
      <w:r w:rsidR="00093A8B" w:rsidRPr="00326734">
        <w:rPr>
          <w:sz w:val="24"/>
          <w:szCs w:val="24"/>
        </w:rPr>
        <w:t xml:space="preserve"> ‘</w:t>
      </w:r>
      <w:r w:rsidR="007D0A16" w:rsidRPr="00326734">
        <w:rPr>
          <w:sz w:val="24"/>
          <w:szCs w:val="24"/>
        </w:rPr>
        <w:t xml:space="preserve">there’s nothing in the law that requires an anti-feminist </w:t>
      </w:r>
      <w:r w:rsidR="00093A8B" w:rsidRPr="00326734">
        <w:rPr>
          <w:sz w:val="24"/>
          <w:szCs w:val="24"/>
        </w:rPr>
        <w:t>approach to anything’</w:t>
      </w:r>
      <w:r w:rsidR="007D0A16" w:rsidRPr="00326734">
        <w:rPr>
          <w:sz w:val="24"/>
          <w:szCs w:val="24"/>
        </w:rPr>
        <w:t xml:space="preserve"> (Judge 07: </w:t>
      </w:r>
      <w:r w:rsidR="00BE64B9" w:rsidRPr="00326734">
        <w:rPr>
          <w:sz w:val="24"/>
          <w:szCs w:val="24"/>
        </w:rPr>
        <w:t xml:space="preserve">High </w:t>
      </w:r>
      <w:r w:rsidR="007D0A16" w:rsidRPr="00326734">
        <w:rPr>
          <w:sz w:val="24"/>
          <w:szCs w:val="24"/>
        </w:rPr>
        <w:t>Court</w:t>
      </w:r>
      <w:r w:rsidR="00BE64B9" w:rsidRPr="00326734">
        <w:rPr>
          <w:sz w:val="24"/>
          <w:szCs w:val="24"/>
        </w:rPr>
        <w:t xml:space="preserve"> equivalent</w:t>
      </w:r>
      <w:r w:rsidR="007D0A16" w:rsidRPr="00326734">
        <w:rPr>
          <w:sz w:val="24"/>
          <w:szCs w:val="24"/>
        </w:rPr>
        <w:t>).</w:t>
      </w:r>
      <w:r w:rsidR="00421679" w:rsidRPr="00326734">
        <w:rPr>
          <w:sz w:val="24"/>
          <w:szCs w:val="24"/>
        </w:rPr>
        <w:t xml:space="preserve">  Around two-thirds of the judges interviewed, however, thought that they did judge differently as feminists, either because they had a knowledge and understanding of women’s life experiences which they brought to their judicial role, or because </w:t>
      </w:r>
      <w:r w:rsidR="00B00FD4" w:rsidRPr="00326734">
        <w:rPr>
          <w:sz w:val="24"/>
          <w:szCs w:val="24"/>
        </w:rPr>
        <w:t>t</w:t>
      </w:r>
      <w:r w:rsidR="00421679" w:rsidRPr="00326734">
        <w:rPr>
          <w:sz w:val="24"/>
          <w:szCs w:val="24"/>
        </w:rPr>
        <w:t xml:space="preserve">hey </w:t>
      </w:r>
      <w:r w:rsidR="00B00FD4" w:rsidRPr="00326734">
        <w:rPr>
          <w:sz w:val="24"/>
          <w:szCs w:val="24"/>
        </w:rPr>
        <w:t>were concerned to</w:t>
      </w:r>
      <w:r w:rsidR="00421679" w:rsidRPr="00326734">
        <w:rPr>
          <w:sz w:val="24"/>
          <w:szCs w:val="24"/>
        </w:rPr>
        <w:t xml:space="preserve"> promote equality and justice and apply feminist principles in individual cases. </w:t>
      </w:r>
      <w:r w:rsidR="00BE64B9" w:rsidRPr="00326734">
        <w:rPr>
          <w:sz w:val="24"/>
          <w:szCs w:val="24"/>
        </w:rPr>
        <w:t xml:space="preserve">At the opposite end of the spectrum from the judge who saw no need for feminism in law </w:t>
      </w:r>
      <w:r w:rsidR="00BE64B9" w:rsidRPr="00326734">
        <w:rPr>
          <w:sz w:val="24"/>
          <w:szCs w:val="24"/>
        </w:rPr>
        <w:lastRenderedPageBreak/>
        <w:t xml:space="preserve">was the judge who carefully and consciously juggled precedent, judicial ideology and </w:t>
      </w:r>
      <w:r w:rsidR="005D6C49" w:rsidRPr="00326734">
        <w:rPr>
          <w:sz w:val="24"/>
          <w:szCs w:val="24"/>
        </w:rPr>
        <w:t xml:space="preserve">the need to maintain her </w:t>
      </w:r>
      <w:r w:rsidR="00BE64B9" w:rsidRPr="00326734">
        <w:rPr>
          <w:sz w:val="24"/>
          <w:szCs w:val="24"/>
        </w:rPr>
        <w:t>credibility with her feminism:</w:t>
      </w:r>
    </w:p>
    <w:p w:rsidR="00F902C4" w:rsidRPr="00326734" w:rsidRDefault="00F902C4" w:rsidP="005D6C49">
      <w:pPr>
        <w:spacing w:line="480" w:lineRule="auto"/>
        <w:ind w:firstLine="720"/>
        <w:rPr>
          <w:sz w:val="24"/>
          <w:szCs w:val="24"/>
        </w:rPr>
      </w:pPr>
    </w:p>
    <w:p w:rsidR="00BE64B9" w:rsidRPr="00326734" w:rsidRDefault="00BE64B9" w:rsidP="00BE64B9">
      <w:pPr>
        <w:spacing w:line="480" w:lineRule="auto"/>
        <w:ind w:left="720"/>
        <w:rPr>
          <w:sz w:val="24"/>
          <w:szCs w:val="24"/>
        </w:rPr>
      </w:pPr>
      <w:r w:rsidRPr="00326734">
        <w:rPr>
          <w:sz w:val="24"/>
          <w:szCs w:val="24"/>
        </w:rPr>
        <w:t>So you’re really doing a double act. You’re working out what the black letter is</w:t>
      </w:r>
      <w:proofErr w:type="gramStart"/>
      <w:r w:rsidRPr="00326734">
        <w:rPr>
          <w:sz w:val="24"/>
          <w:szCs w:val="24"/>
        </w:rPr>
        <w:t>...[</w:t>
      </w:r>
      <w:proofErr w:type="gramEnd"/>
      <w:r w:rsidRPr="00326734">
        <w:rPr>
          <w:sz w:val="24"/>
          <w:szCs w:val="24"/>
        </w:rPr>
        <w:t>b]</w:t>
      </w:r>
      <w:proofErr w:type="spellStart"/>
      <w:r w:rsidRPr="00326734">
        <w:rPr>
          <w:sz w:val="24"/>
          <w:szCs w:val="24"/>
        </w:rPr>
        <w:t>ut</w:t>
      </w:r>
      <w:proofErr w:type="spellEnd"/>
      <w:r w:rsidRPr="00326734">
        <w:rPr>
          <w:sz w:val="24"/>
          <w:szCs w:val="24"/>
        </w:rPr>
        <w:t xml:space="preserve"> you’re also trying to apply these feminist principles in the gaps wherever you can. So it’s a double exercise. So you have to do this and then you have to do this, and then you have to put [them] together. So it’s an exhausting exercise... You have to be so careful, because if anything comes through they’ll...lop you off, appeal it, or some little barrister will bob up and d</w:t>
      </w:r>
      <w:r w:rsidR="00A91831">
        <w:rPr>
          <w:sz w:val="24"/>
          <w:szCs w:val="24"/>
        </w:rPr>
        <w:t>own in court. (Judge 10: Crown</w:t>
      </w:r>
      <w:r w:rsidRPr="00326734">
        <w:rPr>
          <w:sz w:val="24"/>
          <w:szCs w:val="24"/>
        </w:rPr>
        <w:t xml:space="preserve"> Court equivalent) </w:t>
      </w:r>
    </w:p>
    <w:p w:rsidR="00F902C4" w:rsidRPr="00326734" w:rsidRDefault="00F902C4" w:rsidP="00F66799">
      <w:pPr>
        <w:spacing w:line="480" w:lineRule="auto"/>
        <w:rPr>
          <w:sz w:val="24"/>
          <w:szCs w:val="24"/>
        </w:rPr>
      </w:pPr>
    </w:p>
    <w:p w:rsidR="00524979" w:rsidRPr="00326734" w:rsidRDefault="00BE64B9" w:rsidP="002A4920">
      <w:pPr>
        <w:spacing w:line="480" w:lineRule="auto"/>
        <w:ind w:firstLine="720"/>
        <w:rPr>
          <w:sz w:val="24"/>
          <w:szCs w:val="24"/>
        </w:rPr>
      </w:pPr>
      <w:r w:rsidRPr="00326734">
        <w:rPr>
          <w:sz w:val="24"/>
          <w:szCs w:val="24"/>
        </w:rPr>
        <w:t>So</w:t>
      </w:r>
      <w:r w:rsidR="005D6C49" w:rsidRPr="00326734">
        <w:rPr>
          <w:sz w:val="24"/>
          <w:szCs w:val="24"/>
        </w:rPr>
        <w:t xml:space="preserve"> how can we tell which feminist judges</w:t>
      </w:r>
      <w:r w:rsidRPr="00326734">
        <w:rPr>
          <w:sz w:val="24"/>
          <w:szCs w:val="24"/>
        </w:rPr>
        <w:t xml:space="preserve"> might make a difference and which </w:t>
      </w:r>
      <w:r w:rsidR="00704223">
        <w:rPr>
          <w:sz w:val="24"/>
          <w:szCs w:val="24"/>
        </w:rPr>
        <w:t>might no</w:t>
      </w:r>
      <w:r w:rsidRPr="00326734">
        <w:rPr>
          <w:sz w:val="24"/>
          <w:szCs w:val="24"/>
        </w:rPr>
        <w:t>t</w:t>
      </w:r>
      <w:r w:rsidR="005D6C49" w:rsidRPr="00326734">
        <w:rPr>
          <w:sz w:val="24"/>
          <w:szCs w:val="24"/>
        </w:rPr>
        <w:t xml:space="preserve">? One of the interview questions </w:t>
      </w:r>
      <w:r w:rsidR="00B00FD4" w:rsidRPr="00326734">
        <w:rPr>
          <w:sz w:val="24"/>
          <w:szCs w:val="24"/>
        </w:rPr>
        <w:t xml:space="preserve">in the Australian project </w:t>
      </w:r>
      <w:r w:rsidR="005D6C49" w:rsidRPr="00326734">
        <w:rPr>
          <w:sz w:val="24"/>
          <w:szCs w:val="24"/>
        </w:rPr>
        <w:t xml:space="preserve">asked about the meaning of feminism to the interviewee. The responses to this question fell into three broad categories. </w:t>
      </w:r>
      <w:r w:rsidR="002A4920" w:rsidRPr="00326734">
        <w:rPr>
          <w:sz w:val="24"/>
          <w:szCs w:val="24"/>
        </w:rPr>
        <w:t>T</w:t>
      </w:r>
      <w:r w:rsidR="005D6C49" w:rsidRPr="00326734">
        <w:rPr>
          <w:sz w:val="24"/>
          <w:szCs w:val="24"/>
        </w:rPr>
        <w:t>he first group said feminism means women are equal and should be treated equally; the se</w:t>
      </w:r>
      <w:r w:rsidR="002A4920" w:rsidRPr="00326734">
        <w:rPr>
          <w:sz w:val="24"/>
          <w:szCs w:val="24"/>
        </w:rPr>
        <w:t>cond group said feminism means ‘</w:t>
      </w:r>
      <w:r w:rsidR="005D6C49" w:rsidRPr="00326734">
        <w:rPr>
          <w:sz w:val="24"/>
          <w:szCs w:val="24"/>
        </w:rPr>
        <w:t>working to ensure equal opportunity and equal recognition for women</w:t>
      </w:r>
      <w:r w:rsidR="002A4920" w:rsidRPr="00326734">
        <w:rPr>
          <w:sz w:val="24"/>
          <w:szCs w:val="24"/>
        </w:rPr>
        <w:t>’</w:t>
      </w:r>
      <w:r w:rsidR="005D6C49" w:rsidRPr="00326734">
        <w:rPr>
          <w:sz w:val="24"/>
          <w:szCs w:val="24"/>
        </w:rPr>
        <w:t xml:space="preserve"> (Judge 03: Circuit Court equivalent); and the third group described ways in which they had been feminist activists in their pre-judicial lives and/or supported and mentored </w:t>
      </w:r>
      <w:r w:rsidR="00E51494" w:rsidRPr="00326734">
        <w:rPr>
          <w:sz w:val="24"/>
          <w:szCs w:val="24"/>
        </w:rPr>
        <w:t>women and/or engaged in social justice-related committee work in their judicial roles. Perhaps unsurprisingly, it was the more active feminists in the second and third groups who were more likely to de</w:t>
      </w:r>
      <w:r w:rsidR="00F902C4" w:rsidRPr="00326734">
        <w:rPr>
          <w:sz w:val="24"/>
          <w:szCs w:val="24"/>
        </w:rPr>
        <w:t>scribe themselves as more activist</w:t>
      </w:r>
      <w:r w:rsidR="00E51494" w:rsidRPr="00326734">
        <w:rPr>
          <w:sz w:val="24"/>
          <w:szCs w:val="24"/>
        </w:rPr>
        <w:t xml:space="preserve"> feminist judges.</w:t>
      </w:r>
      <w:r w:rsidR="009773EA">
        <w:rPr>
          <w:rStyle w:val="FootnoteReference"/>
          <w:sz w:val="24"/>
          <w:szCs w:val="24"/>
        </w:rPr>
        <w:footnoteReference w:id="60"/>
      </w:r>
      <w:r w:rsidR="00E51494" w:rsidRPr="00326734">
        <w:rPr>
          <w:sz w:val="24"/>
          <w:szCs w:val="24"/>
        </w:rPr>
        <w:t xml:space="preserve"> </w:t>
      </w:r>
      <w:r w:rsidR="002A4920" w:rsidRPr="00326734">
        <w:rPr>
          <w:sz w:val="24"/>
          <w:szCs w:val="24"/>
        </w:rPr>
        <w:t>For good or ill, this observation has clear implications for the judicial appointment process</w:t>
      </w:r>
      <w:r w:rsidR="00557120" w:rsidRPr="00326734">
        <w:rPr>
          <w:sz w:val="24"/>
          <w:szCs w:val="24"/>
        </w:rPr>
        <w:t xml:space="preserve">. </w:t>
      </w:r>
      <w:r w:rsidR="00E51494" w:rsidRPr="00326734">
        <w:rPr>
          <w:sz w:val="24"/>
          <w:szCs w:val="24"/>
        </w:rPr>
        <w:t xml:space="preserve">  </w:t>
      </w:r>
    </w:p>
    <w:p w:rsidR="00535A98" w:rsidRPr="00326734" w:rsidRDefault="00535A98" w:rsidP="00F66799">
      <w:pPr>
        <w:spacing w:line="480" w:lineRule="auto"/>
        <w:rPr>
          <w:sz w:val="24"/>
          <w:szCs w:val="24"/>
        </w:rPr>
      </w:pPr>
    </w:p>
    <w:p w:rsidR="00535A98" w:rsidRPr="00326734" w:rsidRDefault="00535A98" w:rsidP="00F66799">
      <w:pPr>
        <w:spacing w:line="480" w:lineRule="auto"/>
        <w:rPr>
          <w:sz w:val="24"/>
          <w:szCs w:val="24"/>
        </w:rPr>
      </w:pPr>
      <w:r w:rsidRPr="00326734">
        <w:rPr>
          <w:b/>
          <w:i/>
          <w:sz w:val="24"/>
          <w:szCs w:val="24"/>
        </w:rPr>
        <w:t>Opportunity</w:t>
      </w:r>
    </w:p>
    <w:p w:rsidR="00557120" w:rsidRPr="00326734" w:rsidRDefault="008065DE" w:rsidP="00F66799">
      <w:pPr>
        <w:spacing w:line="480" w:lineRule="auto"/>
        <w:rPr>
          <w:sz w:val="24"/>
          <w:szCs w:val="24"/>
        </w:rPr>
      </w:pPr>
      <w:r w:rsidRPr="00326734">
        <w:rPr>
          <w:sz w:val="24"/>
          <w:szCs w:val="24"/>
        </w:rPr>
        <w:t>But even for the judges who a</w:t>
      </w:r>
      <w:r w:rsidR="00B00FD4" w:rsidRPr="00326734">
        <w:rPr>
          <w:sz w:val="24"/>
          <w:szCs w:val="24"/>
        </w:rPr>
        <w:t xml:space="preserve">re willing to be feminist activists, opportunities to do so might be few and far between.  Two kinds of limitations arise here. First, there may be little scope for any form of judicial activism at the court level or within the jurisdiction in which the judge </w:t>
      </w:r>
      <w:r w:rsidR="004E007C" w:rsidRPr="00326734">
        <w:rPr>
          <w:sz w:val="24"/>
          <w:szCs w:val="24"/>
        </w:rPr>
        <w:t xml:space="preserve">is sitting. One Australian </w:t>
      </w:r>
      <w:r w:rsidRPr="00326734">
        <w:rPr>
          <w:sz w:val="24"/>
          <w:szCs w:val="24"/>
        </w:rPr>
        <w:t xml:space="preserve">industrial tribunal </w:t>
      </w:r>
      <w:r w:rsidR="004E007C" w:rsidRPr="00326734">
        <w:rPr>
          <w:sz w:val="24"/>
          <w:szCs w:val="24"/>
        </w:rPr>
        <w:t xml:space="preserve">judge, for example, contrasted the workers’ compensation jurisdiction, where decision making was </w:t>
      </w:r>
      <w:r w:rsidRPr="00326734">
        <w:rPr>
          <w:sz w:val="24"/>
          <w:szCs w:val="24"/>
        </w:rPr>
        <w:t xml:space="preserve">highly </w:t>
      </w:r>
      <w:r w:rsidR="004E007C" w:rsidRPr="00326734">
        <w:rPr>
          <w:sz w:val="24"/>
          <w:szCs w:val="24"/>
        </w:rPr>
        <w:t>constrained by precedent and the prospects of being appealed, with the industrial jurisdiction, where decisions are made according to equity and good conscience and the substantial merits of the case, and the tribunal is not bound by l</w:t>
      </w:r>
      <w:r w:rsidR="00093A8B" w:rsidRPr="00326734">
        <w:rPr>
          <w:sz w:val="24"/>
          <w:szCs w:val="24"/>
        </w:rPr>
        <w:t>egal forms and technicalities. ‘</w:t>
      </w:r>
      <w:r w:rsidR="004E007C" w:rsidRPr="00326734">
        <w:rPr>
          <w:sz w:val="24"/>
          <w:szCs w:val="24"/>
        </w:rPr>
        <w:t>So if you think that there’s an avenue that you can pursue which is going to make it more equitable and that you might be able to imbue with some feminist princ</w:t>
      </w:r>
      <w:r w:rsidR="00093A8B" w:rsidRPr="00326734">
        <w:rPr>
          <w:sz w:val="24"/>
          <w:szCs w:val="24"/>
        </w:rPr>
        <w:t>iples, you can probably do that’</w:t>
      </w:r>
      <w:r w:rsidR="00E37389" w:rsidRPr="00326734">
        <w:rPr>
          <w:sz w:val="24"/>
          <w:szCs w:val="24"/>
        </w:rPr>
        <w:t xml:space="preserve"> (Judge 06)</w:t>
      </w:r>
      <w:r w:rsidR="004E007C" w:rsidRPr="00326734">
        <w:rPr>
          <w:sz w:val="24"/>
          <w:szCs w:val="24"/>
        </w:rPr>
        <w:t>.  A</w:t>
      </w:r>
      <w:r w:rsidR="00E37389" w:rsidRPr="00326734">
        <w:rPr>
          <w:sz w:val="24"/>
          <w:szCs w:val="24"/>
        </w:rPr>
        <w:t xml:space="preserve"> Magistrate noted that she was limited by the quality of the evidence put before the court, and was sometimes frustrated by the fact that </w:t>
      </w:r>
      <w:r w:rsidR="00F902C4" w:rsidRPr="00326734">
        <w:rPr>
          <w:sz w:val="24"/>
          <w:szCs w:val="24"/>
        </w:rPr>
        <w:t xml:space="preserve">in domestic violence cases </w:t>
      </w:r>
      <w:r w:rsidR="00E37389" w:rsidRPr="00326734">
        <w:rPr>
          <w:sz w:val="24"/>
          <w:szCs w:val="24"/>
        </w:rPr>
        <w:t>the police had</w:t>
      </w:r>
      <w:r w:rsidR="00F902C4" w:rsidRPr="00326734">
        <w:rPr>
          <w:sz w:val="24"/>
          <w:szCs w:val="24"/>
        </w:rPr>
        <w:t xml:space="preserve"> no</w:t>
      </w:r>
      <w:r w:rsidR="00E37389" w:rsidRPr="00326734">
        <w:rPr>
          <w:sz w:val="24"/>
          <w:szCs w:val="24"/>
        </w:rPr>
        <w:t xml:space="preserve">t brought all the evidence needed for someone’s protection (Judge 31). Another </w:t>
      </w:r>
      <w:r w:rsidR="00F902C4" w:rsidRPr="00326734">
        <w:rPr>
          <w:sz w:val="24"/>
          <w:szCs w:val="24"/>
        </w:rPr>
        <w:t xml:space="preserve">judge </w:t>
      </w:r>
      <w:r w:rsidR="00E60E60" w:rsidRPr="00326734">
        <w:rPr>
          <w:sz w:val="24"/>
          <w:szCs w:val="24"/>
        </w:rPr>
        <w:t xml:space="preserve">sitting in the equivalent of the Crown Court </w:t>
      </w:r>
      <w:r w:rsidR="00E37389" w:rsidRPr="00326734">
        <w:rPr>
          <w:sz w:val="24"/>
          <w:szCs w:val="24"/>
        </w:rPr>
        <w:t>referred to the fact that:</w:t>
      </w:r>
    </w:p>
    <w:p w:rsidR="00F902C4" w:rsidRPr="00326734" w:rsidRDefault="00F902C4" w:rsidP="00F66799">
      <w:pPr>
        <w:spacing w:line="480" w:lineRule="auto"/>
        <w:rPr>
          <w:sz w:val="24"/>
          <w:szCs w:val="24"/>
        </w:rPr>
      </w:pPr>
    </w:p>
    <w:p w:rsidR="00E37389" w:rsidRPr="00326734" w:rsidRDefault="00E37389" w:rsidP="00E37389">
      <w:pPr>
        <w:spacing w:line="480" w:lineRule="auto"/>
        <w:ind w:left="720"/>
        <w:rPr>
          <w:sz w:val="24"/>
          <w:szCs w:val="24"/>
        </w:rPr>
      </w:pPr>
      <w:r w:rsidRPr="00326734">
        <w:rPr>
          <w:sz w:val="24"/>
          <w:szCs w:val="24"/>
        </w:rPr>
        <w:t xml:space="preserve">In a trial you’ve got very little ability or power to do anything about that, you’re not the trier of fact. So all you can do is ensure that your directions – well first of all they’ve got to comply with the law, you’ve got to put it all in. We know that the directions we have to give to juries in rape cases are so prescribed, and so cautious. In other words they provide many, many protections for the accused person, as they </w:t>
      </w:r>
      <w:r w:rsidRPr="00326734">
        <w:rPr>
          <w:sz w:val="24"/>
          <w:szCs w:val="24"/>
        </w:rPr>
        <w:lastRenderedPageBreak/>
        <w:t>should. So many protections for the accused person it’s very hard to get a conviction. I haven’t had a conviction in a rape case for ages. (Judge 24)</w:t>
      </w:r>
    </w:p>
    <w:p w:rsidR="00F902C4" w:rsidRPr="00326734" w:rsidRDefault="00F902C4" w:rsidP="00E37389">
      <w:pPr>
        <w:spacing w:line="480" w:lineRule="auto"/>
        <w:rPr>
          <w:sz w:val="24"/>
          <w:szCs w:val="24"/>
        </w:rPr>
      </w:pPr>
    </w:p>
    <w:p w:rsidR="00E37389" w:rsidRPr="00326734" w:rsidRDefault="00E37389" w:rsidP="00E37389">
      <w:pPr>
        <w:spacing w:line="480" w:lineRule="auto"/>
        <w:rPr>
          <w:sz w:val="24"/>
          <w:szCs w:val="24"/>
        </w:rPr>
      </w:pPr>
      <w:r w:rsidRPr="00326734">
        <w:rPr>
          <w:sz w:val="24"/>
          <w:szCs w:val="24"/>
        </w:rPr>
        <w:t>Some mentioned sentencing as an area of greater discretion and latitude, although here too there might be statu</w:t>
      </w:r>
      <w:r w:rsidR="008065DE" w:rsidRPr="00326734">
        <w:rPr>
          <w:sz w:val="24"/>
          <w:szCs w:val="24"/>
        </w:rPr>
        <w:t>tory mandatory sentences for some offences</w:t>
      </w:r>
      <w:r w:rsidRPr="00326734">
        <w:rPr>
          <w:sz w:val="24"/>
          <w:szCs w:val="24"/>
        </w:rPr>
        <w:t>, or an appeal court exercising a high degree of scrutiny and laying down many technical requirem</w:t>
      </w:r>
      <w:r w:rsidR="00093A8B" w:rsidRPr="00326734">
        <w:rPr>
          <w:sz w:val="24"/>
          <w:szCs w:val="24"/>
        </w:rPr>
        <w:t>ents (Judges 11, 12, 17, 24, 37: Magistrates and Crown</w:t>
      </w:r>
      <w:r w:rsidRPr="00326734">
        <w:rPr>
          <w:sz w:val="24"/>
          <w:szCs w:val="24"/>
        </w:rPr>
        <w:t xml:space="preserve"> Court equivalents). </w:t>
      </w:r>
    </w:p>
    <w:p w:rsidR="00C66EE9" w:rsidRPr="00326734" w:rsidRDefault="008065DE" w:rsidP="008065DE">
      <w:pPr>
        <w:spacing w:line="480" w:lineRule="auto"/>
        <w:ind w:firstLine="720"/>
        <w:rPr>
          <w:sz w:val="24"/>
          <w:szCs w:val="24"/>
        </w:rPr>
      </w:pPr>
      <w:r w:rsidRPr="00326734">
        <w:rPr>
          <w:sz w:val="24"/>
          <w:szCs w:val="24"/>
        </w:rPr>
        <w:t xml:space="preserve">Further, it appears that the majority of cases at all court levels and in all jurisdictions (other, perhaps, than in family law) simply do not raise any gender or feminist issues. This became evident </w:t>
      </w:r>
      <w:r w:rsidR="00382B0E" w:rsidRPr="00326734">
        <w:rPr>
          <w:sz w:val="24"/>
          <w:szCs w:val="24"/>
        </w:rPr>
        <w:t>when I conducted a systematic study of all the judgments of a particular Australian judge during the first three years of her appointment to a State Court of Appeal.</w:t>
      </w:r>
      <w:r w:rsidR="00382B0E" w:rsidRPr="00326734">
        <w:rPr>
          <w:rStyle w:val="FootnoteReference"/>
          <w:sz w:val="24"/>
          <w:szCs w:val="24"/>
        </w:rPr>
        <w:footnoteReference w:id="61"/>
      </w:r>
      <w:r w:rsidR="00382B0E" w:rsidRPr="00326734">
        <w:rPr>
          <w:sz w:val="24"/>
          <w:szCs w:val="24"/>
        </w:rPr>
        <w:t xml:space="preserve"> Justice Marcia Neave had a background as a feminist academic and law reformer, so I was interested to see how she acted as a judge. But of the 204 cases on which she sat during her first three years on the Court, try as I migh</w:t>
      </w:r>
      <w:r w:rsidR="00093A8B" w:rsidRPr="00326734">
        <w:rPr>
          <w:sz w:val="24"/>
          <w:szCs w:val="24"/>
        </w:rPr>
        <w:t xml:space="preserve">t, I could only find a feminist or </w:t>
      </w:r>
      <w:r w:rsidR="00382B0E" w:rsidRPr="00326734">
        <w:rPr>
          <w:sz w:val="24"/>
          <w:szCs w:val="24"/>
        </w:rPr>
        <w:t>gender issue in 66 (32 per cent)</w:t>
      </w:r>
      <w:r w:rsidR="00E60E60" w:rsidRPr="00326734">
        <w:rPr>
          <w:sz w:val="24"/>
          <w:szCs w:val="24"/>
        </w:rPr>
        <w:t xml:space="preserve"> of them</w:t>
      </w:r>
      <w:r w:rsidR="00382B0E" w:rsidRPr="00326734">
        <w:rPr>
          <w:sz w:val="24"/>
          <w:szCs w:val="24"/>
        </w:rPr>
        <w:t xml:space="preserve">. The great majority of these were criminal matters – appeals against conviction and/or appeals against sentence. The court’s civil jurisdiction appeared to consist mainly of </w:t>
      </w:r>
      <w:r w:rsidR="00093A8B" w:rsidRPr="00326734">
        <w:rPr>
          <w:sz w:val="24"/>
          <w:szCs w:val="24"/>
        </w:rPr>
        <w:t>dry, technical</w:t>
      </w:r>
      <w:r w:rsidR="00382B0E" w:rsidRPr="00326734">
        <w:rPr>
          <w:sz w:val="24"/>
          <w:szCs w:val="24"/>
        </w:rPr>
        <w:t xml:space="preserve"> matters of statutory or contractual interpretation, to which a gender-sensitive approach had no relevance. </w:t>
      </w:r>
    </w:p>
    <w:p w:rsidR="00271989" w:rsidRPr="00326734" w:rsidRDefault="00382B0E" w:rsidP="008065DE">
      <w:pPr>
        <w:spacing w:line="480" w:lineRule="auto"/>
        <w:ind w:firstLine="720"/>
        <w:rPr>
          <w:sz w:val="24"/>
          <w:szCs w:val="24"/>
        </w:rPr>
      </w:pPr>
      <w:r w:rsidRPr="00326734">
        <w:rPr>
          <w:sz w:val="24"/>
          <w:szCs w:val="24"/>
        </w:rPr>
        <w:t xml:space="preserve">Subsequently, Erika Rackley and I have begun a similar systematic analysis of Lady Hale’s judgments on the UK Supreme Court. </w:t>
      </w:r>
      <w:r w:rsidR="005135F6" w:rsidRPr="00326734">
        <w:rPr>
          <w:sz w:val="24"/>
          <w:szCs w:val="24"/>
        </w:rPr>
        <w:t>T</w:t>
      </w:r>
      <w:r w:rsidRPr="00326734">
        <w:rPr>
          <w:sz w:val="24"/>
          <w:szCs w:val="24"/>
        </w:rPr>
        <w:t xml:space="preserve">he </w:t>
      </w:r>
      <w:r w:rsidR="008E3F33" w:rsidRPr="00326734">
        <w:rPr>
          <w:sz w:val="24"/>
          <w:szCs w:val="24"/>
        </w:rPr>
        <w:t>Supreme Court’s caseload is very different from that of the Victorian Court of Appeal</w:t>
      </w:r>
      <w:r w:rsidR="005135F6" w:rsidRPr="00326734">
        <w:rPr>
          <w:sz w:val="24"/>
          <w:szCs w:val="24"/>
        </w:rPr>
        <w:t xml:space="preserve"> – much more heavily weighted towards civil than criminal matters – and </w:t>
      </w:r>
      <w:r w:rsidR="008E3F33" w:rsidRPr="00326734">
        <w:rPr>
          <w:sz w:val="24"/>
          <w:szCs w:val="24"/>
        </w:rPr>
        <w:t xml:space="preserve">the figures are </w:t>
      </w:r>
      <w:r w:rsidR="005135F6" w:rsidRPr="00326734">
        <w:rPr>
          <w:sz w:val="24"/>
          <w:szCs w:val="24"/>
        </w:rPr>
        <w:t>even lower</w:t>
      </w:r>
      <w:r w:rsidR="008E3F33" w:rsidRPr="00326734">
        <w:rPr>
          <w:sz w:val="24"/>
          <w:szCs w:val="24"/>
        </w:rPr>
        <w:t>: of the</w:t>
      </w:r>
      <w:r w:rsidR="005135F6" w:rsidRPr="00326734">
        <w:rPr>
          <w:sz w:val="24"/>
          <w:szCs w:val="24"/>
        </w:rPr>
        <w:t xml:space="preserve"> 326</w:t>
      </w:r>
      <w:r w:rsidR="008E3F33" w:rsidRPr="00326734">
        <w:rPr>
          <w:sz w:val="24"/>
          <w:szCs w:val="24"/>
        </w:rPr>
        <w:t xml:space="preserve"> cases decided by the Supreme Court from its inception in October 2009 until July 2014</w:t>
      </w:r>
      <w:r w:rsidR="005135F6" w:rsidRPr="00326734">
        <w:rPr>
          <w:sz w:val="24"/>
          <w:szCs w:val="24"/>
        </w:rPr>
        <w:t>, only 85 (26 per cent)</w:t>
      </w:r>
      <w:r w:rsidR="008E3F33" w:rsidRPr="00326734">
        <w:rPr>
          <w:sz w:val="24"/>
          <w:szCs w:val="24"/>
        </w:rPr>
        <w:t xml:space="preserve"> raised any </w:t>
      </w:r>
      <w:r w:rsidR="008E3F33" w:rsidRPr="00326734">
        <w:rPr>
          <w:sz w:val="24"/>
          <w:szCs w:val="24"/>
        </w:rPr>
        <w:lastRenderedPageBreak/>
        <w:t xml:space="preserve">kind of </w:t>
      </w:r>
      <w:r w:rsidR="005135F6" w:rsidRPr="00326734">
        <w:rPr>
          <w:sz w:val="24"/>
          <w:szCs w:val="24"/>
        </w:rPr>
        <w:t xml:space="preserve">actual or potential </w:t>
      </w:r>
      <w:r w:rsidR="008E3F33" w:rsidRPr="00326734">
        <w:rPr>
          <w:sz w:val="24"/>
          <w:szCs w:val="24"/>
        </w:rPr>
        <w:t>feminist or gender issue</w:t>
      </w:r>
      <w:r w:rsidR="00E60E60" w:rsidRPr="00326734">
        <w:rPr>
          <w:sz w:val="24"/>
          <w:szCs w:val="24"/>
        </w:rPr>
        <w:t>s</w:t>
      </w:r>
      <w:r w:rsidR="008E3F33" w:rsidRPr="00326734">
        <w:rPr>
          <w:sz w:val="24"/>
          <w:szCs w:val="24"/>
        </w:rPr>
        <w:t>.</w:t>
      </w:r>
      <w:r w:rsidR="005135F6" w:rsidRPr="00326734">
        <w:rPr>
          <w:sz w:val="24"/>
          <w:szCs w:val="24"/>
        </w:rPr>
        <w:t xml:space="preserve"> </w:t>
      </w:r>
      <w:r w:rsidR="00271989" w:rsidRPr="00326734">
        <w:rPr>
          <w:sz w:val="24"/>
          <w:szCs w:val="24"/>
        </w:rPr>
        <w:t xml:space="preserve">These cases </w:t>
      </w:r>
      <w:r w:rsidR="00C66EE9" w:rsidRPr="00326734">
        <w:rPr>
          <w:sz w:val="24"/>
          <w:szCs w:val="24"/>
        </w:rPr>
        <w:t xml:space="preserve">have </w:t>
      </w:r>
      <w:r w:rsidR="00271989" w:rsidRPr="00326734">
        <w:rPr>
          <w:sz w:val="24"/>
          <w:szCs w:val="24"/>
        </w:rPr>
        <w:t>tend</w:t>
      </w:r>
      <w:r w:rsidR="00C66EE9" w:rsidRPr="00326734">
        <w:rPr>
          <w:sz w:val="24"/>
          <w:szCs w:val="24"/>
        </w:rPr>
        <w:t>ed</w:t>
      </w:r>
      <w:r w:rsidR="00271989" w:rsidRPr="00326734">
        <w:rPr>
          <w:sz w:val="24"/>
          <w:szCs w:val="24"/>
        </w:rPr>
        <w:t xml:space="preserve"> to arise in areas concerning human beings, such as discrimination law, employment law, family law, housing law, human rights, immigration/asylum law and welfare law; while Justice Neave’s cases tended to be concentrated in areas of sexual assault </w:t>
      </w:r>
      <w:r w:rsidR="00C66EE9" w:rsidRPr="00326734">
        <w:rPr>
          <w:sz w:val="24"/>
          <w:szCs w:val="24"/>
        </w:rPr>
        <w:t>against women and children, domestic violence, and property division between former cohabitants</w:t>
      </w:r>
      <w:r w:rsidR="00271989" w:rsidRPr="00326734">
        <w:rPr>
          <w:sz w:val="24"/>
          <w:szCs w:val="24"/>
        </w:rPr>
        <w:t>.</w:t>
      </w:r>
      <w:r w:rsidR="005135F6" w:rsidRPr="00326734">
        <w:rPr>
          <w:sz w:val="24"/>
          <w:szCs w:val="24"/>
        </w:rPr>
        <w:t xml:space="preserve"> </w:t>
      </w:r>
    </w:p>
    <w:p w:rsidR="00DE4C2E" w:rsidRPr="00326734" w:rsidRDefault="00271989" w:rsidP="008065DE">
      <w:pPr>
        <w:spacing w:line="480" w:lineRule="auto"/>
        <w:ind w:firstLine="720"/>
        <w:rPr>
          <w:sz w:val="24"/>
          <w:szCs w:val="24"/>
        </w:rPr>
      </w:pPr>
      <w:r w:rsidRPr="00326734">
        <w:rPr>
          <w:sz w:val="24"/>
          <w:szCs w:val="24"/>
        </w:rPr>
        <w:t xml:space="preserve">These observations explain some others. </w:t>
      </w:r>
      <w:r w:rsidR="00C66EE9" w:rsidRPr="00326734">
        <w:rPr>
          <w:sz w:val="24"/>
          <w:szCs w:val="24"/>
        </w:rPr>
        <w:t xml:space="preserve">First, where the </w:t>
      </w:r>
      <w:r w:rsidRPr="00326734">
        <w:rPr>
          <w:sz w:val="24"/>
          <w:szCs w:val="24"/>
        </w:rPr>
        <w:t>US poli</w:t>
      </w:r>
      <w:r w:rsidR="00C66EE9" w:rsidRPr="00326734">
        <w:rPr>
          <w:sz w:val="24"/>
          <w:szCs w:val="24"/>
        </w:rPr>
        <w:t>tical</w:t>
      </w:r>
      <w:r w:rsidRPr="00326734">
        <w:rPr>
          <w:sz w:val="24"/>
          <w:szCs w:val="24"/>
        </w:rPr>
        <w:t xml:space="preserve"> sci</w:t>
      </w:r>
      <w:r w:rsidR="00C66EE9" w:rsidRPr="00326734">
        <w:rPr>
          <w:sz w:val="24"/>
          <w:szCs w:val="24"/>
        </w:rPr>
        <w:t>ence studies have found a gender difference in judging, they have found it in cases concerning ‘women’s issues’, such as sex discrimination and the award of spousal maintenance on divorce.</w:t>
      </w:r>
      <w:r w:rsidR="00C66EE9" w:rsidRPr="00326734">
        <w:rPr>
          <w:rStyle w:val="FootnoteReference"/>
          <w:sz w:val="24"/>
          <w:szCs w:val="24"/>
        </w:rPr>
        <w:footnoteReference w:id="62"/>
      </w:r>
      <w:r w:rsidR="00E05545" w:rsidRPr="00326734">
        <w:rPr>
          <w:sz w:val="24"/>
          <w:szCs w:val="24"/>
        </w:rPr>
        <w:t xml:space="preserve"> I</w:t>
      </w:r>
      <w:r w:rsidR="00E60E60" w:rsidRPr="00326734">
        <w:rPr>
          <w:sz w:val="24"/>
          <w:szCs w:val="24"/>
        </w:rPr>
        <w:t>n light of the foregoing analysis, it seems</w:t>
      </w:r>
      <w:r w:rsidR="00E05545" w:rsidRPr="00326734">
        <w:rPr>
          <w:sz w:val="24"/>
          <w:szCs w:val="24"/>
        </w:rPr>
        <w:t xml:space="preserve"> entirely </w:t>
      </w:r>
      <w:r w:rsidR="00E60E60" w:rsidRPr="00326734">
        <w:rPr>
          <w:sz w:val="24"/>
          <w:szCs w:val="24"/>
        </w:rPr>
        <w:t>plausible</w:t>
      </w:r>
      <w:r w:rsidR="00E05545" w:rsidRPr="00326734">
        <w:rPr>
          <w:sz w:val="24"/>
          <w:szCs w:val="24"/>
        </w:rPr>
        <w:t xml:space="preserve"> that </w:t>
      </w:r>
      <w:r w:rsidR="005422B4">
        <w:rPr>
          <w:sz w:val="24"/>
          <w:szCs w:val="24"/>
        </w:rPr>
        <w:t xml:space="preserve">these quantitative studies should find no gender difference in outcomes </w:t>
      </w:r>
      <w:r w:rsidR="00E05545" w:rsidRPr="00326734">
        <w:rPr>
          <w:sz w:val="24"/>
          <w:szCs w:val="24"/>
        </w:rPr>
        <w:t xml:space="preserve">in the preponderance of cases, but </w:t>
      </w:r>
      <w:r w:rsidR="005422B4">
        <w:rPr>
          <w:sz w:val="24"/>
          <w:szCs w:val="24"/>
        </w:rPr>
        <w:t xml:space="preserve">find it </w:t>
      </w:r>
      <w:r w:rsidR="00E05545" w:rsidRPr="00326734">
        <w:rPr>
          <w:sz w:val="24"/>
          <w:szCs w:val="24"/>
        </w:rPr>
        <w:t>in particular kinds of cases</w:t>
      </w:r>
      <w:r w:rsidR="00DE4C2E" w:rsidRPr="00326734">
        <w:rPr>
          <w:sz w:val="24"/>
          <w:szCs w:val="24"/>
        </w:rPr>
        <w:t>.</w:t>
      </w:r>
      <w:r w:rsidR="00C66EE9" w:rsidRPr="00326734">
        <w:rPr>
          <w:sz w:val="24"/>
          <w:szCs w:val="24"/>
        </w:rPr>
        <w:t xml:space="preserve"> Secondly, </w:t>
      </w:r>
      <w:r w:rsidR="00BF42C2" w:rsidRPr="00326734">
        <w:rPr>
          <w:sz w:val="24"/>
          <w:szCs w:val="24"/>
        </w:rPr>
        <w:t xml:space="preserve">the famous feminist decisions by judges such as Justices </w:t>
      </w:r>
      <w:r w:rsidR="00BF42C2" w:rsidRPr="00326734">
        <w:rPr>
          <w:sz w:val="24"/>
          <w:szCs w:val="24"/>
        </w:rPr>
        <w:lastRenderedPageBreak/>
        <w:t>Wilson</w:t>
      </w:r>
      <w:r w:rsidR="00D12068" w:rsidRPr="00326734">
        <w:rPr>
          <w:rStyle w:val="FootnoteReference"/>
          <w:sz w:val="24"/>
          <w:szCs w:val="24"/>
        </w:rPr>
        <w:footnoteReference w:id="63"/>
      </w:r>
      <w:r w:rsidR="00BF42C2" w:rsidRPr="00326734">
        <w:rPr>
          <w:sz w:val="24"/>
          <w:szCs w:val="24"/>
        </w:rPr>
        <w:t xml:space="preserve"> and </w:t>
      </w:r>
      <w:proofErr w:type="spellStart"/>
      <w:r w:rsidR="00BF42C2" w:rsidRPr="00326734">
        <w:rPr>
          <w:sz w:val="24"/>
          <w:szCs w:val="24"/>
        </w:rPr>
        <w:t>L’Heureux-Dub</w:t>
      </w:r>
      <w:r w:rsidR="00D12068" w:rsidRPr="00326734">
        <w:rPr>
          <w:sz w:val="24"/>
          <w:szCs w:val="24"/>
        </w:rPr>
        <w:t>é</w:t>
      </w:r>
      <w:proofErr w:type="spellEnd"/>
      <w:r w:rsidR="00D12068" w:rsidRPr="00326734">
        <w:rPr>
          <w:rStyle w:val="FootnoteReference"/>
          <w:sz w:val="24"/>
          <w:szCs w:val="24"/>
        </w:rPr>
        <w:footnoteReference w:id="64"/>
      </w:r>
      <w:r w:rsidR="00BF42C2" w:rsidRPr="00326734">
        <w:rPr>
          <w:sz w:val="24"/>
          <w:szCs w:val="24"/>
        </w:rPr>
        <w:t xml:space="preserve"> on the Canadian Supreme Court, Justice Ginsburg on the US Supreme Court,</w:t>
      </w:r>
      <w:r w:rsidR="00D12068" w:rsidRPr="00326734">
        <w:rPr>
          <w:rStyle w:val="FootnoteReference"/>
          <w:sz w:val="24"/>
          <w:szCs w:val="24"/>
        </w:rPr>
        <w:footnoteReference w:id="65"/>
      </w:r>
      <w:r w:rsidR="00BF42C2" w:rsidRPr="00326734">
        <w:rPr>
          <w:sz w:val="24"/>
          <w:szCs w:val="24"/>
        </w:rPr>
        <w:t xml:space="preserve"> Justice </w:t>
      </w:r>
      <w:proofErr w:type="spellStart"/>
      <w:r w:rsidR="00BF42C2" w:rsidRPr="00326734">
        <w:rPr>
          <w:sz w:val="24"/>
          <w:szCs w:val="24"/>
        </w:rPr>
        <w:t>Gaudron</w:t>
      </w:r>
      <w:proofErr w:type="spellEnd"/>
      <w:r w:rsidR="00BF42C2" w:rsidRPr="00326734">
        <w:rPr>
          <w:sz w:val="24"/>
          <w:szCs w:val="24"/>
        </w:rPr>
        <w:t xml:space="preserve"> on the Australian High Court,</w:t>
      </w:r>
      <w:r w:rsidR="00D12068" w:rsidRPr="00326734">
        <w:rPr>
          <w:rStyle w:val="FootnoteReference"/>
          <w:sz w:val="24"/>
          <w:szCs w:val="24"/>
        </w:rPr>
        <w:footnoteReference w:id="66"/>
      </w:r>
      <w:r w:rsidR="00BF42C2" w:rsidRPr="00326734">
        <w:rPr>
          <w:sz w:val="24"/>
          <w:szCs w:val="24"/>
        </w:rPr>
        <w:t xml:space="preserve"> and indeed Lady Hale,</w:t>
      </w:r>
      <w:r w:rsidR="00D12068" w:rsidRPr="00326734">
        <w:rPr>
          <w:rStyle w:val="FootnoteReference"/>
          <w:sz w:val="24"/>
          <w:szCs w:val="24"/>
        </w:rPr>
        <w:footnoteReference w:id="67"/>
      </w:r>
      <w:r w:rsidR="00BF42C2" w:rsidRPr="00326734">
        <w:rPr>
          <w:sz w:val="24"/>
          <w:szCs w:val="24"/>
        </w:rPr>
        <w:t xml:space="preserve"> have </w:t>
      </w:r>
      <w:r w:rsidR="00D12068" w:rsidRPr="00326734">
        <w:rPr>
          <w:sz w:val="24"/>
          <w:szCs w:val="24"/>
        </w:rPr>
        <w:t xml:space="preserve">all (or almost all) </w:t>
      </w:r>
      <w:r w:rsidR="00BF42C2" w:rsidRPr="00326734">
        <w:rPr>
          <w:sz w:val="24"/>
          <w:szCs w:val="24"/>
        </w:rPr>
        <w:t xml:space="preserve">been in </w:t>
      </w:r>
      <w:r w:rsidR="00D12068" w:rsidRPr="00326734">
        <w:rPr>
          <w:sz w:val="24"/>
          <w:szCs w:val="24"/>
        </w:rPr>
        <w:t>cases raising fairly classic gender issues</w:t>
      </w:r>
      <w:r w:rsidR="00E60E60" w:rsidRPr="00326734">
        <w:rPr>
          <w:sz w:val="24"/>
          <w:szCs w:val="24"/>
        </w:rPr>
        <w:t xml:space="preserve"> concerning </w:t>
      </w:r>
      <w:r w:rsidR="000A1EF0" w:rsidRPr="00326734">
        <w:rPr>
          <w:sz w:val="24"/>
          <w:szCs w:val="24"/>
        </w:rPr>
        <w:t xml:space="preserve">violence against women, </w:t>
      </w:r>
      <w:r w:rsidR="00E60E60" w:rsidRPr="00326734">
        <w:rPr>
          <w:sz w:val="24"/>
          <w:szCs w:val="24"/>
        </w:rPr>
        <w:t>reproduction, and the valuation of women’s work</w:t>
      </w:r>
      <w:r w:rsidR="00093A8B" w:rsidRPr="00326734">
        <w:rPr>
          <w:sz w:val="24"/>
          <w:szCs w:val="24"/>
        </w:rPr>
        <w:t>,</w:t>
      </w:r>
      <w:r w:rsidR="00E60E60" w:rsidRPr="00326734">
        <w:rPr>
          <w:sz w:val="24"/>
          <w:szCs w:val="24"/>
        </w:rPr>
        <w:t xml:space="preserve"> including unpaid care </w:t>
      </w:r>
      <w:r w:rsidR="00E60E60" w:rsidRPr="00326734">
        <w:rPr>
          <w:sz w:val="24"/>
          <w:szCs w:val="24"/>
        </w:rPr>
        <w:lastRenderedPageBreak/>
        <w:t>work</w:t>
      </w:r>
      <w:r w:rsidR="00D12068" w:rsidRPr="00326734">
        <w:rPr>
          <w:sz w:val="24"/>
          <w:szCs w:val="24"/>
        </w:rPr>
        <w:t xml:space="preserve">. </w:t>
      </w:r>
      <w:r w:rsidRPr="00326734">
        <w:rPr>
          <w:sz w:val="24"/>
          <w:szCs w:val="24"/>
        </w:rPr>
        <w:t xml:space="preserve"> </w:t>
      </w:r>
      <w:r w:rsidR="00DE4C2E" w:rsidRPr="00326734">
        <w:rPr>
          <w:sz w:val="24"/>
          <w:szCs w:val="24"/>
        </w:rPr>
        <w:t>Again, these high profile cases are likely to represent only a small minority of the relevant judge’s decisions overall. Thirdly</w:t>
      </w:r>
      <w:r w:rsidR="00E05545" w:rsidRPr="00326734">
        <w:rPr>
          <w:sz w:val="24"/>
          <w:szCs w:val="24"/>
        </w:rPr>
        <w:t xml:space="preserve">, the examples of feminist judgments given by the </w:t>
      </w:r>
      <w:r w:rsidRPr="00326734">
        <w:rPr>
          <w:sz w:val="24"/>
          <w:szCs w:val="24"/>
        </w:rPr>
        <w:t>Aust</w:t>
      </w:r>
      <w:r w:rsidR="00E05545" w:rsidRPr="00326734">
        <w:rPr>
          <w:sz w:val="24"/>
          <w:szCs w:val="24"/>
        </w:rPr>
        <w:t xml:space="preserve">ralian judges in their interviews generally fell within </w:t>
      </w:r>
      <w:r w:rsidR="000A1EF0" w:rsidRPr="00326734">
        <w:rPr>
          <w:sz w:val="24"/>
          <w:szCs w:val="24"/>
        </w:rPr>
        <w:t>similar categories</w:t>
      </w:r>
      <w:r w:rsidR="00445CED" w:rsidRPr="00326734">
        <w:rPr>
          <w:sz w:val="24"/>
          <w:szCs w:val="24"/>
        </w:rPr>
        <w:t xml:space="preserve">: </w:t>
      </w:r>
      <w:r w:rsidR="00E05545" w:rsidRPr="00326734">
        <w:rPr>
          <w:sz w:val="24"/>
          <w:szCs w:val="24"/>
        </w:rPr>
        <w:t xml:space="preserve">domestic violence; rape, sexual assault and child sexual assault; post-divorce property division and spousal maintenance; issues around sentencing mothers of young children to prison; and the question of </w:t>
      </w:r>
      <w:r w:rsidR="00445CED" w:rsidRPr="00326734">
        <w:rPr>
          <w:sz w:val="24"/>
          <w:szCs w:val="24"/>
        </w:rPr>
        <w:t xml:space="preserve">discounting tort damages because of </w:t>
      </w:r>
      <w:r w:rsidR="00E05545" w:rsidRPr="00326734">
        <w:rPr>
          <w:sz w:val="24"/>
          <w:szCs w:val="24"/>
        </w:rPr>
        <w:t xml:space="preserve">a </w:t>
      </w:r>
      <w:r w:rsidR="00445CED" w:rsidRPr="00326734">
        <w:rPr>
          <w:sz w:val="24"/>
          <w:szCs w:val="24"/>
        </w:rPr>
        <w:t>widow’s prospects of remarriage</w:t>
      </w:r>
      <w:r w:rsidR="00E05545" w:rsidRPr="00326734">
        <w:rPr>
          <w:sz w:val="24"/>
          <w:szCs w:val="24"/>
        </w:rPr>
        <w:t xml:space="preserve">. </w:t>
      </w:r>
      <w:r w:rsidR="00445CED" w:rsidRPr="00326734">
        <w:rPr>
          <w:sz w:val="24"/>
          <w:szCs w:val="24"/>
        </w:rPr>
        <w:t xml:space="preserve"> </w:t>
      </w:r>
    </w:p>
    <w:p w:rsidR="00271989" w:rsidRPr="00326734" w:rsidRDefault="00DE4C2E" w:rsidP="008065DE">
      <w:pPr>
        <w:spacing w:line="480" w:lineRule="auto"/>
        <w:ind w:firstLine="720"/>
        <w:rPr>
          <w:sz w:val="24"/>
          <w:szCs w:val="24"/>
        </w:rPr>
      </w:pPr>
      <w:r w:rsidRPr="00326734">
        <w:rPr>
          <w:sz w:val="24"/>
          <w:szCs w:val="24"/>
        </w:rPr>
        <w:t>The feminist judgment projects have demonstrated that ‘feminist’ issues and approaches can incorporate a wider range of cases than simply ‘gender’ issues. For example, the English project includes cases on property law concepts,</w:t>
      </w:r>
      <w:r w:rsidR="00207E17" w:rsidRPr="00326734">
        <w:rPr>
          <w:rStyle w:val="FootnoteReference"/>
          <w:sz w:val="24"/>
          <w:szCs w:val="24"/>
        </w:rPr>
        <w:footnoteReference w:id="68"/>
      </w:r>
      <w:r w:rsidRPr="00326734">
        <w:rPr>
          <w:sz w:val="24"/>
          <w:szCs w:val="24"/>
        </w:rPr>
        <w:t xml:space="preserve"> commercial contracts,</w:t>
      </w:r>
      <w:r w:rsidR="00207E17" w:rsidRPr="00326734">
        <w:rPr>
          <w:rStyle w:val="FootnoteReference"/>
          <w:sz w:val="24"/>
          <w:szCs w:val="24"/>
        </w:rPr>
        <w:footnoteReference w:id="69"/>
      </w:r>
      <w:r w:rsidR="00207E17" w:rsidRPr="00326734">
        <w:rPr>
          <w:sz w:val="24"/>
          <w:szCs w:val="24"/>
        </w:rPr>
        <w:t xml:space="preserve"> </w:t>
      </w:r>
      <w:r w:rsidR="000A1EF0" w:rsidRPr="00326734">
        <w:rPr>
          <w:sz w:val="24"/>
          <w:szCs w:val="24"/>
        </w:rPr>
        <w:t xml:space="preserve">adult social </w:t>
      </w:r>
      <w:r w:rsidR="00207E17" w:rsidRPr="00326734">
        <w:rPr>
          <w:sz w:val="24"/>
          <w:szCs w:val="24"/>
        </w:rPr>
        <w:t>care</w:t>
      </w:r>
      <w:r w:rsidR="00A26654">
        <w:rPr>
          <w:sz w:val="24"/>
          <w:szCs w:val="24"/>
        </w:rPr>
        <w:t>,</w:t>
      </w:r>
      <w:r w:rsidR="00207E17" w:rsidRPr="00326734">
        <w:rPr>
          <w:rStyle w:val="FootnoteReference"/>
          <w:sz w:val="24"/>
          <w:szCs w:val="24"/>
        </w:rPr>
        <w:footnoteReference w:id="70"/>
      </w:r>
      <w:r w:rsidR="00A26654">
        <w:rPr>
          <w:sz w:val="24"/>
          <w:szCs w:val="24"/>
        </w:rPr>
        <w:t xml:space="preserve"> minority </w:t>
      </w:r>
      <w:r w:rsidRPr="00326734">
        <w:rPr>
          <w:sz w:val="24"/>
          <w:szCs w:val="24"/>
        </w:rPr>
        <w:t>sexual practices</w:t>
      </w:r>
      <w:r w:rsidR="00207E17" w:rsidRPr="00326734">
        <w:rPr>
          <w:rStyle w:val="FootnoteReference"/>
          <w:sz w:val="24"/>
          <w:szCs w:val="24"/>
        </w:rPr>
        <w:footnoteReference w:id="71"/>
      </w:r>
      <w:r w:rsidRPr="00326734">
        <w:rPr>
          <w:sz w:val="24"/>
          <w:szCs w:val="24"/>
        </w:rPr>
        <w:t xml:space="preserve"> </w:t>
      </w:r>
      <w:r w:rsidR="00A26654">
        <w:rPr>
          <w:sz w:val="24"/>
          <w:szCs w:val="24"/>
        </w:rPr>
        <w:t>and medical decision-making</w:t>
      </w:r>
      <w:r w:rsidR="00A26654">
        <w:rPr>
          <w:rStyle w:val="FootnoteReference"/>
          <w:sz w:val="24"/>
          <w:szCs w:val="24"/>
        </w:rPr>
        <w:footnoteReference w:id="72"/>
      </w:r>
      <w:r w:rsidR="00A26654">
        <w:rPr>
          <w:sz w:val="24"/>
          <w:szCs w:val="24"/>
        </w:rPr>
        <w:t xml:space="preserve"> </w:t>
      </w:r>
      <w:r w:rsidRPr="00326734">
        <w:rPr>
          <w:sz w:val="24"/>
          <w:szCs w:val="24"/>
        </w:rPr>
        <w:t>which</w:t>
      </w:r>
      <w:r w:rsidR="00E05545" w:rsidRPr="00326734">
        <w:rPr>
          <w:sz w:val="24"/>
          <w:szCs w:val="24"/>
        </w:rPr>
        <w:t xml:space="preserve"> </w:t>
      </w:r>
      <w:r w:rsidRPr="00326734">
        <w:rPr>
          <w:sz w:val="24"/>
          <w:szCs w:val="24"/>
        </w:rPr>
        <w:t>apply feminist theory to less obvious subject-matters.</w:t>
      </w:r>
      <w:r w:rsidR="00207E17" w:rsidRPr="00326734">
        <w:rPr>
          <w:sz w:val="24"/>
          <w:szCs w:val="24"/>
        </w:rPr>
        <w:t xml:space="preserve"> </w:t>
      </w:r>
      <w:r w:rsidRPr="00326734">
        <w:rPr>
          <w:sz w:val="24"/>
          <w:szCs w:val="24"/>
        </w:rPr>
        <w:t>Likewise, the Australian project includes cases on</w:t>
      </w:r>
      <w:r w:rsidR="00207E17" w:rsidRPr="00326734">
        <w:rPr>
          <w:sz w:val="24"/>
          <w:szCs w:val="24"/>
        </w:rPr>
        <w:t xml:space="preserve"> voting rights,</w:t>
      </w:r>
      <w:r w:rsidR="00794532" w:rsidRPr="00326734">
        <w:rPr>
          <w:rStyle w:val="FootnoteReference"/>
          <w:sz w:val="24"/>
          <w:szCs w:val="24"/>
        </w:rPr>
        <w:footnoteReference w:id="73"/>
      </w:r>
      <w:r w:rsidR="00207E17" w:rsidRPr="00326734">
        <w:rPr>
          <w:sz w:val="24"/>
          <w:szCs w:val="24"/>
        </w:rPr>
        <w:t xml:space="preserve"> </w:t>
      </w:r>
      <w:r w:rsidR="00794532" w:rsidRPr="00326734">
        <w:rPr>
          <w:sz w:val="24"/>
          <w:szCs w:val="24"/>
        </w:rPr>
        <w:t>the right to a fair trial</w:t>
      </w:r>
      <w:r w:rsidR="00E60041">
        <w:rPr>
          <w:sz w:val="24"/>
          <w:szCs w:val="24"/>
        </w:rPr>
        <w:t xml:space="preserve"> for indigent defendants</w:t>
      </w:r>
      <w:r w:rsidR="00794532" w:rsidRPr="00326734">
        <w:rPr>
          <w:sz w:val="24"/>
          <w:szCs w:val="24"/>
        </w:rPr>
        <w:t>,</w:t>
      </w:r>
      <w:r w:rsidR="00794532" w:rsidRPr="00326734">
        <w:rPr>
          <w:rStyle w:val="FootnoteReference"/>
          <w:sz w:val="24"/>
          <w:szCs w:val="24"/>
        </w:rPr>
        <w:footnoteReference w:id="74"/>
      </w:r>
      <w:r w:rsidR="00794532" w:rsidRPr="00326734">
        <w:rPr>
          <w:sz w:val="24"/>
          <w:szCs w:val="24"/>
        </w:rPr>
        <w:t xml:space="preserve"> environmental law,</w:t>
      </w:r>
      <w:r w:rsidR="00794532" w:rsidRPr="00326734">
        <w:rPr>
          <w:rStyle w:val="FootnoteReference"/>
          <w:sz w:val="24"/>
          <w:szCs w:val="24"/>
        </w:rPr>
        <w:footnoteReference w:id="75"/>
      </w:r>
      <w:r w:rsidR="00794532" w:rsidRPr="00326734">
        <w:rPr>
          <w:sz w:val="24"/>
          <w:szCs w:val="24"/>
        </w:rPr>
        <w:t xml:space="preserve"> and consumer protection.</w:t>
      </w:r>
      <w:r w:rsidR="00794532" w:rsidRPr="00326734">
        <w:rPr>
          <w:rStyle w:val="FootnoteReference"/>
          <w:sz w:val="24"/>
          <w:szCs w:val="24"/>
        </w:rPr>
        <w:footnoteReference w:id="76"/>
      </w:r>
      <w:r w:rsidR="00207E17" w:rsidRPr="00326734">
        <w:rPr>
          <w:sz w:val="24"/>
          <w:szCs w:val="24"/>
        </w:rPr>
        <w:t xml:space="preserve"> </w:t>
      </w:r>
      <w:r w:rsidR="00704223">
        <w:rPr>
          <w:sz w:val="24"/>
          <w:szCs w:val="24"/>
        </w:rPr>
        <w:t>Feminist legal scholars have</w:t>
      </w:r>
      <w:r w:rsidR="00994A71">
        <w:rPr>
          <w:sz w:val="24"/>
          <w:szCs w:val="24"/>
        </w:rPr>
        <w:t xml:space="preserve"> </w:t>
      </w:r>
      <w:r w:rsidR="004F1DD7">
        <w:rPr>
          <w:sz w:val="24"/>
          <w:szCs w:val="24"/>
        </w:rPr>
        <w:t>analysed</w:t>
      </w:r>
      <w:r w:rsidR="00994A71">
        <w:rPr>
          <w:sz w:val="24"/>
          <w:szCs w:val="24"/>
        </w:rPr>
        <w:t xml:space="preserve"> just about every area of law,</w:t>
      </w:r>
      <w:r w:rsidR="00994A71">
        <w:rPr>
          <w:rStyle w:val="FootnoteReference"/>
          <w:sz w:val="24"/>
          <w:szCs w:val="24"/>
        </w:rPr>
        <w:footnoteReference w:id="77"/>
      </w:r>
      <w:r w:rsidR="004F1DD7">
        <w:rPr>
          <w:sz w:val="24"/>
          <w:szCs w:val="24"/>
        </w:rPr>
        <w:t xml:space="preserve"> </w:t>
      </w:r>
      <w:r w:rsidR="00704223">
        <w:rPr>
          <w:sz w:val="24"/>
          <w:szCs w:val="24"/>
        </w:rPr>
        <w:lastRenderedPageBreak/>
        <w:t>and have</w:t>
      </w:r>
      <w:r w:rsidR="004F1DD7">
        <w:rPr>
          <w:sz w:val="24"/>
          <w:szCs w:val="24"/>
        </w:rPr>
        <w:t xml:space="preserve"> also pointed out the fundamentally</w:t>
      </w:r>
      <w:r w:rsidR="00994A71">
        <w:rPr>
          <w:sz w:val="24"/>
          <w:szCs w:val="24"/>
        </w:rPr>
        <w:t xml:space="preserve"> gendered </w:t>
      </w:r>
      <w:r w:rsidR="004F1DD7">
        <w:rPr>
          <w:sz w:val="24"/>
          <w:szCs w:val="24"/>
        </w:rPr>
        <w:t>nature of legal discourse in general</w:t>
      </w:r>
      <w:r w:rsidR="00994A71">
        <w:rPr>
          <w:sz w:val="24"/>
          <w:szCs w:val="24"/>
        </w:rPr>
        <w:t>.</w:t>
      </w:r>
      <w:r w:rsidR="004F1DD7">
        <w:rPr>
          <w:rStyle w:val="FootnoteReference"/>
          <w:sz w:val="24"/>
          <w:szCs w:val="24"/>
        </w:rPr>
        <w:footnoteReference w:id="78"/>
      </w:r>
      <w:r w:rsidR="004F1DD7">
        <w:rPr>
          <w:sz w:val="24"/>
          <w:szCs w:val="24"/>
        </w:rPr>
        <w:t xml:space="preserve">  Thus, </w:t>
      </w:r>
      <w:r w:rsidR="00724F02">
        <w:rPr>
          <w:sz w:val="24"/>
          <w:szCs w:val="24"/>
        </w:rPr>
        <w:t xml:space="preserve">feminist judgments may be found in cases going well beyond the </w:t>
      </w:r>
      <w:r w:rsidR="00FB11D6">
        <w:rPr>
          <w:sz w:val="24"/>
          <w:szCs w:val="24"/>
        </w:rPr>
        <w:t>‘typical’ areas identified.</w:t>
      </w:r>
    </w:p>
    <w:p w:rsidR="005840C2" w:rsidRPr="00326734" w:rsidRDefault="00CE69F1" w:rsidP="008065DE">
      <w:pPr>
        <w:spacing w:line="480" w:lineRule="auto"/>
        <w:ind w:firstLine="720"/>
        <w:rPr>
          <w:sz w:val="24"/>
          <w:szCs w:val="24"/>
        </w:rPr>
      </w:pPr>
      <w:r w:rsidRPr="00326734">
        <w:rPr>
          <w:sz w:val="24"/>
          <w:szCs w:val="24"/>
        </w:rPr>
        <w:t xml:space="preserve">Nevertheless, it </w:t>
      </w:r>
      <w:r w:rsidR="00FB11D6">
        <w:rPr>
          <w:sz w:val="24"/>
          <w:szCs w:val="24"/>
        </w:rPr>
        <w:t>appears</w:t>
      </w:r>
      <w:r w:rsidRPr="00326734">
        <w:rPr>
          <w:sz w:val="24"/>
          <w:szCs w:val="24"/>
        </w:rPr>
        <w:t xml:space="preserve"> that </w:t>
      </w:r>
      <w:r w:rsidR="00405914" w:rsidRPr="00326734">
        <w:rPr>
          <w:sz w:val="24"/>
          <w:szCs w:val="24"/>
        </w:rPr>
        <w:t xml:space="preserve">the opportunity for judging in a substantively different way </w:t>
      </w:r>
      <w:r w:rsidR="00E60041">
        <w:rPr>
          <w:sz w:val="24"/>
          <w:szCs w:val="24"/>
        </w:rPr>
        <w:t>is likely to</w:t>
      </w:r>
      <w:r w:rsidR="00405914" w:rsidRPr="00326734">
        <w:rPr>
          <w:sz w:val="24"/>
          <w:szCs w:val="24"/>
        </w:rPr>
        <w:t xml:space="preserve"> arise </w:t>
      </w:r>
      <w:r w:rsidR="00E60041">
        <w:rPr>
          <w:sz w:val="24"/>
          <w:szCs w:val="24"/>
        </w:rPr>
        <w:t>in only</w:t>
      </w:r>
      <w:r w:rsidR="00405914" w:rsidRPr="00326734">
        <w:rPr>
          <w:sz w:val="24"/>
          <w:szCs w:val="24"/>
        </w:rPr>
        <w:t xml:space="preserve"> a </w:t>
      </w:r>
      <w:r w:rsidR="00445CED" w:rsidRPr="00326734">
        <w:rPr>
          <w:sz w:val="24"/>
          <w:szCs w:val="24"/>
        </w:rPr>
        <w:t>minority</w:t>
      </w:r>
      <w:r w:rsidR="00405914" w:rsidRPr="00326734">
        <w:rPr>
          <w:sz w:val="24"/>
          <w:szCs w:val="24"/>
        </w:rPr>
        <w:t xml:space="preserve"> of cases. This might offer some comfort to those who </w:t>
      </w:r>
      <w:r w:rsidR="00E60041">
        <w:rPr>
          <w:sz w:val="24"/>
          <w:szCs w:val="24"/>
        </w:rPr>
        <w:t>fear the notion</w:t>
      </w:r>
      <w:r w:rsidR="00405914" w:rsidRPr="00326734">
        <w:rPr>
          <w:sz w:val="24"/>
          <w:szCs w:val="24"/>
        </w:rPr>
        <w:t xml:space="preserve"> that a more diverse judiciary will have substantive implications. At the same time, it also seems clear that the </w:t>
      </w:r>
      <w:r w:rsidR="00FB11D6">
        <w:rPr>
          <w:sz w:val="24"/>
          <w:szCs w:val="24"/>
        </w:rPr>
        <w:t>kinds of</w:t>
      </w:r>
      <w:r w:rsidR="00405914" w:rsidRPr="00326734">
        <w:rPr>
          <w:sz w:val="24"/>
          <w:szCs w:val="24"/>
        </w:rPr>
        <w:t xml:space="preserve"> cases in which non-traditional judges might make a substantive difference are precisely those </w:t>
      </w:r>
      <w:r w:rsidR="00FB11D6">
        <w:rPr>
          <w:sz w:val="24"/>
          <w:szCs w:val="24"/>
        </w:rPr>
        <w:t>cases</w:t>
      </w:r>
      <w:r w:rsidR="00405914" w:rsidRPr="00326734">
        <w:rPr>
          <w:sz w:val="24"/>
          <w:szCs w:val="24"/>
        </w:rPr>
        <w:t xml:space="preserve"> in which we would want the </w:t>
      </w:r>
      <w:r w:rsidR="00E05545" w:rsidRPr="00326734">
        <w:rPr>
          <w:sz w:val="24"/>
          <w:szCs w:val="24"/>
        </w:rPr>
        <w:t xml:space="preserve">full range of human experience and understanding </w:t>
      </w:r>
      <w:r w:rsidR="000A1EF0" w:rsidRPr="00326734">
        <w:rPr>
          <w:sz w:val="24"/>
          <w:szCs w:val="24"/>
        </w:rPr>
        <w:t xml:space="preserve">to be </w:t>
      </w:r>
      <w:r w:rsidR="00E05545" w:rsidRPr="00326734">
        <w:rPr>
          <w:sz w:val="24"/>
          <w:szCs w:val="24"/>
        </w:rPr>
        <w:t>brought to bear</w:t>
      </w:r>
      <w:r w:rsidR="006944DB">
        <w:rPr>
          <w:sz w:val="24"/>
          <w:szCs w:val="24"/>
        </w:rPr>
        <w:t>.</w:t>
      </w:r>
      <w:r w:rsidR="000A1EF0" w:rsidRPr="00326734">
        <w:rPr>
          <w:sz w:val="24"/>
          <w:szCs w:val="24"/>
        </w:rPr>
        <w:t xml:space="preserve"> </w:t>
      </w:r>
      <w:r w:rsidR="006944DB">
        <w:rPr>
          <w:sz w:val="24"/>
          <w:szCs w:val="24"/>
        </w:rPr>
        <w:t>I</w:t>
      </w:r>
      <w:r w:rsidR="00DE7275" w:rsidRPr="00326734">
        <w:rPr>
          <w:sz w:val="24"/>
          <w:szCs w:val="24"/>
        </w:rPr>
        <w:t>t is in these cases that</w:t>
      </w:r>
      <w:r w:rsidR="00E450C2">
        <w:rPr>
          <w:sz w:val="24"/>
          <w:szCs w:val="24"/>
        </w:rPr>
        <w:t xml:space="preserve"> judicial diversity</w:t>
      </w:r>
      <w:r w:rsidR="006944DB">
        <w:rPr>
          <w:sz w:val="24"/>
          <w:szCs w:val="24"/>
        </w:rPr>
        <w:t xml:space="preserve">, by enabling </w:t>
      </w:r>
      <w:r w:rsidR="00E450C2">
        <w:rPr>
          <w:sz w:val="24"/>
          <w:szCs w:val="24"/>
        </w:rPr>
        <w:t xml:space="preserve">the issues to be examined through the lens of </w:t>
      </w:r>
      <w:r w:rsidR="006944DB">
        <w:rPr>
          <w:sz w:val="24"/>
          <w:szCs w:val="24"/>
        </w:rPr>
        <w:t xml:space="preserve">previously excluded perspectives, </w:t>
      </w:r>
      <w:r w:rsidR="000A1EF0" w:rsidRPr="00326734">
        <w:rPr>
          <w:sz w:val="24"/>
          <w:szCs w:val="24"/>
        </w:rPr>
        <w:t>is likely to produce better justice</w:t>
      </w:r>
      <w:r w:rsidR="005840C2" w:rsidRPr="00326734">
        <w:rPr>
          <w:sz w:val="24"/>
          <w:szCs w:val="24"/>
        </w:rPr>
        <w:t xml:space="preserve">. </w:t>
      </w:r>
      <w:r w:rsidR="00E05545" w:rsidRPr="00326734">
        <w:rPr>
          <w:sz w:val="24"/>
          <w:szCs w:val="24"/>
        </w:rPr>
        <w:t xml:space="preserve"> </w:t>
      </w:r>
    </w:p>
    <w:p w:rsidR="00246040" w:rsidRPr="00326734" w:rsidRDefault="00405914" w:rsidP="008065DE">
      <w:pPr>
        <w:spacing w:line="480" w:lineRule="auto"/>
        <w:ind w:firstLine="720"/>
        <w:rPr>
          <w:sz w:val="24"/>
          <w:szCs w:val="24"/>
        </w:rPr>
      </w:pPr>
      <w:r w:rsidRPr="00326734">
        <w:rPr>
          <w:sz w:val="24"/>
          <w:szCs w:val="24"/>
        </w:rPr>
        <w:t xml:space="preserve">It might be argued that </w:t>
      </w:r>
      <w:r w:rsidR="00246040" w:rsidRPr="00326734">
        <w:rPr>
          <w:sz w:val="24"/>
          <w:szCs w:val="24"/>
        </w:rPr>
        <w:t>this is all very well on an appellate court, where different perspectives can be included in the process of collegial decision-making,</w:t>
      </w:r>
      <w:r w:rsidR="00246040" w:rsidRPr="00326734">
        <w:rPr>
          <w:rStyle w:val="FootnoteReference"/>
          <w:sz w:val="24"/>
          <w:szCs w:val="24"/>
        </w:rPr>
        <w:footnoteReference w:id="79"/>
      </w:r>
      <w:r w:rsidR="00246040" w:rsidRPr="00326734">
        <w:rPr>
          <w:sz w:val="24"/>
          <w:szCs w:val="24"/>
        </w:rPr>
        <w:t xml:space="preserve"> but it does</w:t>
      </w:r>
      <w:r w:rsidR="00093A8B" w:rsidRPr="00326734">
        <w:rPr>
          <w:sz w:val="24"/>
          <w:szCs w:val="24"/>
        </w:rPr>
        <w:t xml:space="preserve"> </w:t>
      </w:r>
      <w:r w:rsidR="00246040" w:rsidRPr="00326734">
        <w:rPr>
          <w:sz w:val="24"/>
          <w:szCs w:val="24"/>
        </w:rPr>
        <w:t>n</w:t>
      </w:r>
      <w:r w:rsidR="00093A8B" w:rsidRPr="00326734">
        <w:rPr>
          <w:sz w:val="24"/>
          <w:szCs w:val="24"/>
        </w:rPr>
        <w:t>o</w:t>
      </w:r>
      <w:r w:rsidR="00246040" w:rsidRPr="00326734">
        <w:rPr>
          <w:sz w:val="24"/>
          <w:szCs w:val="24"/>
        </w:rPr>
        <w:t xml:space="preserve">t work for a trial court where there is a single judge presiding and no way of guaranteeing that, say, a case raising racial issues will get an ethnic minority judge, or one of the right ethnic minority.  </w:t>
      </w:r>
      <w:r w:rsidR="006944DB">
        <w:rPr>
          <w:sz w:val="24"/>
          <w:szCs w:val="24"/>
        </w:rPr>
        <w:t xml:space="preserve">In response, </w:t>
      </w:r>
      <w:r w:rsidR="00093A8B" w:rsidRPr="00326734">
        <w:rPr>
          <w:sz w:val="24"/>
          <w:szCs w:val="24"/>
        </w:rPr>
        <w:t>f</w:t>
      </w:r>
      <w:r w:rsidR="00246040" w:rsidRPr="00326734">
        <w:rPr>
          <w:sz w:val="24"/>
          <w:szCs w:val="24"/>
        </w:rPr>
        <w:t>irst</w:t>
      </w:r>
      <w:r w:rsidR="00EE043F" w:rsidRPr="00326734">
        <w:rPr>
          <w:sz w:val="24"/>
          <w:szCs w:val="24"/>
        </w:rPr>
        <w:t xml:space="preserve">, this </w:t>
      </w:r>
      <w:r w:rsidR="00246040" w:rsidRPr="00326734">
        <w:rPr>
          <w:sz w:val="24"/>
          <w:szCs w:val="24"/>
        </w:rPr>
        <w:t>makes it even more crucial that our appellate courts, which are currently the least diverse, rap</w:t>
      </w:r>
      <w:r w:rsidR="00EE043F" w:rsidRPr="00326734">
        <w:rPr>
          <w:sz w:val="24"/>
          <w:szCs w:val="24"/>
        </w:rPr>
        <w:t>idly become much more so.  S</w:t>
      </w:r>
      <w:r w:rsidR="00246040" w:rsidRPr="00326734">
        <w:rPr>
          <w:sz w:val="24"/>
          <w:szCs w:val="24"/>
        </w:rPr>
        <w:t>econd</w:t>
      </w:r>
      <w:r w:rsidR="00EE043F" w:rsidRPr="00326734">
        <w:rPr>
          <w:sz w:val="24"/>
          <w:szCs w:val="24"/>
        </w:rPr>
        <w:t xml:space="preserve">ly, a </w:t>
      </w:r>
      <w:r w:rsidR="00246040" w:rsidRPr="00326734">
        <w:rPr>
          <w:sz w:val="24"/>
          <w:szCs w:val="24"/>
        </w:rPr>
        <w:t xml:space="preserve">quote from one of the Australian </w:t>
      </w:r>
      <w:r w:rsidR="00EE043F" w:rsidRPr="00326734">
        <w:rPr>
          <w:sz w:val="24"/>
          <w:szCs w:val="24"/>
        </w:rPr>
        <w:t xml:space="preserve">judicial </w:t>
      </w:r>
      <w:r w:rsidR="00246040" w:rsidRPr="00326734">
        <w:rPr>
          <w:sz w:val="24"/>
          <w:szCs w:val="24"/>
        </w:rPr>
        <w:t>interviewees</w:t>
      </w:r>
      <w:r w:rsidR="00093A8B" w:rsidRPr="00326734">
        <w:rPr>
          <w:sz w:val="24"/>
          <w:szCs w:val="24"/>
        </w:rPr>
        <w:t xml:space="preserve"> is illuminating</w:t>
      </w:r>
      <w:r w:rsidR="00246040" w:rsidRPr="00326734">
        <w:rPr>
          <w:sz w:val="24"/>
          <w:szCs w:val="24"/>
        </w:rPr>
        <w:t>:</w:t>
      </w:r>
    </w:p>
    <w:p w:rsidR="00EE043F" w:rsidRPr="00326734" w:rsidRDefault="00EE043F" w:rsidP="008065DE">
      <w:pPr>
        <w:spacing w:line="480" w:lineRule="auto"/>
        <w:ind w:firstLine="720"/>
        <w:rPr>
          <w:sz w:val="24"/>
          <w:szCs w:val="24"/>
        </w:rPr>
      </w:pPr>
    </w:p>
    <w:p w:rsidR="00246040" w:rsidRPr="00326734" w:rsidRDefault="00246040" w:rsidP="00246040">
      <w:pPr>
        <w:spacing w:line="480" w:lineRule="auto"/>
        <w:ind w:left="720"/>
        <w:rPr>
          <w:sz w:val="24"/>
          <w:szCs w:val="24"/>
        </w:rPr>
      </w:pPr>
      <w:r w:rsidRPr="00326734">
        <w:rPr>
          <w:sz w:val="24"/>
          <w:szCs w:val="24"/>
        </w:rPr>
        <w:t>...because judging is so extremely subjective</w:t>
      </w:r>
      <w:r w:rsidR="00FC58D1" w:rsidRPr="00326734">
        <w:rPr>
          <w:sz w:val="24"/>
          <w:szCs w:val="24"/>
        </w:rPr>
        <w:t>,</w:t>
      </w:r>
      <w:r w:rsidRPr="00326734">
        <w:rPr>
          <w:sz w:val="24"/>
          <w:szCs w:val="24"/>
        </w:rPr>
        <w:t xml:space="preserve"> the more people you get from various backgrounds and experiences the more fair your judging is going to be. </w:t>
      </w:r>
      <w:r w:rsidR="00FC58D1" w:rsidRPr="00326734">
        <w:rPr>
          <w:sz w:val="24"/>
          <w:szCs w:val="24"/>
        </w:rPr>
        <w:t xml:space="preserve">I mean...at the end of the day the individual person is stuck with the individual judge that they get. But overall it’s going to be </w:t>
      </w:r>
      <w:proofErr w:type="gramStart"/>
      <w:r w:rsidR="00FC58D1" w:rsidRPr="00326734">
        <w:rPr>
          <w:sz w:val="24"/>
          <w:szCs w:val="24"/>
        </w:rPr>
        <w:t>more fair</w:t>
      </w:r>
      <w:proofErr w:type="gramEnd"/>
      <w:r w:rsidR="00FC58D1" w:rsidRPr="00326734">
        <w:rPr>
          <w:sz w:val="24"/>
          <w:szCs w:val="24"/>
        </w:rPr>
        <w:t xml:space="preserve"> because you have different people, I think they influence each other. I mean, we talk to each other about the sort of sentences we give and approaches. ... You influence each other by your general </w:t>
      </w:r>
      <w:r w:rsidR="00093A8B" w:rsidRPr="00326734">
        <w:rPr>
          <w:sz w:val="24"/>
          <w:szCs w:val="24"/>
        </w:rPr>
        <w:t>approaches to things. (Judge 36:</w:t>
      </w:r>
      <w:r w:rsidR="00FC58D1" w:rsidRPr="00326734">
        <w:rPr>
          <w:sz w:val="24"/>
          <w:szCs w:val="24"/>
        </w:rPr>
        <w:t xml:space="preserve"> Circuit Court equivalent)</w:t>
      </w:r>
    </w:p>
    <w:p w:rsidR="00EE043F" w:rsidRPr="00326734" w:rsidRDefault="00EE043F" w:rsidP="005840C2">
      <w:pPr>
        <w:spacing w:line="480" w:lineRule="auto"/>
        <w:rPr>
          <w:sz w:val="24"/>
          <w:szCs w:val="24"/>
        </w:rPr>
      </w:pPr>
    </w:p>
    <w:p w:rsidR="00445CED" w:rsidRPr="00326734" w:rsidRDefault="005840C2" w:rsidP="005840C2">
      <w:pPr>
        <w:spacing w:line="480" w:lineRule="auto"/>
        <w:rPr>
          <w:sz w:val="24"/>
          <w:szCs w:val="24"/>
        </w:rPr>
      </w:pPr>
      <w:r w:rsidRPr="00326734">
        <w:rPr>
          <w:sz w:val="24"/>
          <w:szCs w:val="24"/>
        </w:rPr>
        <w:t xml:space="preserve">In other words, judicial conversations are not confined to appellate courts, and the potential influence of non-traditional judges </w:t>
      </w:r>
      <w:r w:rsidR="0039571B" w:rsidRPr="00326734">
        <w:rPr>
          <w:sz w:val="24"/>
          <w:szCs w:val="24"/>
        </w:rPr>
        <w:t>may extend to the</w:t>
      </w:r>
      <w:r w:rsidRPr="00326734">
        <w:rPr>
          <w:sz w:val="24"/>
          <w:szCs w:val="24"/>
        </w:rPr>
        <w:t xml:space="preserve"> judgments</w:t>
      </w:r>
      <w:r w:rsidR="0039571B" w:rsidRPr="00326734">
        <w:rPr>
          <w:sz w:val="24"/>
          <w:szCs w:val="24"/>
        </w:rPr>
        <w:t xml:space="preserve"> of other judges </w:t>
      </w:r>
      <w:r w:rsidR="00093A8B" w:rsidRPr="00326734">
        <w:rPr>
          <w:sz w:val="24"/>
          <w:szCs w:val="24"/>
        </w:rPr>
        <w:t xml:space="preserve">in other cases </w:t>
      </w:r>
      <w:r w:rsidR="0039571B" w:rsidRPr="00326734">
        <w:rPr>
          <w:sz w:val="24"/>
          <w:szCs w:val="24"/>
        </w:rPr>
        <w:t>as well as their own</w:t>
      </w:r>
      <w:r w:rsidRPr="00326734">
        <w:rPr>
          <w:sz w:val="24"/>
          <w:szCs w:val="24"/>
        </w:rPr>
        <w:t xml:space="preserve">. </w:t>
      </w:r>
    </w:p>
    <w:p w:rsidR="0058176C" w:rsidRPr="00326734" w:rsidRDefault="00093A8B" w:rsidP="008065DE">
      <w:pPr>
        <w:spacing w:line="480" w:lineRule="auto"/>
        <w:ind w:firstLine="720"/>
        <w:rPr>
          <w:sz w:val="24"/>
          <w:szCs w:val="24"/>
        </w:rPr>
      </w:pPr>
      <w:r w:rsidRPr="00326734">
        <w:rPr>
          <w:sz w:val="24"/>
          <w:szCs w:val="24"/>
        </w:rPr>
        <w:t>There may</w:t>
      </w:r>
      <w:r w:rsidR="009F0EE6" w:rsidRPr="00326734">
        <w:rPr>
          <w:sz w:val="24"/>
          <w:szCs w:val="24"/>
        </w:rPr>
        <w:t xml:space="preserve"> </w:t>
      </w:r>
      <w:r w:rsidR="00EE043F" w:rsidRPr="00326734">
        <w:rPr>
          <w:sz w:val="24"/>
          <w:szCs w:val="24"/>
        </w:rPr>
        <w:t xml:space="preserve">remain </w:t>
      </w:r>
      <w:r w:rsidRPr="00326734">
        <w:rPr>
          <w:sz w:val="24"/>
          <w:szCs w:val="24"/>
        </w:rPr>
        <w:t>a concern</w:t>
      </w:r>
      <w:r w:rsidR="009F0EE6" w:rsidRPr="00326734">
        <w:rPr>
          <w:sz w:val="24"/>
          <w:szCs w:val="24"/>
        </w:rPr>
        <w:t xml:space="preserve"> that substantive difference</w:t>
      </w:r>
      <w:r w:rsidR="00404A23" w:rsidRPr="00326734">
        <w:rPr>
          <w:sz w:val="24"/>
          <w:szCs w:val="24"/>
        </w:rPr>
        <w:t>s</w:t>
      </w:r>
      <w:r w:rsidR="009F0EE6" w:rsidRPr="00326734">
        <w:rPr>
          <w:sz w:val="24"/>
          <w:szCs w:val="24"/>
        </w:rPr>
        <w:t xml:space="preserve"> in decision-making might not result in greater fairness but wi</w:t>
      </w:r>
      <w:r w:rsidRPr="00326734">
        <w:rPr>
          <w:sz w:val="24"/>
          <w:szCs w:val="24"/>
        </w:rPr>
        <w:t>ll somehow corrupt the law.</w:t>
      </w:r>
      <w:r w:rsidR="00EE043F" w:rsidRPr="00326734">
        <w:rPr>
          <w:sz w:val="24"/>
          <w:szCs w:val="24"/>
        </w:rPr>
        <w:t xml:space="preserve"> </w:t>
      </w:r>
      <w:r w:rsidRPr="00326734">
        <w:rPr>
          <w:sz w:val="24"/>
          <w:szCs w:val="24"/>
        </w:rPr>
        <w:t>It is therefore worth considering carefully w</w:t>
      </w:r>
      <w:r w:rsidR="009F0EE6" w:rsidRPr="00326734">
        <w:rPr>
          <w:sz w:val="24"/>
          <w:szCs w:val="24"/>
        </w:rPr>
        <w:t>hat it is that a non-traditional judge can actually do. If she sits on a first instance court and makes an error of law, she can be overturned on appeal.  If she sits on an appellate court, she can, at worst dissent.  That is an</w:t>
      </w:r>
      <w:r w:rsidRPr="00326734">
        <w:rPr>
          <w:sz w:val="24"/>
          <w:szCs w:val="24"/>
        </w:rPr>
        <w:t xml:space="preserve"> entirely legitimate option</w:t>
      </w:r>
      <w:r w:rsidR="009F0EE6" w:rsidRPr="00326734">
        <w:rPr>
          <w:sz w:val="24"/>
          <w:szCs w:val="24"/>
        </w:rPr>
        <w:t xml:space="preserve"> within our judicial system. </w:t>
      </w:r>
      <w:r w:rsidR="0039571B" w:rsidRPr="00326734">
        <w:rPr>
          <w:sz w:val="24"/>
          <w:szCs w:val="24"/>
        </w:rPr>
        <w:t>Much has been written about</w:t>
      </w:r>
      <w:r w:rsidR="0058176C" w:rsidRPr="00326734">
        <w:rPr>
          <w:sz w:val="24"/>
          <w:szCs w:val="24"/>
        </w:rPr>
        <w:t xml:space="preserve"> the value of dissents,</w:t>
      </w:r>
      <w:r w:rsidR="0058176C" w:rsidRPr="00326734">
        <w:rPr>
          <w:rStyle w:val="FootnoteReference"/>
          <w:sz w:val="24"/>
          <w:szCs w:val="24"/>
        </w:rPr>
        <w:footnoteReference w:id="80"/>
      </w:r>
      <w:r w:rsidR="0058176C" w:rsidRPr="00326734">
        <w:rPr>
          <w:sz w:val="24"/>
          <w:szCs w:val="24"/>
        </w:rPr>
        <w:t xml:space="preserve"> and a little has been written on the dangers of too much unanimity.</w:t>
      </w:r>
      <w:r w:rsidR="0058176C" w:rsidRPr="00326734">
        <w:rPr>
          <w:rStyle w:val="FootnoteReference"/>
          <w:sz w:val="24"/>
          <w:szCs w:val="24"/>
        </w:rPr>
        <w:footnoteReference w:id="81"/>
      </w:r>
      <w:r w:rsidR="0058176C" w:rsidRPr="00326734">
        <w:rPr>
          <w:sz w:val="24"/>
          <w:szCs w:val="24"/>
        </w:rPr>
        <w:t xml:space="preserve"> </w:t>
      </w:r>
      <w:r w:rsidRPr="00326734">
        <w:rPr>
          <w:sz w:val="24"/>
          <w:szCs w:val="24"/>
        </w:rPr>
        <w:t xml:space="preserve">The statistical analysis Erika Rackley and I have undertaken </w:t>
      </w:r>
      <w:r w:rsidR="0058176C" w:rsidRPr="00326734">
        <w:rPr>
          <w:sz w:val="24"/>
          <w:szCs w:val="24"/>
        </w:rPr>
        <w:t xml:space="preserve">shows that some of the </w:t>
      </w:r>
      <w:r w:rsidR="00FB11D6">
        <w:rPr>
          <w:sz w:val="24"/>
          <w:szCs w:val="24"/>
        </w:rPr>
        <w:t xml:space="preserve">judges on the </w:t>
      </w:r>
      <w:r w:rsidR="006944DB">
        <w:rPr>
          <w:sz w:val="24"/>
          <w:szCs w:val="24"/>
        </w:rPr>
        <w:t xml:space="preserve">UK </w:t>
      </w:r>
      <w:r w:rsidR="00FB11D6">
        <w:rPr>
          <w:sz w:val="24"/>
          <w:szCs w:val="24"/>
        </w:rPr>
        <w:t>Supreme Court had</w:t>
      </w:r>
      <w:r w:rsidR="0058176C" w:rsidRPr="00326734">
        <w:rPr>
          <w:sz w:val="24"/>
          <w:szCs w:val="24"/>
        </w:rPr>
        <w:t xml:space="preserve"> never </w:t>
      </w:r>
      <w:r w:rsidR="00FB11D6">
        <w:rPr>
          <w:sz w:val="24"/>
          <w:szCs w:val="24"/>
        </w:rPr>
        <w:lastRenderedPageBreak/>
        <w:t xml:space="preserve">(up to July 2014) </w:t>
      </w:r>
      <w:r w:rsidR="0058176C" w:rsidRPr="00326734">
        <w:rPr>
          <w:sz w:val="24"/>
          <w:szCs w:val="24"/>
        </w:rPr>
        <w:t>ex</w:t>
      </w:r>
      <w:r w:rsidR="00E450C2">
        <w:rPr>
          <w:sz w:val="24"/>
          <w:szCs w:val="24"/>
        </w:rPr>
        <w:t>pressed a minority opinion. That</w:t>
      </w:r>
      <w:r w:rsidR="0058176C" w:rsidRPr="00326734">
        <w:rPr>
          <w:sz w:val="24"/>
          <w:szCs w:val="24"/>
        </w:rPr>
        <w:t xml:space="preserve"> </w:t>
      </w:r>
      <w:r w:rsidRPr="00326734">
        <w:rPr>
          <w:sz w:val="24"/>
          <w:szCs w:val="24"/>
        </w:rPr>
        <w:t>might raise questions as to what it is they contribute to the court</w:t>
      </w:r>
      <w:r w:rsidR="0058176C" w:rsidRPr="00326734">
        <w:rPr>
          <w:sz w:val="24"/>
          <w:szCs w:val="24"/>
        </w:rPr>
        <w:t xml:space="preserve">. Alternatively, </w:t>
      </w:r>
      <w:r w:rsidRPr="00326734">
        <w:rPr>
          <w:sz w:val="24"/>
          <w:szCs w:val="24"/>
        </w:rPr>
        <w:t>a</w:t>
      </w:r>
      <w:r w:rsidR="0058176C" w:rsidRPr="00326734">
        <w:rPr>
          <w:sz w:val="24"/>
          <w:szCs w:val="24"/>
        </w:rPr>
        <w:t xml:space="preserve"> non-traditional appellate judge may write a concurring opinion, agreeing with the result but for different reasons. Again, this </w:t>
      </w:r>
      <w:r w:rsidRPr="00326734">
        <w:rPr>
          <w:sz w:val="24"/>
          <w:szCs w:val="24"/>
        </w:rPr>
        <w:t>is a legitimate option and the reasoning of the concurrence is open to public evaluation</w:t>
      </w:r>
      <w:r w:rsidR="0058176C" w:rsidRPr="00326734">
        <w:rPr>
          <w:sz w:val="24"/>
          <w:szCs w:val="24"/>
        </w:rPr>
        <w:t xml:space="preserve">.  </w:t>
      </w:r>
      <w:r w:rsidR="00B16867" w:rsidRPr="00326734">
        <w:rPr>
          <w:sz w:val="24"/>
          <w:szCs w:val="24"/>
        </w:rPr>
        <w:t xml:space="preserve">Lastly, she may write a joint judgment </w:t>
      </w:r>
      <w:r w:rsidR="0039571B" w:rsidRPr="00326734">
        <w:rPr>
          <w:sz w:val="24"/>
          <w:szCs w:val="24"/>
        </w:rPr>
        <w:t xml:space="preserve">or leading judgment </w:t>
      </w:r>
      <w:r w:rsidR="00B16867" w:rsidRPr="00326734">
        <w:rPr>
          <w:sz w:val="24"/>
          <w:szCs w:val="24"/>
        </w:rPr>
        <w:t>with which other members of the court agree</w:t>
      </w:r>
      <w:r w:rsidRPr="00326734">
        <w:rPr>
          <w:sz w:val="24"/>
          <w:szCs w:val="24"/>
        </w:rPr>
        <w:t>,</w:t>
      </w:r>
      <w:r w:rsidR="00B16867" w:rsidRPr="00326734">
        <w:rPr>
          <w:sz w:val="24"/>
          <w:szCs w:val="24"/>
        </w:rPr>
        <w:t xml:space="preserve"> </w:t>
      </w:r>
      <w:r w:rsidR="001F42B8" w:rsidRPr="00326734">
        <w:rPr>
          <w:sz w:val="24"/>
          <w:szCs w:val="24"/>
        </w:rPr>
        <w:t>because her reasoning is persuasive.</w:t>
      </w:r>
      <w:r w:rsidR="0039571B" w:rsidRPr="00326734">
        <w:rPr>
          <w:sz w:val="24"/>
          <w:szCs w:val="24"/>
        </w:rPr>
        <w:t xml:space="preserve"> Introducing a different perspective into the judicial conversation is likely, at least sometimes, to result in the value of that perspective being recognised by others. This points to </w:t>
      </w:r>
      <w:r w:rsidR="00CD0791" w:rsidRPr="00326734">
        <w:rPr>
          <w:sz w:val="24"/>
          <w:szCs w:val="24"/>
        </w:rPr>
        <w:t>one of the strengths of the</w:t>
      </w:r>
      <w:r w:rsidR="00AB14AD" w:rsidRPr="00326734">
        <w:rPr>
          <w:sz w:val="24"/>
          <w:szCs w:val="24"/>
        </w:rPr>
        <w:t xml:space="preserve"> way </w:t>
      </w:r>
      <w:r w:rsidR="00FB11D6">
        <w:rPr>
          <w:sz w:val="24"/>
          <w:szCs w:val="24"/>
        </w:rPr>
        <w:t>the UK</w:t>
      </w:r>
      <w:r w:rsidR="00AB14AD" w:rsidRPr="00326734">
        <w:rPr>
          <w:sz w:val="24"/>
          <w:szCs w:val="24"/>
        </w:rPr>
        <w:t xml:space="preserve"> Supreme Court operates</w:t>
      </w:r>
      <w:r w:rsidR="00CD0791" w:rsidRPr="00326734">
        <w:rPr>
          <w:sz w:val="24"/>
          <w:szCs w:val="24"/>
        </w:rPr>
        <w:t xml:space="preserve"> compared to other countries where the highest appellate court always sits </w:t>
      </w:r>
      <w:proofErr w:type="spellStart"/>
      <w:r w:rsidR="00CD0791" w:rsidRPr="00326734">
        <w:rPr>
          <w:sz w:val="24"/>
          <w:szCs w:val="24"/>
        </w:rPr>
        <w:t>en</w:t>
      </w:r>
      <w:proofErr w:type="spellEnd"/>
      <w:r w:rsidR="00CD0791" w:rsidRPr="00326734">
        <w:rPr>
          <w:sz w:val="24"/>
          <w:szCs w:val="24"/>
        </w:rPr>
        <w:t xml:space="preserve"> banc. In such a system, the </w:t>
      </w:r>
      <w:r w:rsidR="00AB14AD" w:rsidRPr="00326734">
        <w:rPr>
          <w:sz w:val="24"/>
          <w:szCs w:val="24"/>
        </w:rPr>
        <w:t xml:space="preserve">viewpoints and </w:t>
      </w:r>
      <w:r w:rsidR="00CD0791" w:rsidRPr="00326734">
        <w:rPr>
          <w:sz w:val="24"/>
          <w:szCs w:val="24"/>
        </w:rPr>
        <w:t xml:space="preserve">alignments on the court become predictable and somewhat solidified. Madame Justice </w:t>
      </w:r>
      <w:proofErr w:type="spellStart"/>
      <w:r w:rsidR="00CD0791" w:rsidRPr="00326734">
        <w:rPr>
          <w:sz w:val="24"/>
          <w:szCs w:val="24"/>
        </w:rPr>
        <w:t>L’Heureux-Dubé</w:t>
      </w:r>
      <w:proofErr w:type="spellEnd"/>
      <w:r w:rsidR="00CD0791" w:rsidRPr="00326734">
        <w:rPr>
          <w:sz w:val="24"/>
          <w:szCs w:val="24"/>
        </w:rPr>
        <w:t xml:space="preserve"> in Canada and Justice Kirby in Australia, for example, became known as great dissenters because their views and approaches were often at odds with those of their judicial colleagues. But the UK Supreme Court sits in constantly changing groups of five, seven or nine of the 12 justices, which creates the possibility </w:t>
      </w:r>
      <w:r w:rsidR="008B7A1B" w:rsidRPr="00326734">
        <w:rPr>
          <w:sz w:val="24"/>
          <w:szCs w:val="24"/>
        </w:rPr>
        <w:t>for many different conversations depending on the particular combination of justices hearing each case, and hence differences of views and approaches can play out differently in different contexts.</w:t>
      </w:r>
    </w:p>
    <w:p w:rsidR="001F42B8" w:rsidRPr="00326734" w:rsidRDefault="001F42B8" w:rsidP="008065DE">
      <w:pPr>
        <w:spacing w:line="480" w:lineRule="auto"/>
        <w:ind w:firstLine="720"/>
        <w:rPr>
          <w:sz w:val="24"/>
          <w:szCs w:val="24"/>
        </w:rPr>
      </w:pPr>
      <w:r w:rsidRPr="00326734">
        <w:rPr>
          <w:sz w:val="24"/>
          <w:szCs w:val="24"/>
        </w:rPr>
        <w:t xml:space="preserve">A </w:t>
      </w:r>
      <w:r w:rsidR="00AB14AD" w:rsidRPr="00326734">
        <w:rPr>
          <w:sz w:val="24"/>
          <w:szCs w:val="24"/>
        </w:rPr>
        <w:t>further observation arising</w:t>
      </w:r>
      <w:r w:rsidR="00EB0960" w:rsidRPr="00326734">
        <w:rPr>
          <w:sz w:val="24"/>
          <w:szCs w:val="24"/>
        </w:rPr>
        <w:t xml:space="preserve"> </w:t>
      </w:r>
      <w:r w:rsidRPr="00326734">
        <w:rPr>
          <w:sz w:val="24"/>
          <w:szCs w:val="24"/>
        </w:rPr>
        <w:t>from the Australian Feminist Judgments Project</w:t>
      </w:r>
      <w:r w:rsidR="00427012">
        <w:rPr>
          <w:sz w:val="24"/>
          <w:szCs w:val="24"/>
        </w:rPr>
        <w:t xml:space="preserve"> </w:t>
      </w:r>
      <w:r w:rsidR="00AB14AD" w:rsidRPr="00326734">
        <w:rPr>
          <w:sz w:val="24"/>
          <w:szCs w:val="24"/>
        </w:rPr>
        <w:t>is that feminist judgments may be</w:t>
      </w:r>
      <w:r w:rsidRPr="00326734">
        <w:rPr>
          <w:sz w:val="24"/>
          <w:szCs w:val="24"/>
        </w:rPr>
        <w:t xml:space="preserve"> remarkably legally orthodox, formalist, </w:t>
      </w:r>
      <w:proofErr w:type="gramStart"/>
      <w:r w:rsidRPr="00326734">
        <w:rPr>
          <w:sz w:val="24"/>
          <w:szCs w:val="24"/>
        </w:rPr>
        <w:t>even</w:t>
      </w:r>
      <w:proofErr w:type="gramEnd"/>
      <w:r w:rsidRPr="00326734">
        <w:rPr>
          <w:sz w:val="24"/>
          <w:szCs w:val="24"/>
        </w:rPr>
        <w:t xml:space="preserve"> conservative.</w:t>
      </w:r>
      <w:r w:rsidR="00664A5B" w:rsidRPr="00326734">
        <w:rPr>
          <w:rStyle w:val="FootnoteReference"/>
          <w:sz w:val="24"/>
          <w:szCs w:val="24"/>
        </w:rPr>
        <w:footnoteReference w:id="82"/>
      </w:r>
      <w:r w:rsidRPr="00326734">
        <w:rPr>
          <w:sz w:val="24"/>
          <w:szCs w:val="24"/>
        </w:rPr>
        <w:t xml:space="preserve"> In </w:t>
      </w:r>
      <w:r w:rsidR="00AB14AD" w:rsidRPr="00326734">
        <w:rPr>
          <w:sz w:val="24"/>
          <w:szCs w:val="24"/>
        </w:rPr>
        <w:t xml:space="preserve">some of the </w:t>
      </w:r>
      <w:r w:rsidRPr="00326734">
        <w:rPr>
          <w:sz w:val="24"/>
          <w:szCs w:val="24"/>
        </w:rPr>
        <w:t>common law cases</w:t>
      </w:r>
      <w:r w:rsidR="00AB14AD" w:rsidRPr="00326734">
        <w:rPr>
          <w:sz w:val="24"/>
          <w:szCs w:val="24"/>
        </w:rPr>
        <w:t xml:space="preserve"> in that project</w:t>
      </w:r>
      <w:r w:rsidRPr="00326734">
        <w:rPr>
          <w:sz w:val="24"/>
          <w:szCs w:val="24"/>
        </w:rPr>
        <w:t xml:space="preserve">, </w:t>
      </w:r>
      <w:r w:rsidR="00AB14AD" w:rsidRPr="00326734">
        <w:rPr>
          <w:sz w:val="24"/>
          <w:szCs w:val="24"/>
        </w:rPr>
        <w:t>the feminist judge</w:t>
      </w:r>
      <w:r w:rsidR="00EB0960" w:rsidRPr="00326734">
        <w:rPr>
          <w:sz w:val="24"/>
          <w:szCs w:val="24"/>
        </w:rPr>
        <w:t xml:space="preserve"> close</w:t>
      </w:r>
      <w:r w:rsidR="00AB14AD" w:rsidRPr="00326734">
        <w:rPr>
          <w:sz w:val="24"/>
          <w:szCs w:val="24"/>
        </w:rPr>
        <w:t>ly followed</w:t>
      </w:r>
      <w:r w:rsidR="00664A5B" w:rsidRPr="00326734">
        <w:rPr>
          <w:sz w:val="24"/>
          <w:szCs w:val="24"/>
        </w:rPr>
        <w:t xml:space="preserve"> </w:t>
      </w:r>
      <w:r w:rsidR="00664A5B" w:rsidRPr="00326734">
        <w:rPr>
          <w:sz w:val="24"/>
          <w:szCs w:val="24"/>
        </w:rPr>
        <w:lastRenderedPageBreak/>
        <w:t>precedent when the original court had struck out into new doctrinal territory,</w:t>
      </w:r>
      <w:r w:rsidR="00AB14AD" w:rsidRPr="00326734">
        <w:rPr>
          <w:rStyle w:val="FootnoteReference"/>
          <w:sz w:val="24"/>
          <w:szCs w:val="24"/>
        </w:rPr>
        <w:footnoteReference w:id="83"/>
      </w:r>
      <w:r w:rsidR="00664A5B" w:rsidRPr="00326734">
        <w:rPr>
          <w:sz w:val="24"/>
          <w:szCs w:val="24"/>
        </w:rPr>
        <w:t xml:space="preserve"> or exercise</w:t>
      </w:r>
      <w:r w:rsidR="00AB14AD" w:rsidRPr="00326734">
        <w:rPr>
          <w:sz w:val="24"/>
          <w:szCs w:val="24"/>
        </w:rPr>
        <w:t>d</w:t>
      </w:r>
      <w:r w:rsidR="00664A5B" w:rsidRPr="00326734">
        <w:rPr>
          <w:sz w:val="24"/>
          <w:szCs w:val="24"/>
        </w:rPr>
        <w:t xml:space="preserve"> judicial restraint when the original court had </w:t>
      </w:r>
      <w:r w:rsidR="00427012">
        <w:rPr>
          <w:sz w:val="24"/>
          <w:szCs w:val="24"/>
        </w:rPr>
        <w:t xml:space="preserve">in fact </w:t>
      </w:r>
      <w:r w:rsidR="00EB0960" w:rsidRPr="00326734">
        <w:rPr>
          <w:sz w:val="24"/>
          <w:szCs w:val="24"/>
        </w:rPr>
        <w:t>departed from</w:t>
      </w:r>
      <w:r w:rsidR="00664A5B" w:rsidRPr="00326734">
        <w:rPr>
          <w:sz w:val="24"/>
          <w:szCs w:val="24"/>
        </w:rPr>
        <w:t xml:space="preserve"> fundamental principles such as the separation of powers and the non-retroactivity of criminal offences.</w:t>
      </w:r>
      <w:r w:rsidR="00AB14AD" w:rsidRPr="00326734">
        <w:rPr>
          <w:rStyle w:val="FootnoteReference"/>
          <w:sz w:val="24"/>
          <w:szCs w:val="24"/>
        </w:rPr>
        <w:footnoteReference w:id="84"/>
      </w:r>
      <w:r w:rsidR="00664A5B" w:rsidRPr="00326734">
        <w:rPr>
          <w:sz w:val="24"/>
          <w:szCs w:val="24"/>
        </w:rPr>
        <w:t xml:space="preserve"> For these feminist judges, the more conservative approach was actually the better approach from a feminist perspective. In statute-based cases, </w:t>
      </w:r>
      <w:r w:rsidR="00AB14AD" w:rsidRPr="00326734">
        <w:rPr>
          <w:sz w:val="24"/>
          <w:szCs w:val="24"/>
        </w:rPr>
        <w:t>some of the feminist judgments</w:t>
      </w:r>
      <w:r w:rsidR="00664A5B" w:rsidRPr="00326734">
        <w:rPr>
          <w:sz w:val="24"/>
          <w:szCs w:val="24"/>
        </w:rPr>
        <w:t xml:space="preserve"> </w:t>
      </w:r>
      <w:r w:rsidR="00AB14AD" w:rsidRPr="00326734">
        <w:rPr>
          <w:sz w:val="24"/>
          <w:szCs w:val="24"/>
        </w:rPr>
        <w:t>paid</w:t>
      </w:r>
      <w:r w:rsidR="00664A5B" w:rsidRPr="00326734">
        <w:rPr>
          <w:sz w:val="24"/>
          <w:szCs w:val="24"/>
        </w:rPr>
        <w:t xml:space="preserve"> closer attention to the canons of statutory interpretation th</w:t>
      </w:r>
      <w:r w:rsidR="00EB0960" w:rsidRPr="00326734">
        <w:rPr>
          <w:sz w:val="24"/>
          <w:szCs w:val="24"/>
        </w:rPr>
        <w:t>an the original court had shown.</w:t>
      </w:r>
      <w:r w:rsidR="00AB14AD" w:rsidRPr="00326734">
        <w:rPr>
          <w:rStyle w:val="FootnoteReference"/>
          <w:sz w:val="24"/>
          <w:szCs w:val="24"/>
        </w:rPr>
        <w:footnoteReference w:id="85"/>
      </w:r>
      <w:r w:rsidR="00EB0960" w:rsidRPr="00326734">
        <w:rPr>
          <w:sz w:val="24"/>
          <w:szCs w:val="24"/>
        </w:rPr>
        <w:t xml:space="preserve"> </w:t>
      </w:r>
      <w:r w:rsidR="00427012">
        <w:rPr>
          <w:sz w:val="24"/>
          <w:szCs w:val="24"/>
        </w:rPr>
        <w:t xml:space="preserve">Illustrating the point that feminist judging is not a singular programme, these cases </w:t>
      </w:r>
      <w:r w:rsidR="00EB0960" w:rsidRPr="00326734">
        <w:rPr>
          <w:sz w:val="24"/>
          <w:szCs w:val="24"/>
        </w:rPr>
        <w:t>demonstrate</w:t>
      </w:r>
      <w:r w:rsidR="00664A5B" w:rsidRPr="00326734">
        <w:rPr>
          <w:sz w:val="24"/>
          <w:szCs w:val="24"/>
        </w:rPr>
        <w:t xml:space="preserve"> that a feminist judge </w:t>
      </w:r>
      <w:r w:rsidR="00AB14AD" w:rsidRPr="00326734">
        <w:rPr>
          <w:sz w:val="24"/>
          <w:szCs w:val="24"/>
        </w:rPr>
        <w:t>will</w:t>
      </w:r>
      <w:r w:rsidR="00664A5B" w:rsidRPr="00326734">
        <w:rPr>
          <w:sz w:val="24"/>
          <w:szCs w:val="24"/>
        </w:rPr>
        <w:t xml:space="preserve"> not necessarily </w:t>
      </w:r>
      <w:r w:rsidR="00AB14AD" w:rsidRPr="00326734">
        <w:rPr>
          <w:sz w:val="24"/>
          <w:szCs w:val="24"/>
        </w:rPr>
        <w:t>wish</w:t>
      </w:r>
      <w:r w:rsidR="00664A5B" w:rsidRPr="00326734">
        <w:rPr>
          <w:sz w:val="24"/>
          <w:szCs w:val="24"/>
        </w:rPr>
        <w:t xml:space="preserve"> to push</w:t>
      </w:r>
      <w:r w:rsidR="00EB0960" w:rsidRPr="00326734">
        <w:rPr>
          <w:sz w:val="24"/>
          <w:szCs w:val="24"/>
        </w:rPr>
        <w:t xml:space="preserve"> the boundaries of legal method. In some instances, a feminist approach may in fact be </w:t>
      </w:r>
      <w:r w:rsidR="00C40EA6" w:rsidRPr="00326734">
        <w:rPr>
          <w:sz w:val="24"/>
          <w:szCs w:val="24"/>
        </w:rPr>
        <w:t xml:space="preserve">a traditionally black-letter approach. </w:t>
      </w:r>
    </w:p>
    <w:p w:rsidR="00C40EA6" w:rsidRPr="00326734" w:rsidRDefault="0093511E" w:rsidP="008065DE">
      <w:pPr>
        <w:spacing w:line="480" w:lineRule="auto"/>
        <w:ind w:firstLine="720"/>
        <w:rPr>
          <w:sz w:val="24"/>
          <w:szCs w:val="24"/>
        </w:rPr>
      </w:pPr>
      <w:r w:rsidRPr="00326734">
        <w:rPr>
          <w:sz w:val="24"/>
          <w:szCs w:val="24"/>
        </w:rPr>
        <w:t xml:space="preserve">Furthermore, there is some evidence that feminist judges may be more prepared </w:t>
      </w:r>
      <w:r w:rsidR="00AB14AD" w:rsidRPr="00326734">
        <w:rPr>
          <w:sz w:val="24"/>
          <w:szCs w:val="24"/>
        </w:rPr>
        <w:t xml:space="preserve">than their judicial brethren </w:t>
      </w:r>
      <w:r w:rsidRPr="00326734">
        <w:rPr>
          <w:sz w:val="24"/>
          <w:szCs w:val="24"/>
        </w:rPr>
        <w:t xml:space="preserve">to </w:t>
      </w:r>
      <w:r w:rsidR="00AB14AD" w:rsidRPr="00326734">
        <w:rPr>
          <w:sz w:val="24"/>
          <w:szCs w:val="24"/>
        </w:rPr>
        <w:t xml:space="preserve">give full effect to </w:t>
      </w:r>
      <w:r w:rsidRPr="00326734">
        <w:rPr>
          <w:sz w:val="24"/>
          <w:szCs w:val="24"/>
        </w:rPr>
        <w:t xml:space="preserve">socially progressive legislation. </w:t>
      </w:r>
      <w:r w:rsidR="00AB14AD" w:rsidRPr="00326734">
        <w:rPr>
          <w:sz w:val="24"/>
          <w:szCs w:val="24"/>
        </w:rPr>
        <w:t>As suggested in the earlier quote from Sally Kenney, feminist judges might be relied upon to ‘interpret equal protection and discrimination law in light of those provisions’ broad social change purposes’.</w:t>
      </w:r>
      <w:r w:rsidR="00887798" w:rsidRPr="00326734">
        <w:rPr>
          <w:rStyle w:val="FootnoteReference"/>
          <w:sz w:val="24"/>
          <w:szCs w:val="24"/>
        </w:rPr>
        <w:footnoteReference w:id="86"/>
      </w:r>
      <w:r w:rsidR="00AB14AD" w:rsidRPr="00326734">
        <w:rPr>
          <w:sz w:val="24"/>
          <w:szCs w:val="24"/>
        </w:rPr>
        <w:t xml:space="preserve"> </w:t>
      </w:r>
      <w:r w:rsidR="00887798" w:rsidRPr="00326734">
        <w:rPr>
          <w:sz w:val="24"/>
          <w:szCs w:val="24"/>
        </w:rPr>
        <w:t>Similarly, there are several instance</w:t>
      </w:r>
      <w:r w:rsidR="00E450C2">
        <w:rPr>
          <w:sz w:val="24"/>
          <w:szCs w:val="24"/>
        </w:rPr>
        <w:t>s</w:t>
      </w:r>
      <w:r w:rsidR="00887798" w:rsidRPr="00326734">
        <w:rPr>
          <w:sz w:val="24"/>
          <w:szCs w:val="24"/>
        </w:rPr>
        <w:t xml:space="preserve"> in</w:t>
      </w:r>
      <w:r w:rsidRPr="00326734">
        <w:rPr>
          <w:sz w:val="24"/>
          <w:szCs w:val="24"/>
        </w:rPr>
        <w:t xml:space="preserve"> the Australian Feminist Judgments Project</w:t>
      </w:r>
      <w:r w:rsidR="00300641" w:rsidRPr="00326734">
        <w:rPr>
          <w:sz w:val="24"/>
          <w:szCs w:val="24"/>
        </w:rPr>
        <w:t xml:space="preserve"> in which the feminist judge is </w:t>
      </w:r>
      <w:r w:rsidR="00EB0960" w:rsidRPr="00326734">
        <w:rPr>
          <w:sz w:val="24"/>
          <w:szCs w:val="24"/>
        </w:rPr>
        <w:t>concern</w:t>
      </w:r>
      <w:r w:rsidR="00300641" w:rsidRPr="00326734">
        <w:rPr>
          <w:sz w:val="24"/>
          <w:szCs w:val="24"/>
        </w:rPr>
        <w:t>ed</w:t>
      </w:r>
      <w:r w:rsidR="00EB0960" w:rsidRPr="00326734">
        <w:rPr>
          <w:sz w:val="24"/>
          <w:szCs w:val="24"/>
        </w:rPr>
        <w:t xml:space="preserve"> </w:t>
      </w:r>
      <w:r w:rsidR="00887798" w:rsidRPr="00326734">
        <w:rPr>
          <w:sz w:val="24"/>
          <w:szCs w:val="24"/>
        </w:rPr>
        <w:t xml:space="preserve">properly </w:t>
      </w:r>
      <w:r w:rsidR="00EB0960" w:rsidRPr="00326734">
        <w:rPr>
          <w:sz w:val="24"/>
          <w:szCs w:val="24"/>
        </w:rPr>
        <w:t xml:space="preserve">to </w:t>
      </w:r>
      <w:r w:rsidR="00887798" w:rsidRPr="00326734">
        <w:rPr>
          <w:sz w:val="24"/>
          <w:szCs w:val="24"/>
        </w:rPr>
        <w:t>implement</w:t>
      </w:r>
      <w:r w:rsidR="00EB0960" w:rsidRPr="00326734">
        <w:rPr>
          <w:sz w:val="24"/>
          <w:szCs w:val="24"/>
        </w:rPr>
        <w:t xml:space="preserve"> the legislature’s intention in enacting anti-discrimination laws</w:t>
      </w:r>
      <w:r w:rsidR="00300641" w:rsidRPr="00326734">
        <w:rPr>
          <w:sz w:val="24"/>
          <w:szCs w:val="24"/>
        </w:rPr>
        <w:t xml:space="preserve">, compared to the original judgments which engaged in narrow and hostile readings of the legislation which nullified its remedial </w:t>
      </w:r>
      <w:r w:rsidR="00300641" w:rsidRPr="00326734">
        <w:rPr>
          <w:sz w:val="24"/>
          <w:szCs w:val="24"/>
        </w:rPr>
        <w:lastRenderedPageBreak/>
        <w:t>purposes.</w:t>
      </w:r>
      <w:r w:rsidR="00300641" w:rsidRPr="00326734">
        <w:rPr>
          <w:rStyle w:val="FootnoteReference"/>
          <w:sz w:val="24"/>
          <w:szCs w:val="24"/>
        </w:rPr>
        <w:footnoteReference w:id="87"/>
      </w:r>
      <w:r w:rsidR="00EB0960" w:rsidRPr="00326734">
        <w:rPr>
          <w:sz w:val="24"/>
          <w:szCs w:val="24"/>
        </w:rPr>
        <w:t xml:space="preserve"> </w:t>
      </w:r>
      <w:r w:rsidR="00C40EA6" w:rsidRPr="00326734">
        <w:rPr>
          <w:sz w:val="24"/>
          <w:szCs w:val="24"/>
        </w:rPr>
        <w:t xml:space="preserve">The practice of </w:t>
      </w:r>
      <w:r w:rsidR="00887798" w:rsidRPr="00326734">
        <w:rPr>
          <w:sz w:val="24"/>
          <w:szCs w:val="24"/>
        </w:rPr>
        <w:t>giving effect to</w:t>
      </w:r>
      <w:r w:rsidR="00C40EA6" w:rsidRPr="00326734">
        <w:rPr>
          <w:sz w:val="24"/>
          <w:szCs w:val="24"/>
        </w:rPr>
        <w:t xml:space="preserve"> rather than resisting or undermining </w:t>
      </w:r>
      <w:r w:rsidR="00300641" w:rsidRPr="00326734">
        <w:rPr>
          <w:sz w:val="24"/>
          <w:szCs w:val="24"/>
        </w:rPr>
        <w:t xml:space="preserve">law </w:t>
      </w:r>
      <w:r w:rsidR="00A9207C" w:rsidRPr="00326734">
        <w:rPr>
          <w:sz w:val="24"/>
          <w:szCs w:val="24"/>
        </w:rPr>
        <w:t>reforms</w:t>
      </w:r>
      <w:r w:rsidR="00C40EA6" w:rsidRPr="00326734">
        <w:rPr>
          <w:sz w:val="24"/>
          <w:szCs w:val="24"/>
        </w:rPr>
        <w:t xml:space="preserve"> </w:t>
      </w:r>
      <w:r w:rsidR="00300641" w:rsidRPr="00326734">
        <w:rPr>
          <w:sz w:val="24"/>
          <w:szCs w:val="24"/>
        </w:rPr>
        <w:t>also arose in</w:t>
      </w:r>
      <w:r w:rsidR="00A9207C" w:rsidRPr="00326734">
        <w:rPr>
          <w:sz w:val="24"/>
          <w:szCs w:val="24"/>
        </w:rPr>
        <w:t xml:space="preserve"> the interviews with Australian feminist judges. </w:t>
      </w:r>
      <w:r w:rsidR="00300641" w:rsidRPr="00326734">
        <w:rPr>
          <w:sz w:val="24"/>
          <w:szCs w:val="24"/>
        </w:rPr>
        <w:t xml:space="preserve">One of these </w:t>
      </w:r>
      <w:r w:rsidR="00415CA3" w:rsidRPr="00326734">
        <w:rPr>
          <w:sz w:val="24"/>
          <w:szCs w:val="24"/>
        </w:rPr>
        <w:t xml:space="preserve">judges recalled a committal hearing in which a 14-year-old girl who had allegedly been abducted, drugged and sexually assaulted, was </w:t>
      </w:r>
      <w:r w:rsidR="00300641" w:rsidRPr="00326734">
        <w:rPr>
          <w:sz w:val="24"/>
          <w:szCs w:val="24"/>
        </w:rPr>
        <w:t>subject</w:t>
      </w:r>
      <w:r w:rsidR="002A0C6F" w:rsidRPr="00326734">
        <w:rPr>
          <w:sz w:val="24"/>
          <w:szCs w:val="24"/>
        </w:rPr>
        <w:t>ed</w:t>
      </w:r>
      <w:r w:rsidR="00300641" w:rsidRPr="00326734">
        <w:rPr>
          <w:sz w:val="24"/>
          <w:szCs w:val="24"/>
        </w:rPr>
        <w:t xml:space="preserve"> to </w:t>
      </w:r>
      <w:r w:rsidR="002A0C6F" w:rsidRPr="00326734">
        <w:rPr>
          <w:sz w:val="24"/>
          <w:szCs w:val="24"/>
        </w:rPr>
        <w:t xml:space="preserve">a </w:t>
      </w:r>
      <w:r w:rsidR="00300641" w:rsidRPr="00326734">
        <w:rPr>
          <w:sz w:val="24"/>
          <w:szCs w:val="24"/>
        </w:rPr>
        <w:t xml:space="preserve">lengthy and aggressive cross-examination </w:t>
      </w:r>
      <w:r w:rsidR="00415CA3" w:rsidRPr="00326734">
        <w:rPr>
          <w:sz w:val="24"/>
          <w:szCs w:val="24"/>
        </w:rPr>
        <w:t>by the defence barrister</w:t>
      </w:r>
      <w:r w:rsidR="00300641" w:rsidRPr="00326734">
        <w:rPr>
          <w:sz w:val="24"/>
          <w:szCs w:val="24"/>
        </w:rPr>
        <w:t xml:space="preserve"> to an extent </w:t>
      </w:r>
      <w:r w:rsidR="00DE7275" w:rsidRPr="00326734">
        <w:rPr>
          <w:sz w:val="24"/>
          <w:szCs w:val="24"/>
        </w:rPr>
        <w:t>which</w:t>
      </w:r>
      <w:r w:rsidR="00415CA3" w:rsidRPr="00326734">
        <w:rPr>
          <w:sz w:val="24"/>
          <w:szCs w:val="24"/>
        </w:rPr>
        <w:t xml:space="preserve">, in </w:t>
      </w:r>
      <w:r w:rsidR="002A0C6F" w:rsidRPr="00326734">
        <w:rPr>
          <w:sz w:val="24"/>
          <w:szCs w:val="24"/>
        </w:rPr>
        <w:t xml:space="preserve">the judge’s </w:t>
      </w:r>
      <w:r w:rsidR="00415CA3" w:rsidRPr="00326734">
        <w:rPr>
          <w:sz w:val="24"/>
          <w:szCs w:val="24"/>
        </w:rPr>
        <w:t>view</w:t>
      </w:r>
      <w:r w:rsidR="002A0C6F" w:rsidRPr="00326734">
        <w:rPr>
          <w:sz w:val="24"/>
          <w:szCs w:val="24"/>
        </w:rPr>
        <w:t xml:space="preserve">, </w:t>
      </w:r>
      <w:r w:rsidR="00415CA3" w:rsidRPr="00326734">
        <w:rPr>
          <w:sz w:val="24"/>
          <w:szCs w:val="24"/>
        </w:rPr>
        <w:t xml:space="preserve">was not permitted by the Evidence Act: </w:t>
      </w:r>
    </w:p>
    <w:p w:rsidR="002A0C6F" w:rsidRPr="00326734" w:rsidRDefault="002A0C6F" w:rsidP="002A0C6F">
      <w:pPr>
        <w:spacing w:line="480" w:lineRule="auto"/>
        <w:rPr>
          <w:sz w:val="24"/>
          <w:szCs w:val="24"/>
        </w:rPr>
      </w:pPr>
    </w:p>
    <w:p w:rsidR="00F95B0C" w:rsidRPr="00326734" w:rsidRDefault="00415CA3" w:rsidP="00F95B0C">
      <w:pPr>
        <w:spacing w:line="480" w:lineRule="auto"/>
        <w:ind w:left="720"/>
        <w:rPr>
          <w:sz w:val="24"/>
          <w:szCs w:val="24"/>
        </w:rPr>
      </w:pPr>
      <w:r w:rsidRPr="00326734">
        <w:rPr>
          <w:rFonts w:ascii="Calibri" w:eastAsia="Calibri" w:hAnsi="Calibri" w:cs="Times New Roman"/>
          <w:sz w:val="24"/>
          <w:szCs w:val="24"/>
        </w:rPr>
        <w:t xml:space="preserve">It occurred to me then that my task was to protect the witness to get the </w:t>
      </w:r>
      <w:r w:rsidR="00F95B0C" w:rsidRPr="00326734">
        <w:rPr>
          <w:sz w:val="24"/>
          <w:szCs w:val="24"/>
        </w:rPr>
        <w:t xml:space="preserve">[best] </w:t>
      </w:r>
      <w:r w:rsidRPr="00326734">
        <w:rPr>
          <w:rFonts w:ascii="Calibri" w:eastAsia="Calibri" w:hAnsi="Calibri" w:cs="Times New Roman"/>
          <w:sz w:val="24"/>
          <w:szCs w:val="24"/>
        </w:rPr>
        <w:t xml:space="preserve">evidence, as well as protect </w:t>
      </w:r>
      <w:r w:rsidR="00F95B0C" w:rsidRPr="00326734">
        <w:rPr>
          <w:sz w:val="24"/>
          <w:szCs w:val="24"/>
        </w:rPr>
        <w:t>[the defendant’s]</w:t>
      </w:r>
      <w:r w:rsidRPr="00326734">
        <w:rPr>
          <w:rFonts w:ascii="Calibri" w:eastAsia="Calibri" w:hAnsi="Calibri" w:cs="Times New Roman"/>
          <w:sz w:val="24"/>
          <w:szCs w:val="24"/>
        </w:rPr>
        <w:t xml:space="preserve"> rights which he certainly had and I was very clear about that, but in the legislation this was how it works.  So when I came out and spoke to my colleagues they went</w:t>
      </w:r>
      <w:r w:rsidR="00F95B0C" w:rsidRPr="00326734">
        <w:rPr>
          <w:sz w:val="24"/>
          <w:szCs w:val="24"/>
        </w:rPr>
        <w:t>,</w:t>
      </w:r>
      <w:r w:rsidRPr="00326734">
        <w:rPr>
          <w:rFonts w:ascii="Calibri" w:eastAsia="Calibri" w:hAnsi="Calibri" w:cs="Times New Roman"/>
          <w:sz w:val="24"/>
          <w:szCs w:val="24"/>
        </w:rPr>
        <w:t xml:space="preserve"> </w:t>
      </w:r>
      <w:r w:rsidR="00887798" w:rsidRPr="00326734">
        <w:rPr>
          <w:sz w:val="24"/>
          <w:szCs w:val="24"/>
        </w:rPr>
        <w:t>‘</w:t>
      </w:r>
      <w:r w:rsidRPr="00326734">
        <w:rPr>
          <w:rFonts w:ascii="Calibri" w:eastAsia="Calibri" w:hAnsi="Calibri" w:cs="Times New Roman"/>
          <w:sz w:val="24"/>
          <w:szCs w:val="24"/>
        </w:rPr>
        <w:t>oh</w:t>
      </w:r>
      <w:r w:rsidR="00F95B0C" w:rsidRPr="00326734">
        <w:rPr>
          <w:sz w:val="24"/>
          <w:szCs w:val="24"/>
        </w:rPr>
        <w:t>,</w:t>
      </w:r>
      <w:r w:rsidRPr="00326734">
        <w:rPr>
          <w:rFonts w:ascii="Calibri" w:eastAsia="Calibri" w:hAnsi="Calibri" w:cs="Times New Roman"/>
          <w:sz w:val="24"/>
          <w:szCs w:val="24"/>
        </w:rPr>
        <w:t xml:space="preserve"> don’t bother</w:t>
      </w:r>
      <w:r w:rsidR="00F95B0C" w:rsidRPr="00326734">
        <w:rPr>
          <w:sz w:val="24"/>
          <w:szCs w:val="24"/>
        </w:rPr>
        <w:t>,</w:t>
      </w:r>
      <w:r w:rsidRPr="00326734">
        <w:rPr>
          <w:rFonts w:ascii="Calibri" w:eastAsia="Calibri" w:hAnsi="Calibri" w:cs="Times New Roman"/>
          <w:sz w:val="24"/>
          <w:szCs w:val="24"/>
        </w:rPr>
        <w:t xml:space="preserve"> it’s too hard</w:t>
      </w:r>
      <w:r w:rsidR="00887798" w:rsidRPr="00326734">
        <w:rPr>
          <w:sz w:val="24"/>
          <w:szCs w:val="24"/>
        </w:rPr>
        <w:t>’</w:t>
      </w:r>
      <w:r w:rsidR="00F95B0C" w:rsidRPr="00326734">
        <w:rPr>
          <w:sz w:val="24"/>
          <w:szCs w:val="24"/>
        </w:rPr>
        <w:t>.</w:t>
      </w:r>
      <w:r w:rsidRPr="00326734">
        <w:rPr>
          <w:rFonts w:ascii="Calibri" w:eastAsia="Calibri" w:hAnsi="Calibri" w:cs="Times New Roman"/>
          <w:sz w:val="24"/>
          <w:szCs w:val="24"/>
        </w:rPr>
        <w:t xml:space="preserve"> </w:t>
      </w:r>
      <w:r w:rsidR="00F95B0C" w:rsidRPr="00326734">
        <w:rPr>
          <w:sz w:val="24"/>
          <w:szCs w:val="24"/>
        </w:rPr>
        <w:t xml:space="preserve">...  </w:t>
      </w:r>
    </w:p>
    <w:p w:rsidR="00415CA3" w:rsidRPr="00326734" w:rsidRDefault="00415CA3" w:rsidP="00F95B0C">
      <w:pPr>
        <w:spacing w:line="480" w:lineRule="auto"/>
        <w:ind w:left="720" w:firstLine="720"/>
        <w:rPr>
          <w:sz w:val="24"/>
          <w:szCs w:val="24"/>
        </w:rPr>
      </w:pPr>
      <w:r w:rsidRPr="00326734">
        <w:rPr>
          <w:rFonts w:ascii="Calibri" w:eastAsia="Calibri" w:hAnsi="Calibri" w:cs="Times New Roman"/>
          <w:sz w:val="24"/>
          <w:szCs w:val="24"/>
        </w:rPr>
        <w:t>So sadly</w:t>
      </w:r>
      <w:r w:rsidR="00F95B0C" w:rsidRPr="00326734">
        <w:rPr>
          <w:sz w:val="24"/>
          <w:szCs w:val="24"/>
        </w:rPr>
        <w:t>,</w:t>
      </w:r>
      <w:r w:rsidRPr="00326734">
        <w:rPr>
          <w:rFonts w:ascii="Calibri" w:eastAsia="Calibri" w:hAnsi="Calibri" w:cs="Times New Roman"/>
          <w:sz w:val="24"/>
          <w:szCs w:val="24"/>
        </w:rPr>
        <w:t xml:space="preserve"> after she gave great evidence</w:t>
      </w:r>
      <w:r w:rsidR="00F95B0C" w:rsidRPr="00326734">
        <w:rPr>
          <w:sz w:val="24"/>
          <w:szCs w:val="24"/>
        </w:rPr>
        <w:t>,</w:t>
      </w:r>
      <w:r w:rsidRPr="00326734">
        <w:rPr>
          <w:rFonts w:ascii="Calibri" w:eastAsia="Calibri" w:hAnsi="Calibri" w:cs="Times New Roman"/>
          <w:sz w:val="24"/>
          <w:szCs w:val="24"/>
        </w:rPr>
        <w:t xml:space="preserve"> I think I did a moderately good job.  I don’t think I did enough.  </w:t>
      </w:r>
      <w:r w:rsidR="00F95B0C" w:rsidRPr="00326734">
        <w:rPr>
          <w:sz w:val="24"/>
          <w:szCs w:val="24"/>
        </w:rPr>
        <w:t>...</w:t>
      </w:r>
      <w:r w:rsidR="00427012">
        <w:rPr>
          <w:rFonts w:ascii="Calibri" w:eastAsia="Calibri" w:hAnsi="Calibri" w:cs="Times New Roman"/>
          <w:sz w:val="24"/>
          <w:szCs w:val="24"/>
        </w:rPr>
        <w:t>b</w:t>
      </w:r>
      <w:r w:rsidRPr="00326734">
        <w:rPr>
          <w:rFonts w:ascii="Calibri" w:eastAsia="Calibri" w:hAnsi="Calibri" w:cs="Times New Roman"/>
          <w:sz w:val="24"/>
          <w:szCs w:val="24"/>
        </w:rPr>
        <w:t xml:space="preserve">ut </w:t>
      </w:r>
      <w:r w:rsidR="00F95B0C" w:rsidRPr="00326734">
        <w:rPr>
          <w:sz w:val="24"/>
          <w:szCs w:val="24"/>
        </w:rPr>
        <w:t>...</w:t>
      </w:r>
      <w:r w:rsidRPr="00326734">
        <w:rPr>
          <w:rFonts w:ascii="Calibri" w:eastAsia="Calibri" w:hAnsi="Calibri" w:cs="Times New Roman"/>
          <w:sz w:val="24"/>
          <w:szCs w:val="24"/>
        </w:rPr>
        <w:t xml:space="preserve"> it sets the boundaries for what you think about, particularly as a feminist.  You think this is just not fair, the legislation’s here.  It’s about my bravery in applying the law and being solid.</w:t>
      </w:r>
      <w:r w:rsidR="00887798" w:rsidRPr="00326734">
        <w:rPr>
          <w:sz w:val="24"/>
          <w:szCs w:val="24"/>
        </w:rPr>
        <w:t xml:space="preserve"> (Judge 18:</w:t>
      </w:r>
      <w:r w:rsidR="00F95B0C" w:rsidRPr="00326734">
        <w:rPr>
          <w:sz w:val="24"/>
          <w:szCs w:val="24"/>
        </w:rPr>
        <w:t xml:space="preserve"> Magistrates Court)</w:t>
      </w:r>
    </w:p>
    <w:p w:rsidR="002A0C6F" w:rsidRPr="00326734" w:rsidRDefault="002A0C6F" w:rsidP="00F95B0C">
      <w:pPr>
        <w:spacing w:line="480" w:lineRule="auto"/>
        <w:rPr>
          <w:sz w:val="24"/>
          <w:szCs w:val="24"/>
        </w:rPr>
      </w:pPr>
    </w:p>
    <w:p w:rsidR="00BE64B9" w:rsidRPr="00326734" w:rsidRDefault="00F95B0C" w:rsidP="00F66799">
      <w:pPr>
        <w:spacing w:line="480" w:lineRule="auto"/>
        <w:rPr>
          <w:sz w:val="24"/>
          <w:szCs w:val="24"/>
        </w:rPr>
      </w:pPr>
      <w:r w:rsidRPr="00326734">
        <w:rPr>
          <w:sz w:val="24"/>
          <w:szCs w:val="24"/>
        </w:rPr>
        <w:t>The notion of apply</w:t>
      </w:r>
      <w:r w:rsidR="00887798" w:rsidRPr="00326734">
        <w:rPr>
          <w:sz w:val="24"/>
          <w:szCs w:val="24"/>
        </w:rPr>
        <w:t>ing</w:t>
      </w:r>
      <w:r w:rsidRPr="00326734">
        <w:rPr>
          <w:sz w:val="24"/>
          <w:szCs w:val="24"/>
        </w:rPr>
        <w:t xml:space="preserve"> the law </w:t>
      </w:r>
      <w:r w:rsidR="00887798" w:rsidRPr="00326734">
        <w:rPr>
          <w:sz w:val="24"/>
          <w:szCs w:val="24"/>
        </w:rPr>
        <w:t xml:space="preserve">bravely </w:t>
      </w:r>
      <w:r w:rsidRPr="00326734">
        <w:rPr>
          <w:sz w:val="24"/>
          <w:szCs w:val="24"/>
        </w:rPr>
        <w:t xml:space="preserve">is not one </w:t>
      </w:r>
      <w:r w:rsidR="00FB11D6">
        <w:rPr>
          <w:sz w:val="24"/>
          <w:szCs w:val="24"/>
        </w:rPr>
        <w:t>which</w:t>
      </w:r>
      <w:r w:rsidR="002A0C6F" w:rsidRPr="00326734">
        <w:rPr>
          <w:sz w:val="24"/>
          <w:szCs w:val="24"/>
        </w:rPr>
        <w:t xml:space="preserve"> i</w:t>
      </w:r>
      <w:r w:rsidRPr="00326734">
        <w:rPr>
          <w:sz w:val="24"/>
          <w:szCs w:val="24"/>
        </w:rPr>
        <w:t xml:space="preserve">s often spoken about in our legal culture. Bravery is not on the Judicial Appointment Commission’s list of judicial </w:t>
      </w:r>
      <w:r w:rsidR="00314B04" w:rsidRPr="00326734">
        <w:rPr>
          <w:sz w:val="24"/>
          <w:szCs w:val="24"/>
        </w:rPr>
        <w:t>qualities and abilities</w:t>
      </w:r>
      <w:r w:rsidRPr="00326734">
        <w:rPr>
          <w:sz w:val="24"/>
          <w:szCs w:val="24"/>
        </w:rPr>
        <w:t>. Perhaps it ought to be.</w:t>
      </w:r>
      <w:r w:rsidR="002A0C6F" w:rsidRPr="00326734">
        <w:rPr>
          <w:sz w:val="24"/>
          <w:szCs w:val="24"/>
        </w:rPr>
        <w:t xml:space="preserve"> </w:t>
      </w:r>
    </w:p>
    <w:p w:rsidR="00535A98" w:rsidRPr="00326734" w:rsidRDefault="00535A98" w:rsidP="00F66799">
      <w:pPr>
        <w:spacing w:line="480" w:lineRule="auto"/>
        <w:rPr>
          <w:sz w:val="24"/>
          <w:szCs w:val="24"/>
        </w:rPr>
      </w:pPr>
    </w:p>
    <w:p w:rsidR="00535A98" w:rsidRPr="00326734" w:rsidRDefault="00535A98" w:rsidP="00F66799">
      <w:pPr>
        <w:spacing w:line="480" w:lineRule="auto"/>
        <w:rPr>
          <w:b/>
          <w:i/>
          <w:sz w:val="24"/>
          <w:szCs w:val="24"/>
        </w:rPr>
      </w:pPr>
      <w:r w:rsidRPr="00326734">
        <w:rPr>
          <w:b/>
          <w:i/>
          <w:sz w:val="24"/>
          <w:szCs w:val="24"/>
        </w:rPr>
        <w:lastRenderedPageBreak/>
        <w:t>Expectations</w:t>
      </w:r>
    </w:p>
    <w:p w:rsidR="00D746D6" w:rsidRPr="00326734" w:rsidRDefault="008C64FA" w:rsidP="008C64FA">
      <w:pPr>
        <w:spacing w:line="480" w:lineRule="auto"/>
        <w:rPr>
          <w:sz w:val="24"/>
          <w:szCs w:val="24"/>
        </w:rPr>
      </w:pPr>
      <w:r w:rsidRPr="00326734">
        <w:rPr>
          <w:sz w:val="24"/>
          <w:szCs w:val="24"/>
        </w:rPr>
        <w:t xml:space="preserve">A third factor which might influence when non-traditional judges may make a substantive difference </w:t>
      </w:r>
      <w:r w:rsidR="00A138F2" w:rsidRPr="00326734">
        <w:rPr>
          <w:sz w:val="24"/>
          <w:szCs w:val="24"/>
        </w:rPr>
        <w:t xml:space="preserve">in decision-making is </w:t>
      </w:r>
      <w:r w:rsidR="0041553A" w:rsidRPr="00326734">
        <w:rPr>
          <w:sz w:val="24"/>
          <w:szCs w:val="24"/>
        </w:rPr>
        <w:t xml:space="preserve">the expectations attaching to their role. We have seen how </w:t>
      </w:r>
      <w:r w:rsidR="00887798" w:rsidRPr="00326734">
        <w:rPr>
          <w:sz w:val="24"/>
          <w:szCs w:val="24"/>
        </w:rPr>
        <w:t>judicial ideology</w:t>
      </w:r>
      <w:r w:rsidR="0041553A" w:rsidRPr="00326734">
        <w:rPr>
          <w:sz w:val="24"/>
          <w:szCs w:val="24"/>
        </w:rPr>
        <w:t xml:space="preserve"> discourages performances of difference, but the situation could equally be reversed. For example, </w:t>
      </w:r>
      <w:r w:rsidR="00D746D6" w:rsidRPr="00326734">
        <w:rPr>
          <w:sz w:val="24"/>
          <w:szCs w:val="24"/>
        </w:rPr>
        <w:t xml:space="preserve">Ruth Cowan </w:t>
      </w:r>
      <w:r w:rsidR="0041553A" w:rsidRPr="00326734">
        <w:rPr>
          <w:sz w:val="24"/>
          <w:szCs w:val="24"/>
        </w:rPr>
        <w:t>has observed that</w:t>
      </w:r>
      <w:r w:rsidR="00D746D6" w:rsidRPr="00326734">
        <w:rPr>
          <w:sz w:val="24"/>
          <w:szCs w:val="24"/>
        </w:rPr>
        <w:t>:</w:t>
      </w:r>
    </w:p>
    <w:p w:rsidR="0041553A" w:rsidRPr="00326734" w:rsidRDefault="0041553A" w:rsidP="008C64FA">
      <w:pPr>
        <w:spacing w:line="480" w:lineRule="auto"/>
        <w:rPr>
          <w:sz w:val="24"/>
          <w:szCs w:val="24"/>
        </w:rPr>
      </w:pPr>
    </w:p>
    <w:p w:rsidR="00291E75" w:rsidRPr="00326734" w:rsidRDefault="00D746D6" w:rsidP="0041553A">
      <w:pPr>
        <w:spacing w:line="480" w:lineRule="auto"/>
        <w:ind w:left="720"/>
        <w:jc w:val="both"/>
        <w:rPr>
          <w:sz w:val="24"/>
          <w:szCs w:val="24"/>
        </w:rPr>
      </w:pPr>
      <w:r w:rsidRPr="00326734">
        <w:rPr>
          <w:sz w:val="24"/>
          <w:szCs w:val="24"/>
        </w:rPr>
        <w:t xml:space="preserve">In contrast to the assertions in the United States that </w:t>
      </w:r>
      <w:proofErr w:type="gramStart"/>
      <w:r w:rsidRPr="00326734">
        <w:rPr>
          <w:sz w:val="24"/>
          <w:szCs w:val="24"/>
        </w:rPr>
        <w:t>judges</w:t>
      </w:r>
      <w:proofErr w:type="gramEnd"/>
      <w:r w:rsidRPr="00326734">
        <w:rPr>
          <w:sz w:val="24"/>
          <w:szCs w:val="24"/>
        </w:rPr>
        <w:t xml:space="preserve"> function like baseball umpires, in South Africa a frequently expressed and undisputed justification for the appointment of those previously excluded by racism and sexism is precisely so that they would and should provide perspectives previously absent; that they would therefore be essential to advancing the Constitution’s promises. African, Coloured, Asian and women judges were and are expected to add value – they were and are expected to make a difference in the decisions rendered...</w:t>
      </w:r>
      <w:r w:rsidRPr="00326734">
        <w:rPr>
          <w:rStyle w:val="FootnoteReference"/>
          <w:sz w:val="24"/>
          <w:szCs w:val="24"/>
        </w:rPr>
        <w:footnoteReference w:id="88"/>
      </w:r>
    </w:p>
    <w:p w:rsidR="0041553A" w:rsidRPr="00326734" w:rsidRDefault="0041553A" w:rsidP="00D746D6">
      <w:pPr>
        <w:spacing w:line="480" w:lineRule="auto"/>
        <w:jc w:val="both"/>
        <w:rPr>
          <w:sz w:val="24"/>
          <w:szCs w:val="24"/>
        </w:rPr>
      </w:pPr>
    </w:p>
    <w:p w:rsidR="00612D47" w:rsidRPr="00326734" w:rsidRDefault="00887798" w:rsidP="00D746D6">
      <w:pPr>
        <w:spacing w:line="480" w:lineRule="auto"/>
        <w:jc w:val="both"/>
        <w:rPr>
          <w:sz w:val="24"/>
          <w:szCs w:val="24"/>
        </w:rPr>
      </w:pPr>
      <w:r w:rsidRPr="00326734">
        <w:rPr>
          <w:sz w:val="24"/>
          <w:szCs w:val="24"/>
        </w:rPr>
        <w:t>T</w:t>
      </w:r>
      <w:r w:rsidR="0041553A" w:rsidRPr="00326734">
        <w:rPr>
          <w:sz w:val="24"/>
          <w:szCs w:val="24"/>
        </w:rPr>
        <w:t xml:space="preserve">he same </w:t>
      </w:r>
      <w:r w:rsidRPr="00326734">
        <w:rPr>
          <w:sz w:val="24"/>
          <w:szCs w:val="24"/>
        </w:rPr>
        <w:t xml:space="preserve">could be said </w:t>
      </w:r>
      <w:r w:rsidR="0041553A" w:rsidRPr="00326734">
        <w:rPr>
          <w:sz w:val="24"/>
          <w:szCs w:val="24"/>
        </w:rPr>
        <w:t>about the feminist judgment projects, that they precisely reverse the usual expectations</w:t>
      </w:r>
      <w:r w:rsidRPr="00326734">
        <w:rPr>
          <w:sz w:val="24"/>
          <w:szCs w:val="24"/>
        </w:rPr>
        <w:t>, encouraging the provision of ‘perspectives previously absent’</w:t>
      </w:r>
      <w:r w:rsidR="0041553A" w:rsidRPr="00326734">
        <w:rPr>
          <w:sz w:val="24"/>
          <w:szCs w:val="24"/>
        </w:rPr>
        <w:t xml:space="preserve">. Such expectations may, indeed, mitigate (if not entirely obviate) the need for bravery on the part of </w:t>
      </w:r>
      <w:r w:rsidR="00A34EA6" w:rsidRPr="00326734">
        <w:rPr>
          <w:sz w:val="24"/>
          <w:szCs w:val="24"/>
        </w:rPr>
        <w:t xml:space="preserve">non-traditional judges in coming out as different and adding the </w:t>
      </w:r>
      <w:r w:rsidR="004721B3" w:rsidRPr="00326734">
        <w:rPr>
          <w:sz w:val="24"/>
          <w:szCs w:val="24"/>
        </w:rPr>
        <w:t xml:space="preserve">substantive </w:t>
      </w:r>
      <w:r w:rsidR="00A34EA6" w:rsidRPr="00326734">
        <w:rPr>
          <w:sz w:val="24"/>
          <w:szCs w:val="24"/>
        </w:rPr>
        <w:t>value</w:t>
      </w:r>
      <w:r w:rsidR="004721B3" w:rsidRPr="00326734">
        <w:rPr>
          <w:sz w:val="24"/>
          <w:szCs w:val="24"/>
        </w:rPr>
        <w:t xml:space="preserve"> of which they are capable at the points where it matters. Of course, as Rackley has argued, one would hope to get to a stage where we no longer</w:t>
      </w:r>
      <w:r w:rsidR="00427012">
        <w:rPr>
          <w:sz w:val="24"/>
          <w:szCs w:val="24"/>
        </w:rPr>
        <w:t xml:space="preserve"> think in terms of ‘difference’</w:t>
      </w:r>
      <w:r w:rsidR="004721B3" w:rsidRPr="00326734">
        <w:rPr>
          <w:sz w:val="24"/>
          <w:szCs w:val="24"/>
        </w:rPr>
        <w:t xml:space="preserve"> </w:t>
      </w:r>
      <w:r w:rsidRPr="00326734">
        <w:rPr>
          <w:sz w:val="24"/>
          <w:szCs w:val="24"/>
        </w:rPr>
        <w:t xml:space="preserve">from a ‘norm’, </w:t>
      </w:r>
      <w:r w:rsidR="004721B3" w:rsidRPr="00326734">
        <w:rPr>
          <w:sz w:val="24"/>
          <w:szCs w:val="24"/>
        </w:rPr>
        <w:t>but rather we just have diversity.</w:t>
      </w:r>
    </w:p>
    <w:p w:rsidR="00612D47" w:rsidRPr="00326734" w:rsidRDefault="00612D47" w:rsidP="00D746D6">
      <w:pPr>
        <w:spacing w:line="480" w:lineRule="auto"/>
        <w:jc w:val="both"/>
        <w:rPr>
          <w:sz w:val="24"/>
          <w:szCs w:val="24"/>
        </w:rPr>
      </w:pPr>
    </w:p>
    <w:p w:rsidR="00D746D6" w:rsidRPr="00326734" w:rsidRDefault="00612D47" w:rsidP="00D746D6">
      <w:pPr>
        <w:spacing w:line="480" w:lineRule="auto"/>
        <w:jc w:val="both"/>
        <w:rPr>
          <w:sz w:val="24"/>
          <w:szCs w:val="24"/>
        </w:rPr>
      </w:pPr>
      <w:r w:rsidRPr="00326734">
        <w:rPr>
          <w:b/>
          <w:sz w:val="24"/>
          <w:szCs w:val="24"/>
        </w:rPr>
        <w:t>Conclusion</w:t>
      </w:r>
      <w:r w:rsidR="004721B3" w:rsidRPr="00326734">
        <w:rPr>
          <w:sz w:val="24"/>
          <w:szCs w:val="24"/>
        </w:rPr>
        <w:t xml:space="preserve"> </w:t>
      </w:r>
    </w:p>
    <w:p w:rsidR="00C60C99" w:rsidRPr="00326734" w:rsidRDefault="00C67AA3" w:rsidP="00C67AA3">
      <w:pPr>
        <w:spacing w:line="480" w:lineRule="auto"/>
        <w:rPr>
          <w:sz w:val="24"/>
          <w:szCs w:val="24"/>
        </w:rPr>
      </w:pPr>
      <w:r w:rsidRPr="00326734">
        <w:rPr>
          <w:sz w:val="24"/>
          <w:szCs w:val="24"/>
        </w:rPr>
        <w:lastRenderedPageBreak/>
        <w:t xml:space="preserve">To conclude, </w:t>
      </w:r>
      <w:r w:rsidR="00427012">
        <w:rPr>
          <w:sz w:val="24"/>
          <w:szCs w:val="24"/>
        </w:rPr>
        <w:t>w</w:t>
      </w:r>
      <w:r w:rsidRPr="00326734">
        <w:rPr>
          <w:sz w:val="24"/>
          <w:szCs w:val="24"/>
        </w:rPr>
        <w:t xml:space="preserve">ill a more diverse judiciary necessarily or even possibly result in substantively different decision-making? The evidence suggests that this may but will not inevitably occur. </w:t>
      </w:r>
      <w:r w:rsidR="00BE7C41" w:rsidRPr="00326734">
        <w:rPr>
          <w:sz w:val="24"/>
          <w:szCs w:val="24"/>
        </w:rPr>
        <w:t xml:space="preserve">And it will only occur under certain conditions. Those conditions are a combination of opportunity (in terms of both subject matter and legal space), plus personal commitment and/or external encouragement. </w:t>
      </w:r>
      <w:r w:rsidR="00375896" w:rsidRPr="00326734">
        <w:rPr>
          <w:sz w:val="24"/>
          <w:szCs w:val="24"/>
        </w:rPr>
        <w:t xml:space="preserve">Opportunities for most judges </w:t>
      </w:r>
      <w:r w:rsidR="00A6618F" w:rsidRPr="00326734">
        <w:rPr>
          <w:sz w:val="24"/>
          <w:szCs w:val="24"/>
        </w:rPr>
        <w:t>are likely to</w:t>
      </w:r>
      <w:r w:rsidR="00375896" w:rsidRPr="00326734">
        <w:rPr>
          <w:sz w:val="24"/>
          <w:szCs w:val="24"/>
        </w:rPr>
        <w:t xml:space="preserve"> </w:t>
      </w:r>
      <w:r w:rsidR="0078460E" w:rsidRPr="00326734">
        <w:rPr>
          <w:sz w:val="24"/>
          <w:szCs w:val="24"/>
        </w:rPr>
        <w:t>occur</w:t>
      </w:r>
      <w:r w:rsidR="00375896" w:rsidRPr="00326734">
        <w:rPr>
          <w:sz w:val="24"/>
          <w:szCs w:val="24"/>
        </w:rPr>
        <w:t xml:space="preserve"> </w:t>
      </w:r>
      <w:r w:rsidR="00FB11D6">
        <w:rPr>
          <w:sz w:val="24"/>
          <w:szCs w:val="24"/>
        </w:rPr>
        <w:t>relatively infrequently</w:t>
      </w:r>
      <w:r w:rsidR="00375896" w:rsidRPr="00326734">
        <w:rPr>
          <w:sz w:val="24"/>
          <w:szCs w:val="24"/>
        </w:rPr>
        <w:t>. That is not, of course, a reason for soft-pedall</w:t>
      </w:r>
      <w:r w:rsidR="00887798" w:rsidRPr="00326734">
        <w:rPr>
          <w:sz w:val="24"/>
          <w:szCs w:val="24"/>
        </w:rPr>
        <w:t xml:space="preserve">ing on judicial diversity. As </w:t>
      </w:r>
      <w:r w:rsidR="00375896" w:rsidRPr="00326734">
        <w:rPr>
          <w:sz w:val="24"/>
          <w:szCs w:val="24"/>
        </w:rPr>
        <w:t xml:space="preserve">discussed at the </w:t>
      </w:r>
      <w:r w:rsidR="00887798" w:rsidRPr="00326734">
        <w:rPr>
          <w:sz w:val="24"/>
          <w:szCs w:val="24"/>
        </w:rPr>
        <w:t>outset</w:t>
      </w:r>
      <w:r w:rsidR="00375896" w:rsidRPr="00326734">
        <w:rPr>
          <w:sz w:val="24"/>
          <w:szCs w:val="24"/>
        </w:rPr>
        <w:t xml:space="preserve">, there are many other good reasons for having a more diverse judiciary – in terms of what the presence of non-traditional judges represents symbolically, how they manage their courtrooms, and the contributions they make behind the scenes and extra-judicially. </w:t>
      </w:r>
      <w:r w:rsidR="0078460E" w:rsidRPr="00326734">
        <w:rPr>
          <w:sz w:val="24"/>
          <w:szCs w:val="24"/>
        </w:rPr>
        <w:t xml:space="preserve">But </w:t>
      </w:r>
      <w:r w:rsidR="00704223">
        <w:rPr>
          <w:sz w:val="24"/>
          <w:szCs w:val="24"/>
        </w:rPr>
        <w:t xml:space="preserve">if we </w:t>
      </w:r>
      <w:r w:rsidR="00130CA6">
        <w:rPr>
          <w:sz w:val="24"/>
          <w:szCs w:val="24"/>
        </w:rPr>
        <w:t xml:space="preserve">want </w:t>
      </w:r>
      <w:bookmarkStart w:id="0" w:name="_GoBack"/>
      <w:bookmarkEnd w:id="0"/>
      <w:r w:rsidR="00704223">
        <w:rPr>
          <w:sz w:val="24"/>
          <w:szCs w:val="24"/>
        </w:rPr>
        <w:t xml:space="preserve">a more diverse judiciary to result in </w:t>
      </w:r>
      <w:r w:rsidR="00704223">
        <w:rPr>
          <w:sz w:val="24"/>
          <w:szCs w:val="24"/>
        </w:rPr>
        <w:t xml:space="preserve">fairer decision-making for </w:t>
      </w:r>
      <w:r w:rsidR="00704223">
        <w:rPr>
          <w:i/>
          <w:sz w:val="24"/>
          <w:szCs w:val="24"/>
        </w:rPr>
        <w:t xml:space="preserve">all </w:t>
      </w:r>
      <w:r w:rsidR="00704223">
        <w:rPr>
          <w:sz w:val="24"/>
          <w:szCs w:val="24"/>
        </w:rPr>
        <w:t>members of the commu</w:t>
      </w:r>
      <w:r w:rsidR="00704223">
        <w:rPr>
          <w:sz w:val="24"/>
          <w:szCs w:val="24"/>
        </w:rPr>
        <w:t>nity, to achieve ‘equal justice for all’,</w:t>
      </w:r>
      <w:r w:rsidR="00704223">
        <w:rPr>
          <w:rStyle w:val="FootnoteReference"/>
          <w:sz w:val="24"/>
          <w:szCs w:val="24"/>
        </w:rPr>
        <w:footnoteReference w:id="89"/>
      </w:r>
      <w:r w:rsidR="00704223">
        <w:rPr>
          <w:sz w:val="24"/>
          <w:szCs w:val="24"/>
        </w:rPr>
        <w:t xml:space="preserve"> the </w:t>
      </w:r>
      <w:r w:rsidR="0078460E" w:rsidRPr="00326734">
        <w:rPr>
          <w:sz w:val="24"/>
          <w:szCs w:val="24"/>
        </w:rPr>
        <w:t xml:space="preserve">opportunities </w:t>
      </w:r>
      <w:r w:rsidR="00704223">
        <w:rPr>
          <w:sz w:val="24"/>
          <w:szCs w:val="24"/>
        </w:rPr>
        <w:t xml:space="preserve">must be grasped when they </w:t>
      </w:r>
      <w:r w:rsidR="0078460E" w:rsidRPr="00326734">
        <w:rPr>
          <w:sz w:val="24"/>
          <w:szCs w:val="24"/>
        </w:rPr>
        <w:t>do arise</w:t>
      </w:r>
      <w:r w:rsidR="00704223">
        <w:rPr>
          <w:sz w:val="24"/>
          <w:szCs w:val="24"/>
        </w:rPr>
        <w:t>.</w:t>
      </w:r>
      <w:r w:rsidR="001552E8">
        <w:rPr>
          <w:sz w:val="24"/>
          <w:szCs w:val="24"/>
        </w:rPr>
        <w:t xml:space="preserve"> This will require </w:t>
      </w:r>
      <w:r w:rsidR="00A2101E">
        <w:rPr>
          <w:sz w:val="24"/>
          <w:szCs w:val="24"/>
        </w:rPr>
        <w:t>a shift</w:t>
      </w:r>
      <w:r w:rsidR="001552E8">
        <w:rPr>
          <w:sz w:val="24"/>
          <w:szCs w:val="24"/>
        </w:rPr>
        <w:t xml:space="preserve"> </w:t>
      </w:r>
      <w:r w:rsidR="00427012">
        <w:rPr>
          <w:sz w:val="24"/>
          <w:szCs w:val="24"/>
        </w:rPr>
        <w:t xml:space="preserve">from </w:t>
      </w:r>
      <w:r w:rsidR="00A6618F" w:rsidRPr="00326734">
        <w:rPr>
          <w:sz w:val="24"/>
          <w:szCs w:val="24"/>
        </w:rPr>
        <w:t>discourage</w:t>
      </w:r>
      <w:r w:rsidR="00427012">
        <w:rPr>
          <w:sz w:val="24"/>
          <w:szCs w:val="24"/>
        </w:rPr>
        <w:t xml:space="preserve">ment or at best toleration of </w:t>
      </w:r>
      <w:r w:rsidR="00A2101E">
        <w:rPr>
          <w:sz w:val="24"/>
          <w:szCs w:val="24"/>
        </w:rPr>
        <w:t xml:space="preserve">judicial </w:t>
      </w:r>
      <w:r w:rsidR="00427012">
        <w:rPr>
          <w:sz w:val="24"/>
          <w:szCs w:val="24"/>
        </w:rPr>
        <w:t xml:space="preserve">difference to </w:t>
      </w:r>
      <w:r w:rsidR="00A6618F" w:rsidRPr="00326734">
        <w:rPr>
          <w:sz w:val="24"/>
          <w:szCs w:val="24"/>
        </w:rPr>
        <w:t>positively support</w:t>
      </w:r>
      <w:r w:rsidR="00427012">
        <w:rPr>
          <w:sz w:val="24"/>
          <w:szCs w:val="24"/>
        </w:rPr>
        <w:t>ing and encouraging substantive diversity</w:t>
      </w:r>
      <w:r w:rsidR="001552E8">
        <w:rPr>
          <w:sz w:val="24"/>
          <w:szCs w:val="24"/>
        </w:rPr>
        <w:t>.</w:t>
      </w:r>
      <w:r w:rsidR="00A710DC">
        <w:rPr>
          <w:sz w:val="24"/>
          <w:szCs w:val="24"/>
        </w:rPr>
        <w:t xml:space="preserve"> </w:t>
      </w:r>
      <w:r w:rsidR="00BF6863">
        <w:rPr>
          <w:sz w:val="24"/>
          <w:szCs w:val="24"/>
        </w:rPr>
        <w:t xml:space="preserve">And </w:t>
      </w:r>
      <w:r w:rsidR="00A2101E">
        <w:rPr>
          <w:sz w:val="24"/>
          <w:szCs w:val="24"/>
        </w:rPr>
        <w:t xml:space="preserve">it will require the appointment of judges who </w:t>
      </w:r>
      <w:r w:rsidR="00BF6863">
        <w:rPr>
          <w:sz w:val="24"/>
          <w:szCs w:val="24"/>
        </w:rPr>
        <w:t>have the commitment and courage to make a difference</w:t>
      </w:r>
      <w:r w:rsidR="00E426CB" w:rsidRPr="00326734">
        <w:rPr>
          <w:sz w:val="24"/>
          <w:szCs w:val="24"/>
        </w:rPr>
        <w:t>.</w:t>
      </w:r>
      <w:r w:rsidR="001552E8">
        <w:rPr>
          <w:sz w:val="24"/>
          <w:szCs w:val="24"/>
        </w:rPr>
        <w:t xml:space="preserve"> </w:t>
      </w:r>
      <w:r w:rsidR="00BF6863">
        <w:rPr>
          <w:sz w:val="24"/>
          <w:szCs w:val="24"/>
        </w:rPr>
        <w:t xml:space="preserve">  </w:t>
      </w:r>
      <w:r w:rsidR="00E426CB" w:rsidRPr="00326734">
        <w:rPr>
          <w:sz w:val="24"/>
          <w:szCs w:val="24"/>
        </w:rPr>
        <w:t xml:space="preserve"> </w:t>
      </w:r>
    </w:p>
    <w:p w:rsidR="00D87838" w:rsidRPr="00D87838" w:rsidRDefault="00D87838" w:rsidP="00C67AA3">
      <w:pPr>
        <w:spacing w:line="480" w:lineRule="auto"/>
        <w:rPr>
          <w:b/>
          <w:sz w:val="24"/>
          <w:szCs w:val="24"/>
        </w:rPr>
      </w:pPr>
    </w:p>
    <w:sectPr w:rsidR="00D87838" w:rsidRPr="00D87838" w:rsidSect="004F509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EDE" w:rsidRDefault="00677EDE" w:rsidP="00C60C99">
      <w:pPr>
        <w:spacing w:line="240" w:lineRule="auto"/>
      </w:pPr>
      <w:r>
        <w:separator/>
      </w:r>
    </w:p>
  </w:endnote>
  <w:endnote w:type="continuationSeparator" w:id="0">
    <w:p w:rsidR="00677EDE" w:rsidRDefault="00677EDE" w:rsidP="00C60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EDE" w:rsidRDefault="00677EDE" w:rsidP="00C60C99">
      <w:pPr>
        <w:spacing w:line="240" w:lineRule="auto"/>
      </w:pPr>
      <w:r>
        <w:separator/>
      </w:r>
    </w:p>
  </w:footnote>
  <w:footnote w:type="continuationSeparator" w:id="0">
    <w:p w:rsidR="00677EDE" w:rsidRDefault="00677EDE" w:rsidP="00C60C99">
      <w:pPr>
        <w:spacing w:line="240" w:lineRule="auto"/>
      </w:pPr>
      <w:r>
        <w:continuationSeparator/>
      </w:r>
    </w:p>
  </w:footnote>
  <w:footnote w:id="1">
    <w:p w:rsidR="0039133A" w:rsidRDefault="0039133A" w:rsidP="00326734">
      <w:pPr>
        <w:pStyle w:val="FootnoteText"/>
        <w:spacing w:line="480" w:lineRule="auto"/>
      </w:pPr>
      <w:r>
        <w:rPr>
          <w:rStyle w:val="FootnoteReference"/>
        </w:rPr>
        <w:t>*</w:t>
      </w:r>
      <w:r>
        <w:t xml:space="preserve"> Professor of Law and Socio-Legal Studies, Queen Mary, University of London.</w:t>
      </w:r>
    </w:p>
  </w:footnote>
  <w:footnote w:id="2">
    <w:p w:rsidR="0039133A" w:rsidRPr="00E03620" w:rsidRDefault="0039133A" w:rsidP="00326734">
      <w:pPr>
        <w:pStyle w:val="FootnoteText"/>
        <w:spacing w:line="480" w:lineRule="auto"/>
      </w:pPr>
      <w:r>
        <w:rPr>
          <w:rStyle w:val="FootnoteReference"/>
        </w:rPr>
        <w:footnoteRef/>
      </w:r>
      <w:r>
        <w:t xml:space="preserve"> Constitutional Reform Act 2005. See </w:t>
      </w:r>
      <w:hyperlink r:id="rId1" w:history="1">
        <w:r w:rsidRPr="00552D8F">
          <w:rPr>
            <w:rStyle w:val="Hyperlink"/>
          </w:rPr>
          <w:t>http://jac.judiciary.gov.uk/</w:t>
        </w:r>
      </w:hyperlink>
      <w:r>
        <w:t xml:space="preserve">, and for extended discussion of changes to the appointment process, Erika Rackley, </w:t>
      </w:r>
      <w:r>
        <w:rPr>
          <w:i/>
        </w:rPr>
        <w:t>Women, Judging and the Judiciary: From Difference to Diversity</w:t>
      </w:r>
      <w:r>
        <w:t xml:space="preserve"> (Routledge 2013) </w:t>
      </w:r>
      <w:proofErr w:type="spellStart"/>
      <w:r>
        <w:t>ch</w:t>
      </w:r>
      <w:proofErr w:type="spellEnd"/>
      <w:r>
        <w:t xml:space="preserve"> 3.</w:t>
      </w:r>
    </w:p>
  </w:footnote>
  <w:footnote w:id="3">
    <w:p w:rsidR="0039133A" w:rsidRPr="00E03620" w:rsidRDefault="0039133A" w:rsidP="00326734">
      <w:pPr>
        <w:pStyle w:val="FootnoteText"/>
        <w:spacing w:line="480" w:lineRule="auto"/>
      </w:pPr>
      <w:r>
        <w:rPr>
          <w:rStyle w:val="FootnoteReference"/>
        </w:rPr>
        <w:footnoteRef/>
      </w:r>
      <w:r>
        <w:t xml:space="preserve"> Advisory Panel on Judicial Diversity, </w:t>
      </w:r>
      <w:proofErr w:type="gramStart"/>
      <w:r>
        <w:rPr>
          <w:i/>
        </w:rPr>
        <w:t>The</w:t>
      </w:r>
      <w:proofErr w:type="gramEnd"/>
      <w:r>
        <w:rPr>
          <w:i/>
        </w:rPr>
        <w:t xml:space="preserve"> Report of the Advisory Panel on Judicial Diversity 2010</w:t>
      </w:r>
      <w:r>
        <w:t xml:space="preserve"> (Ministry of Justice 2010).</w:t>
      </w:r>
    </w:p>
  </w:footnote>
  <w:footnote w:id="4">
    <w:p w:rsidR="0039133A" w:rsidRPr="00E03620" w:rsidRDefault="0039133A" w:rsidP="00326734">
      <w:pPr>
        <w:pStyle w:val="FootnoteText"/>
        <w:spacing w:line="480" w:lineRule="auto"/>
      </w:pPr>
      <w:r>
        <w:rPr>
          <w:rStyle w:val="FootnoteReference"/>
        </w:rPr>
        <w:footnoteRef/>
      </w:r>
      <w:r>
        <w:t xml:space="preserve"> Judicial Diversity Taskforce, </w:t>
      </w:r>
      <w:r>
        <w:rPr>
          <w:i/>
        </w:rPr>
        <w:t>Improving Judicial Diversity: Progress Towards the Delivery of the ‘Report of the Advisory Panel on Judicial Diversity 2010’</w:t>
      </w:r>
      <w:r>
        <w:t xml:space="preserve"> (Ministry of Justice 2011);</w:t>
      </w:r>
      <w:r w:rsidRPr="005A4CA1">
        <w:t xml:space="preserve"> </w:t>
      </w:r>
      <w:r>
        <w:t xml:space="preserve">Judicial Diversity Taskforce, </w:t>
      </w:r>
      <w:r>
        <w:rPr>
          <w:i/>
        </w:rPr>
        <w:t>Improving Judicial Diversity: Progress Towards the Delivery of the ‘Report of the Advisory Panel on Judicial Diversity 2010’</w:t>
      </w:r>
      <w:r>
        <w:t xml:space="preserve"> (Ministry of Justice 2012); Judicial Diversity Taskforce, </w:t>
      </w:r>
      <w:r>
        <w:rPr>
          <w:i/>
        </w:rPr>
        <w:t>Improving Judicial Diversity: Progress Towards the Delivery of the ‘Report of the Advisory Panel on Judicial Diversity 2010’</w:t>
      </w:r>
      <w:r>
        <w:t xml:space="preserve"> (Ministry of Justice 2013).</w:t>
      </w:r>
    </w:p>
  </w:footnote>
  <w:footnote w:id="5">
    <w:p w:rsidR="0039133A" w:rsidRDefault="0039133A" w:rsidP="00326734">
      <w:pPr>
        <w:pStyle w:val="FootnoteText"/>
        <w:spacing w:line="480" w:lineRule="auto"/>
      </w:pPr>
      <w:r>
        <w:rPr>
          <w:rStyle w:val="FootnoteReference"/>
        </w:rPr>
        <w:footnoteRef/>
      </w:r>
      <w:r>
        <w:t xml:space="preserve"> House of Lords Select Committee on the Constitution, </w:t>
      </w:r>
      <w:r>
        <w:rPr>
          <w:i/>
        </w:rPr>
        <w:t>Judicial Appointments</w:t>
      </w:r>
      <w:r>
        <w:t xml:space="preserve"> (HL 72, 2012). </w:t>
      </w:r>
    </w:p>
  </w:footnote>
  <w:footnote w:id="6">
    <w:p w:rsidR="0039133A" w:rsidRDefault="0039133A" w:rsidP="00326734">
      <w:pPr>
        <w:pStyle w:val="FootnoteText"/>
        <w:spacing w:line="480" w:lineRule="auto"/>
      </w:pPr>
      <w:r>
        <w:rPr>
          <w:rStyle w:val="FootnoteReference"/>
        </w:rPr>
        <w:footnoteRef/>
      </w:r>
      <w:r>
        <w:t xml:space="preserve"> Crime and Courts Act 2013, </w:t>
      </w:r>
      <w:proofErr w:type="spellStart"/>
      <w:r>
        <w:t>Sched</w:t>
      </w:r>
      <w:proofErr w:type="spellEnd"/>
      <w:r>
        <w:t xml:space="preserve"> 13, s 11, inserting </w:t>
      </w:r>
      <w:proofErr w:type="spellStart"/>
      <w:r>
        <w:t>new s</w:t>
      </w:r>
      <w:proofErr w:type="spellEnd"/>
      <w:r>
        <w:t xml:space="preserve"> 137A in the Constitutional Reform Act 2005. </w:t>
      </w:r>
    </w:p>
  </w:footnote>
  <w:footnote w:id="7">
    <w:p w:rsidR="0039133A" w:rsidRPr="00777B35" w:rsidRDefault="0039133A" w:rsidP="00326734">
      <w:pPr>
        <w:pStyle w:val="FootnoteText"/>
        <w:spacing w:line="480" w:lineRule="auto"/>
      </w:pPr>
      <w:r>
        <w:rPr>
          <w:rStyle w:val="FootnoteReference"/>
        </w:rPr>
        <w:footnoteRef/>
      </w:r>
      <w:r>
        <w:t xml:space="preserve"> Sir Geoffrey </w:t>
      </w:r>
      <w:proofErr w:type="spellStart"/>
      <w:r>
        <w:t>Bindman</w:t>
      </w:r>
      <w:proofErr w:type="spellEnd"/>
      <w:r>
        <w:t xml:space="preserve"> QC and Karon Monaghan QC, </w:t>
      </w:r>
      <w:r>
        <w:rPr>
          <w:i/>
        </w:rPr>
        <w:t>Judicial Diversity: Accelerating Change</w:t>
      </w:r>
      <w:r>
        <w:t xml:space="preserve"> (Labour Party 2014) 2.</w:t>
      </w:r>
    </w:p>
  </w:footnote>
  <w:footnote w:id="8">
    <w:p w:rsidR="0039133A" w:rsidRDefault="0039133A" w:rsidP="00326734">
      <w:pPr>
        <w:pStyle w:val="FootnoteText"/>
        <w:spacing w:line="480" w:lineRule="auto"/>
      </w:pPr>
      <w:r>
        <w:rPr>
          <w:rStyle w:val="FootnoteReference"/>
        </w:rPr>
        <w:footnoteRef/>
      </w:r>
      <w:r>
        <w:t xml:space="preserve"> BBC Radio 4, Law in Action, ‘The Neuberger Experiment’ (20 June 2013) </w:t>
      </w:r>
      <w:hyperlink r:id="rId2" w:history="1">
        <w:r w:rsidRPr="00552D8F">
          <w:rPr>
            <w:rStyle w:val="Hyperlink"/>
          </w:rPr>
          <w:t>http://www.bbc.co.uk/programmes/b02x7t3w</w:t>
        </w:r>
      </w:hyperlink>
      <w:r>
        <w:t xml:space="preserve"> accessed 21 November 2014.</w:t>
      </w:r>
    </w:p>
  </w:footnote>
  <w:footnote w:id="9">
    <w:p w:rsidR="00415D23" w:rsidRDefault="00415D23" w:rsidP="00415D23">
      <w:pPr>
        <w:pStyle w:val="FootnoteText"/>
        <w:spacing w:line="480" w:lineRule="auto"/>
      </w:pPr>
      <w:r>
        <w:rPr>
          <w:rStyle w:val="FootnoteReference"/>
        </w:rPr>
        <w:footnoteRef/>
      </w:r>
      <w:r>
        <w:t xml:space="preserve"> This, of course, did not represent a random sample of Court of Appeal judgments, since at the time there were only five women on the Court of Appeal. In order to achieve a reasonable representation of judgments by women, it was necessary to focus on areas where judgments by more than one woman were available, resulting in the choice of areas noted: ibid.</w:t>
      </w:r>
    </w:p>
  </w:footnote>
  <w:footnote w:id="10">
    <w:p w:rsidR="00415D23" w:rsidRDefault="00415D23" w:rsidP="00415D23">
      <w:pPr>
        <w:pStyle w:val="FootnoteText"/>
        <w:spacing w:line="480" w:lineRule="auto"/>
      </w:pPr>
      <w:r>
        <w:rPr>
          <w:rStyle w:val="FootnoteReference"/>
        </w:rPr>
        <w:footnoteRef/>
      </w:r>
      <w:r>
        <w:t xml:space="preserve"> Ibid. </w:t>
      </w:r>
    </w:p>
  </w:footnote>
  <w:footnote w:id="11">
    <w:p w:rsidR="004E4BD4" w:rsidRDefault="004E4BD4" w:rsidP="004E4BD4">
      <w:pPr>
        <w:pStyle w:val="FootnoteText"/>
        <w:spacing w:line="480" w:lineRule="auto"/>
      </w:pPr>
      <w:r>
        <w:rPr>
          <w:rStyle w:val="FootnoteReference"/>
        </w:rPr>
        <w:footnoteRef/>
      </w:r>
      <w:r>
        <w:t xml:space="preserve"> Ibid.</w:t>
      </w:r>
    </w:p>
  </w:footnote>
  <w:footnote w:id="12">
    <w:p w:rsidR="0039133A" w:rsidRDefault="0039133A" w:rsidP="00326734">
      <w:pPr>
        <w:pStyle w:val="FootnoteText"/>
        <w:spacing w:line="480" w:lineRule="auto"/>
      </w:pPr>
      <w:r>
        <w:rPr>
          <w:rStyle w:val="FootnoteReference"/>
        </w:rPr>
        <w:footnoteRef/>
      </w:r>
      <w:r>
        <w:t xml:space="preserve"> House of Lords Select Committee on the Constitution (n 4) 272.</w:t>
      </w:r>
    </w:p>
  </w:footnote>
  <w:footnote w:id="13">
    <w:p w:rsidR="0039133A" w:rsidRDefault="0039133A" w:rsidP="00326734">
      <w:pPr>
        <w:pStyle w:val="FootnoteText"/>
        <w:spacing w:line="480" w:lineRule="auto"/>
      </w:pPr>
      <w:r>
        <w:rPr>
          <w:rStyle w:val="FootnoteReference"/>
        </w:rPr>
        <w:footnoteRef/>
      </w:r>
      <w:r>
        <w:t xml:space="preserve"> Ibid.</w:t>
      </w:r>
    </w:p>
  </w:footnote>
  <w:footnote w:id="14">
    <w:p w:rsidR="0039133A" w:rsidRDefault="0039133A" w:rsidP="00326734">
      <w:pPr>
        <w:pStyle w:val="FootnoteText"/>
        <w:spacing w:line="480" w:lineRule="auto"/>
      </w:pPr>
      <w:r>
        <w:rPr>
          <w:rStyle w:val="FootnoteReference"/>
        </w:rPr>
        <w:footnoteRef/>
      </w:r>
      <w:r>
        <w:t xml:space="preserve"> </w:t>
      </w:r>
      <w:proofErr w:type="spellStart"/>
      <w:r>
        <w:t>Eg</w:t>
      </w:r>
      <w:proofErr w:type="spellEnd"/>
      <w:r>
        <w:t xml:space="preserve"> Barbara Luck Graham, ‘Judicial Recruitment and Racial Diversity on State Courts: An Overview’ (1990) 74 </w:t>
      </w:r>
      <w:r>
        <w:rPr>
          <w:i/>
        </w:rPr>
        <w:t>Judicature</w:t>
      </w:r>
      <w:r>
        <w:t xml:space="preserve"> 28; Susan Moloney Smith, ‘Diversifying the Judiciary: The Influence of Gender and Race on Judging’ (1994) 28 </w:t>
      </w:r>
      <w:r>
        <w:rPr>
          <w:i/>
        </w:rPr>
        <w:t xml:space="preserve">University of Richmond Law Review </w:t>
      </w:r>
      <w:r>
        <w:t xml:space="preserve">179; Linda Maria </w:t>
      </w:r>
      <w:proofErr w:type="spellStart"/>
      <w:r>
        <w:t>Wayner</w:t>
      </w:r>
      <w:proofErr w:type="spellEnd"/>
      <w:r>
        <w:t xml:space="preserve">, ‘The Affirmatively Hispanic Judge: Modern Opportunities for Increasing Hispanic Representation on the Federal Bench’ (2010) 16 </w:t>
      </w:r>
      <w:r>
        <w:rPr>
          <w:i/>
        </w:rPr>
        <w:t xml:space="preserve">Texas Wesleyan Law </w:t>
      </w:r>
      <w:r w:rsidRPr="00554404">
        <w:t>Review</w:t>
      </w:r>
      <w:r>
        <w:t xml:space="preserve"> 535; </w:t>
      </w:r>
      <w:r w:rsidRPr="00554404">
        <w:t>Pat</w:t>
      </w:r>
      <w:r>
        <w:t xml:space="preserve"> K Chew and Robert E Kelley, ‘The Realism of Race in Judicial Decision Making: An Empirical Analysis of Plaintiffs’ Race and Judges’ Race</w:t>
      </w:r>
      <w:r w:rsidR="00BE56C5">
        <w:t>’</w:t>
      </w:r>
      <w:r>
        <w:t xml:space="preserve"> (2012) 28 </w:t>
      </w:r>
      <w:r>
        <w:rPr>
          <w:i/>
        </w:rPr>
        <w:t>Harvard Journal of Race and Ethnic Justice</w:t>
      </w:r>
      <w:r>
        <w:t xml:space="preserve"> 91;  Leslie J Moran, ‘Judicial Diversity and the Challenge of Sexuality: Some Preliminary Findings’ (2006) 28 </w:t>
      </w:r>
      <w:r>
        <w:rPr>
          <w:i/>
        </w:rPr>
        <w:t xml:space="preserve">Sydney Law Review </w:t>
      </w:r>
      <w:r>
        <w:t xml:space="preserve">565; Leslie J Moran, ‘Sexual Diversity in the Judiciary in England and Wales: Research on Barriers to Judicial Careers’ (2013) </w:t>
      </w:r>
      <w:r>
        <w:rPr>
          <w:i/>
        </w:rPr>
        <w:t>Laws</w:t>
      </w:r>
      <w:r w:rsidR="00BE56C5">
        <w:t xml:space="preserve"> 2(4) 512</w:t>
      </w:r>
      <w:r>
        <w:t>.</w:t>
      </w:r>
    </w:p>
  </w:footnote>
  <w:footnote w:id="15">
    <w:p w:rsidR="002F66A3" w:rsidRPr="002F66A3" w:rsidRDefault="002F66A3" w:rsidP="002F66A3">
      <w:pPr>
        <w:pStyle w:val="FootnoteText"/>
        <w:spacing w:line="480" w:lineRule="auto"/>
      </w:pPr>
      <w:r>
        <w:rPr>
          <w:rStyle w:val="FootnoteReference"/>
        </w:rPr>
        <w:footnoteRef/>
      </w:r>
      <w:r>
        <w:t xml:space="preserve"> Aside from numerous journal articles, see recent book-length studies by Erika Rackley (n 1) and Sally J Kenney, </w:t>
      </w:r>
      <w:r>
        <w:rPr>
          <w:i/>
        </w:rPr>
        <w:t>Gender and Justice: Why Women in the Judiciary Really Matter</w:t>
      </w:r>
      <w:r>
        <w:t xml:space="preserve"> (Routledge 2013); and the collection edited by Ulrike Schultz and Gisela Shaw, </w:t>
      </w:r>
      <w:r>
        <w:rPr>
          <w:i/>
        </w:rPr>
        <w:t>Gender and Judging</w:t>
      </w:r>
      <w:r>
        <w:t xml:space="preserve"> (Hart Publishing 2013).</w:t>
      </w:r>
    </w:p>
  </w:footnote>
  <w:footnote w:id="16">
    <w:p w:rsidR="0039133A" w:rsidRPr="005625D3" w:rsidRDefault="0039133A" w:rsidP="00326734">
      <w:pPr>
        <w:pStyle w:val="FootnoteText"/>
        <w:spacing w:line="480" w:lineRule="auto"/>
      </w:pPr>
      <w:r>
        <w:rPr>
          <w:rStyle w:val="FootnoteReference"/>
        </w:rPr>
        <w:footnoteRef/>
      </w:r>
      <w:r>
        <w:t xml:space="preserve"> Madam Justice Bertha Wilson, ‘Will Women Judges Really Make a Difference?’ (1990) 28 </w:t>
      </w:r>
      <w:proofErr w:type="spellStart"/>
      <w:r>
        <w:rPr>
          <w:i/>
        </w:rPr>
        <w:t>Osgoode</w:t>
      </w:r>
      <w:proofErr w:type="spellEnd"/>
      <w:r>
        <w:rPr>
          <w:i/>
        </w:rPr>
        <w:t xml:space="preserve"> Hall Law Journal</w:t>
      </w:r>
      <w:r>
        <w:t xml:space="preserve"> 507.</w:t>
      </w:r>
    </w:p>
  </w:footnote>
  <w:footnote w:id="17">
    <w:p w:rsidR="0039133A" w:rsidRPr="00BE3703" w:rsidRDefault="0039133A" w:rsidP="00326734">
      <w:pPr>
        <w:pStyle w:val="FootnoteText"/>
        <w:spacing w:line="480" w:lineRule="auto"/>
      </w:pPr>
      <w:r>
        <w:rPr>
          <w:rStyle w:val="FootnoteReference"/>
        </w:rPr>
        <w:footnoteRef/>
      </w:r>
      <w:r>
        <w:t xml:space="preserve"> This was the argument accepted and promoted by the House of Lords Constitution Committee (n 4). See also Kenney</w:t>
      </w:r>
      <w:r w:rsidR="002F66A3">
        <w:t xml:space="preserve"> </w:t>
      </w:r>
      <w:r>
        <w:t>(</w:t>
      </w:r>
      <w:r w:rsidR="002F66A3">
        <w:t>n 14</w:t>
      </w:r>
      <w:r>
        <w:t>);</w:t>
      </w:r>
      <w:r>
        <w:rPr>
          <w:i/>
        </w:rPr>
        <w:t xml:space="preserve"> </w:t>
      </w:r>
      <w:r>
        <w:t xml:space="preserve">Kate Malleson, ‘Justifying Gender Equality on the Bench: Why Difference Won’t Do’ (2003) 11 </w:t>
      </w:r>
      <w:r>
        <w:rPr>
          <w:i/>
        </w:rPr>
        <w:t>Feminist Legal Studies</w:t>
      </w:r>
      <w:r>
        <w:t xml:space="preserve"> 1.</w:t>
      </w:r>
    </w:p>
  </w:footnote>
  <w:footnote w:id="18">
    <w:p w:rsidR="0039133A" w:rsidRDefault="0039133A" w:rsidP="00326734">
      <w:pPr>
        <w:pStyle w:val="FootnoteText"/>
        <w:spacing w:line="480" w:lineRule="auto"/>
      </w:pPr>
      <w:r>
        <w:rPr>
          <w:rStyle w:val="FootnoteReference"/>
        </w:rPr>
        <w:footnoteRef/>
      </w:r>
      <w:r>
        <w:t xml:space="preserve"> See </w:t>
      </w:r>
      <w:hyperlink r:id="rId3" w:history="1">
        <w:r w:rsidRPr="00552D8F">
          <w:rPr>
            <w:rStyle w:val="Hyperlink"/>
          </w:rPr>
          <w:t>http://www.law.qmul.ac.uk/eji/</w:t>
        </w:r>
      </w:hyperlink>
      <w:r>
        <w:t xml:space="preserve">. </w:t>
      </w:r>
    </w:p>
  </w:footnote>
  <w:footnote w:id="19">
    <w:p w:rsidR="0039133A" w:rsidRPr="00635616" w:rsidRDefault="0039133A" w:rsidP="00326734">
      <w:pPr>
        <w:pStyle w:val="FootnoteText"/>
        <w:spacing w:line="480" w:lineRule="auto"/>
      </w:pPr>
      <w:r>
        <w:rPr>
          <w:rStyle w:val="FootnoteReference"/>
        </w:rPr>
        <w:footnoteRef/>
      </w:r>
      <w:r>
        <w:t xml:space="preserve"> See, </w:t>
      </w:r>
      <w:proofErr w:type="spellStart"/>
      <w:r>
        <w:t>eg</w:t>
      </w:r>
      <w:proofErr w:type="spellEnd"/>
      <w:r>
        <w:t xml:space="preserve">, Brenda Hale, ‘Equality and the Judiciary: Why Should We Want More Women Judges?’ [2001] </w:t>
      </w:r>
      <w:r>
        <w:rPr>
          <w:i/>
        </w:rPr>
        <w:t>Public Law</w:t>
      </w:r>
      <w:r>
        <w:t xml:space="preserve"> 489. This is als</w:t>
      </w:r>
      <w:r w:rsidR="00BE56C5">
        <w:t>o part of Kenny’s argument (n 14</w:t>
      </w:r>
      <w:r>
        <w:t>).</w:t>
      </w:r>
    </w:p>
  </w:footnote>
  <w:footnote w:id="20">
    <w:p w:rsidR="0039133A" w:rsidRPr="00635616" w:rsidRDefault="0039133A" w:rsidP="00326734">
      <w:pPr>
        <w:pStyle w:val="FootnoteText"/>
        <w:spacing w:line="480" w:lineRule="auto"/>
      </w:pPr>
      <w:r>
        <w:rPr>
          <w:rStyle w:val="FootnoteReference"/>
        </w:rPr>
        <w:footnoteRef/>
      </w:r>
      <w:r>
        <w:t xml:space="preserve"> This proposition is often expressed in the negative, i</w:t>
      </w:r>
      <w:r w:rsidR="00BE56C5">
        <w:t>.</w:t>
      </w:r>
      <w:r>
        <w:t>e</w:t>
      </w:r>
      <w:r w:rsidR="00BE56C5">
        <w:t>.</w:t>
      </w:r>
      <w:r>
        <w:t xml:space="preserve"> that the absence of senior women judges discourages women in the legal profession from considering judicial office as a viable career option. See, </w:t>
      </w:r>
      <w:proofErr w:type="spellStart"/>
      <w:r>
        <w:t>eg</w:t>
      </w:r>
      <w:proofErr w:type="spellEnd"/>
      <w:r>
        <w:t xml:space="preserve">, Hazel </w:t>
      </w:r>
      <w:proofErr w:type="spellStart"/>
      <w:r>
        <w:t>Genn</w:t>
      </w:r>
      <w:proofErr w:type="spellEnd"/>
      <w:r>
        <w:t xml:space="preserve">, </w:t>
      </w:r>
      <w:r>
        <w:rPr>
          <w:i/>
        </w:rPr>
        <w:t>The Attractiveness of Senior Judicial Appointment to Highly Qualified Practitioners: Report to the Judicial Executive Board</w:t>
      </w:r>
      <w:r>
        <w:t xml:space="preserve"> (Judicial Office for England and Wales 2008). For a positive version, see Ruth Cowan, ‘Do Women in South Africa’s Courts Make a Difference?’ in Ulrike Schultz and Gisela Shaw (</w:t>
      </w:r>
      <w:proofErr w:type="spellStart"/>
      <w:r>
        <w:t>eds</w:t>
      </w:r>
      <w:proofErr w:type="spellEnd"/>
      <w:r>
        <w:t xml:space="preserve">), </w:t>
      </w:r>
      <w:r>
        <w:rPr>
          <w:i/>
        </w:rPr>
        <w:t>Gender and Judging</w:t>
      </w:r>
      <w:r>
        <w:t xml:space="preserve"> (Hart Publishing 2013) 321; </w:t>
      </w:r>
      <w:proofErr w:type="spellStart"/>
      <w:r>
        <w:t>Eliane</w:t>
      </w:r>
      <w:proofErr w:type="spellEnd"/>
      <w:r>
        <w:t xml:space="preserve"> B </w:t>
      </w:r>
      <w:proofErr w:type="spellStart"/>
      <w:r>
        <w:t>Junqueira</w:t>
      </w:r>
      <w:proofErr w:type="spellEnd"/>
      <w:r>
        <w:t>, ‘Women in the Judiciary: A Perspective from Brazil’ in Ulrike Schultz and Gisela Shaw (</w:t>
      </w:r>
      <w:proofErr w:type="spellStart"/>
      <w:r>
        <w:t>eds</w:t>
      </w:r>
      <w:proofErr w:type="spellEnd"/>
      <w:r>
        <w:t xml:space="preserve">), </w:t>
      </w:r>
      <w:r>
        <w:rPr>
          <w:i/>
        </w:rPr>
        <w:t>Women in the World’s Legal Professions</w:t>
      </w:r>
      <w:r>
        <w:t xml:space="preserve"> (Hart Publishing 2003) 445.</w:t>
      </w:r>
    </w:p>
  </w:footnote>
  <w:footnote w:id="21">
    <w:p w:rsidR="0039133A" w:rsidRPr="006226AF" w:rsidRDefault="0039133A" w:rsidP="00326734">
      <w:pPr>
        <w:pStyle w:val="FootnoteText"/>
        <w:spacing w:line="480" w:lineRule="auto"/>
      </w:pPr>
      <w:r>
        <w:rPr>
          <w:rStyle w:val="FootnoteReference"/>
        </w:rPr>
        <w:footnoteRef/>
      </w:r>
      <w:r>
        <w:t xml:space="preserve"> See, </w:t>
      </w:r>
      <w:proofErr w:type="spellStart"/>
      <w:r>
        <w:t>eg</w:t>
      </w:r>
      <w:proofErr w:type="spellEnd"/>
      <w:r>
        <w:t xml:space="preserve">, Brenda Hale, ‘A Minority Opinion?’ (2008) 154 </w:t>
      </w:r>
      <w:r>
        <w:rPr>
          <w:i/>
        </w:rPr>
        <w:t>Proceedings of the British Academy</w:t>
      </w:r>
      <w:r>
        <w:t xml:space="preserve"> 319; Judith </w:t>
      </w:r>
      <w:proofErr w:type="spellStart"/>
      <w:r>
        <w:t>Resnik</w:t>
      </w:r>
      <w:proofErr w:type="spellEnd"/>
      <w:r>
        <w:t xml:space="preserve">, ‘On the Bias: Reconsideration of the Aspirations for our Judges’ (1988) 61 </w:t>
      </w:r>
      <w:r>
        <w:rPr>
          <w:i/>
        </w:rPr>
        <w:t>Southern California Law Review</w:t>
      </w:r>
      <w:r>
        <w:t xml:space="preserve"> 1877; Jason Schultz, ‘Can Women Judges Help Make Civil Sexual Assault Trials More Therapeutic?’ (2001) 16 </w:t>
      </w:r>
      <w:r>
        <w:rPr>
          <w:i/>
        </w:rPr>
        <w:t>Wisconsin Women’s Law Journal</w:t>
      </w:r>
      <w:r>
        <w:t xml:space="preserve"> 53.</w:t>
      </w:r>
    </w:p>
  </w:footnote>
  <w:footnote w:id="22">
    <w:p w:rsidR="0039133A" w:rsidRPr="00A94A8A" w:rsidRDefault="0039133A" w:rsidP="00326734">
      <w:pPr>
        <w:pStyle w:val="FootnoteText"/>
        <w:spacing w:line="480" w:lineRule="auto"/>
      </w:pPr>
      <w:r>
        <w:rPr>
          <w:rStyle w:val="FootnoteReference"/>
        </w:rPr>
        <w:footnoteRef/>
      </w:r>
      <w:r>
        <w:t xml:space="preserve"> See, </w:t>
      </w:r>
      <w:proofErr w:type="spellStart"/>
      <w:r>
        <w:t>eg</w:t>
      </w:r>
      <w:proofErr w:type="spellEnd"/>
      <w:r>
        <w:t xml:space="preserve">, Brenda Hale and Rosemary Hunter, ‘A Conversation with Baroness Hale’ (2008) 16 </w:t>
      </w:r>
      <w:r>
        <w:rPr>
          <w:i/>
        </w:rPr>
        <w:t>Feminist Legal Studies</w:t>
      </w:r>
      <w:r>
        <w:t xml:space="preserve"> 237; Elaine Martin, ‘The Representative Role of Women Judges’ (1993) 77 </w:t>
      </w:r>
      <w:r>
        <w:rPr>
          <w:i/>
        </w:rPr>
        <w:t>Judicature</w:t>
      </w:r>
      <w:r>
        <w:t xml:space="preserve"> 166; Mary M Schroeder, ‘Judging With a Difference’ (2002) 14 </w:t>
      </w:r>
      <w:r>
        <w:rPr>
          <w:i/>
        </w:rPr>
        <w:t>Yale Journal of Law and Feminism</w:t>
      </w:r>
      <w:r>
        <w:t xml:space="preserve"> 255.</w:t>
      </w:r>
    </w:p>
  </w:footnote>
  <w:footnote w:id="23">
    <w:p w:rsidR="0039133A" w:rsidRPr="00A94A8A" w:rsidRDefault="0039133A" w:rsidP="00326734">
      <w:pPr>
        <w:pStyle w:val="FootnoteText"/>
        <w:spacing w:line="480" w:lineRule="auto"/>
      </w:pPr>
      <w:r>
        <w:rPr>
          <w:rStyle w:val="FootnoteReference"/>
        </w:rPr>
        <w:footnoteRef/>
      </w:r>
      <w:r>
        <w:t xml:space="preserve"> See, </w:t>
      </w:r>
      <w:proofErr w:type="spellStart"/>
      <w:r>
        <w:t>eg</w:t>
      </w:r>
      <w:proofErr w:type="spellEnd"/>
      <w:r>
        <w:t xml:space="preserve">, Shirley S Abrahamson, ‘Do Women Judges Really Make a Difference? The American Experience’ in Shimon </w:t>
      </w:r>
      <w:proofErr w:type="spellStart"/>
      <w:r>
        <w:t>Shetreet</w:t>
      </w:r>
      <w:proofErr w:type="spellEnd"/>
      <w:r>
        <w:t xml:space="preserve"> (</w:t>
      </w:r>
      <w:proofErr w:type="spellStart"/>
      <w:proofErr w:type="gramStart"/>
      <w:r>
        <w:t>ed</w:t>
      </w:r>
      <w:proofErr w:type="spellEnd"/>
      <w:proofErr w:type="gramEnd"/>
      <w:r>
        <w:t xml:space="preserve">), </w:t>
      </w:r>
      <w:r>
        <w:rPr>
          <w:i/>
        </w:rPr>
        <w:t>Women in Law</w:t>
      </w:r>
      <w:r>
        <w:t xml:space="preserve"> (Kluwer 1998); Terence </w:t>
      </w:r>
      <w:proofErr w:type="spellStart"/>
      <w:r>
        <w:t>Etherton</w:t>
      </w:r>
      <w:proofErr w:type="spellEnd"/>
      <w:r>
        <w:t xml:space="preserve">, ‘Liberty, the Archetype and Diversity: A Philosophy of Judging’ [2010] </w:t>
      </w:r>
      <w:r>
        <w:rPr>
          <w:i/>
        </w:rPr>
        <w:t>Public Law</w:t>
      </w:r>
      <w:r>
        <w:t xml:space="preserve"> 727; Brenda Hale, ‘Making a Difference? Why We Need a More Diverse Judiciary’ (2005) 56 </w:t>
      </w:r>
      <w:r>
        <w:rPr>
          <w:i/>
        </w:rPr>
        <w:t>Northern Ireland Legal Quarterly</w:t>
      </w:r>
      <w:r>
        <w:t xml:space="preserve"> 281; Hale and Hunter, ibid; </w:t>
      </w:r>
      <w:r w:rsidR="00BE56C5">
        <w:t xml:space="preserve">Rackley (n 1) </w:t>
      </w:r>
      <w:proofErr w:type="spellStart"/>
      <w:r w:rsidR="00BE56C5">
        <w:t>ch</w:t>
      </w:r>
      <w:proofErr w:type="spellEnd"/>
      <w:r w:rsidR="00BE56C5">
        <w:t xml:space="preserve"> 6; Wilson (n 15</w:t>
      </w:r>
      <w:r>
        <w:t>).</w:t>
      </w:r>
    </w:p>
  </w:footnote>
  <w:footnote w:id="24">
    <w:p w:rsidR="0039133A" w:rsidRPr="00A94A8A" w:rsidRDefault="0039133A" w:rsidP="00326734">
      <w:pPr>
        <w:pStyle w:val="FootnoteText"/>
        <w:spacing w:line="480" w:lineRule="auto"/>
      </w:pPr>
      <w:r>
        <w:rPr>
          <w:rStyle w:val="FootnoteReference"/>
        </w:rPr>
        <w:footnoteRef/>
      </w:r>
      <w:r>
        <w:t xml:space="preserve"> Penny </w:t>
      </w:r>
      <w:proofErr w:type="spellStart"/>
      <w:r>
        <w:t>Darbyshire</w:t>
      </w:r>
      <w:proofErr w:type="spellEnd"/>
      <w:r>
        <w:t xml:space="preserve">, </w:t>
      </w:r>
      <w:r>
        <w:rPr>
          <w:i/>
        </w:rPr>
        <w:t>Sitting in Judgment: The Working Lives of Judges</w:t>
      </w:r>
      <w:r>
        <w:t xml:space="preserve"> (Hart Publishing 2012) </w:t>
      </w:r>
      <w:r w:rsidRPr="0092693A">
        <w:t>237</w:t>
      </w:r>
      <w:r>
        <w:t xml:space="preserve">. </w:t>
      </w:r>
      <w:proofErr w:type="spellStart"/>
      <w:r>
        <w:t>Darbyshire’s</w:t>
      </w:r>
      <w:proofErr w:type="spellEnd"/>
      <w:r>
        <w:t xml:space="preserve"> research method</w:t>
      </w:r>
      <w:r w:rsidR="00F2001B">
        <w:t>s include</w:t>
      </w:r>
      <w:r>
        <w:t xml:space="preserve">d ‘shadowing’ judges, </w:t>
      </w:r>
      <w:r w:rsidR="00F2001B">
        <w:t>s</w:t>
      </w:r>
      <w:r>
        <w:t>itting with them on the bench and discussing their cases.</w:t>
      </w:r>
    </w:p>
  </w:footnote>
  <w:footnote w:id="25">
    <w:p w:rsidR="0039133A" w:rsidRPr="00CD7DAB" w:rsidRDefault="0039133A" w:rsidP="00326734">
      <w:pPr>
        <w:pStyle w:val="FootnoteText"/>
        <w:spacing w:line="480" w:lineRule="auto"/>
      </w:pPr>
      <w:r>
        <w:rPr>
          <w:rStyle w:val="FootnoteReference"/>
        </w:rPr>
        <w:footnoteRef/>
      </w:r>
      <w:r>
        <w:t xml:space="preserve"> See Rackley (n 1) 164.</w:t>
      </w:r>
    </w:p>
  </w:footnote>
  <w:footnote w:id="26">
    <w:p w:rsidR="0039133A" w:rsidRPr="00E64D0C" w:rsidRDefault="0039133A" w:rsidP="00326734">
      <w:pPr>
        <w:pStyle w:val="FootnoteText"/>
        <w:spacing w:line="480" w:lineRule="auto"/>
      </w:pPr>
      <w:r>
        <w:rPr>
          <w:rStyle w:val="FootnoteReference"/>
        </w:rPr>
        <w:footnoteRef/>
      </w:r>
      <w:r>
        <w:t xml:space="preserve"> See, </w:t>
      </w:r>
      <w:proofErr w:type="spellStart"/>
      <w:r>
        <w:t>eg</w:t>
      </w:r>
      <w:proofErr w:type="spellEnd"/>
      <w:r>
        <w:t xml:space="preserve">, Sue Davis, ‘Do Women Judges Speak “In a Different Voice?” Carol Gilligan, Feminist Legal Theory and the Ninth Circuit’ (1993) 8 </w:t>
      </w:r>
      <w:r>
        <w:rPr>
          <w:i/>
        </w:rPr>
        <w:t>Wisconsin Women’s Law Journal</w:t>
      </w:r>
      <w:r>
        <w:t xml:space="preserve"> 143; Carrie </w:t>
      </w:r>
      <w:proofErr w:type="spellStart"/>
      <w:r>
        <w:t>Menkel</w:t>
      </w:r>
      <w:proofErr w:type="spellEnd"/>
      <w:r>
        <w:t xml:space="preserve">-Meadow, ‘The Comparative Sociology of Women Lawyers: The “Feminization” of the Legal Profession’ (1986) 24 </w:t>
      </w:r>
      <w:proofErr w:type="spellStart"/>
      <w:r>
        <w:rPr>
          <w:i/>
        </w:rPr>
        <w:t>Osgoode</w:t>
      </w:r>
      <w:proofErr w:type="spellEnd"/>
      <w:r>
        <w:rPr>
          <w:i/>
        </w:rPr>
        <w:t xml:space="preserve"> Hall Law Journal</w:t>
      </w:r>
      <w:r w:rsidR="00776C8F">
        <w:t xml:space="preserve"> 897; Susanna Sherry, ‘Civic Virtue and the Feminine Voice in Constitutional Adjudication’ (1986) 72 </w:t>
      </w:r>
      <w:r w:rsidR="00776C8F">
        <w:rPr>
          <w:i/>
        </w:rPr>
        <w:t xml:space="preserve">Virginia Law Review </w:t>
      </w:r>
      <w:r w:rsidR="00776C8F">
        <w:t>543; Wilson (n 15</w:t>
      </w:r>
      <w:r>
        <w:t>).</w:t>
      </w:r>
    </w:p>
  </w:footnote>
  <w:footnote w:id="27">
    <w:p w:rsidR="0039133A" w:rsidRPr="004B2FAB" w:rsidRDefault="0039133A" w:rsidP="00326734">
      <w:pPr>
        <w:pStyle w:val="FootnoteText"/>
        <w:spacing w:line="480" w:lineRule="auto"/>
      </w:pPr>
      <w:r>
        <w:rPr>
          <w:rStyle w:val="FootnoteReference"/>
        </w:rPr>
        <w:footnoteRef/>
      </w:r>
      <w:r>
        <w:t xml:space="preserve"> Carol Gilligan, </w:t>
      </w:r>
      <w:r>
        <w:rPr>
          <w:i/>
        </w:rPr>
        <w:t xml:space="preserve">In a Different Voice </w:t>
      </w:r>
      <w:r>
        <w:t xml:space="preserve">(Harvard University Press 1982). See also, </w:t>
      </w:r>
      <w:proofErr w:type="spellStart"/>
      <w:r>
        <w:t>eg</w:t>
      </w:r>
      <w:proofErr w:type="spellEnd"/>
      <w:r>
        <w:t xml:space="preserve">, Ellen C Du Bois et al, ‘Feminist Discourse, Moral Values and the Law: A Conversation’ (1985) 34 </w:t>
      </w:r>
      <w:r>
        <w:rPr>
          <w:i/>
        </w:rPr>
        <w:t>Buffalo Law Review</w:t>
      </w:r>
      <w:r>
        <w:t xml:space="preserve"> 11; Robin West, ‘Jurisprudence and Gender’ (1988) 55 </w:t>
      </w:r>
      <w:r>
        <w:rPr>
          <w:i/>
        </w:rPr>
        <w:t>University of Chicago Law Review</w:t>
      </w:r>
      <w:r>
        <w:t xml:space="preserve"> 1.</w:t>
      </w:r>
    </w:p>
  </w:footnote>
  <w:footnote w:id="28">
    <w:p w:rsidR="0039133A" w:rsidRDefault="0039133A" w:rsidP="00326734">
      <w:pPr>
        <w:pStyle w:val="FootnoteText"/>
        <w:spacing w:line="480" w:lineRule="auto"/>
      </w:pPr>
      <w:r>
        <w:rPr>
          <w:rStyle w:val="FootnoteReference"/>
        </w:rPr>
        <w:footnoteRef/>
      </w:r>
      <w:r>
        <w:t xml:space="preserve"> See, </w:t>
      </w:r>
      <w:proofErr w:type="spellStart"/>
      <w:r>
        <w:t>eg</w:t>
      </w:r>
      <w:proofErr w:type="spellEnd"/>
      <w:r>
        <w:t xml:space="preserve">, Rosemary Hunter, ‘Deconstructing the Subjects of Feminism: The Essentialism Debate in Feminist Theory and Practice’ (1996) 6 </w:t>
      </w:r>
      <w:r>
        <w:rPr>
          <w:i/>
        </w:rPr>
        <w:t>Australian Feminist Law Journal</w:t>
      </w:r>
      <w:r>
        <w:t xml:space="preserve"> 135; Rosemary Hunter, ‘Can </w:t>
      </w:r>
      <w:r>
        <w:rPr>
          <w:i/>
        </w:rPr>
        <w:t>Feminist</w:t>
      </w:r>
      <w:r>
        <w:t xml:space="preserve"> Judges Make a Difference?’ (2008) 15 </w:t>
      </w:r>
      <w:r>
        <w:rPr>
          <w:i/>
        </w:rPr>
        <w:t>International Journal of the Legal Profession</w:t>
      </w:r>
      <w:r>
        <w:t xml:space="preserve"> 7, 13.</w:t>
      </w:r>
    </w:p>
  </w:footnote>
  <w:footnote w:id="29">
    <w:p w:rsidR="0039133A" w:rsidRPr="009A28BC" w:rsidRDefault="0039133A" w:rsidP="00326734">
      <w:pPr>
        <w:pStyle w:val="FootnoteText"/>
        <w:spacing w:line="480" w:lineRule="auto"/>
      </w:pPr>
      <w:r>
        <w:rPr>
          <w:rStyle w:val="FootnoteReference"/>
        </w:rPr>
        <w:footnoteRef/>
      </w:r>
      <w:r>
        <w:t xml:space="preserve"> For overviews of the research evidence, see Dermot </w:t>
      </w:r>
      <w:proofErr w:type="spellStart"/>
      <w:r>
        <w:t>Feenan</w:t>
      </w:r>
      <w:proofErr w:type="spellEnd"/>
      <w:r>
        <w:t xml:space="preserve">, ‘Editorial Introduction: Women and Judging’ (2009) 17 </w:t>
      </w:r>
      <w:r>
        <w:rPr>
          <w:i/>
        </w:rPr>
        <w:t>Feminist Legal Studies</w:t>
      </w:r>
      <w:r w:rsidR="002F66A3">
        <w:t xml:space="preserve"> 1; Kenney (n 14</w:t>
      </w:r>
      <w:r>
        <w:t xml:space="preserve">) 28-39 (also critiquing the assumptions and approach of many of these studies). Those finding no difference include: Thomas G Walker and Deborah J Barrow, ‘The Diversification of the Federal Bench: Policy and Process Ramifications’ (1985) 47 </w:t>
      </w:r>
      <w:r>
        <w:rPr>
          <w:i/>
        </w:rPr>
        <w:t>Journal of Politics</w:t>
      </w:r>
      <w:r>
        <w:t xml:space="preserve"> 596; John </w:t>
      </w:r>
      <w:proofErr w:type="spellStart"/>
      <w:r>
        <w:t>Gruhl</w:t>
      </w:r>
      <w:proofErr w:type="spellEnd"/>
      <w:r>
        <w:t xml:space="preserve">, Cassia </w:t>
      </w:r>
      <w:proofErr w:type="spellStart"/>
      <w:r>
        <w:t>Spohn</w:t>
      </w:r>
      <w:proofErr w:type="spellEnd"/>
      <w:r>
        <w:t xml:space="preserve"> and Susan Welch, ‘Women as Policy-Makers: The Case of Trial Judges’ (1989) 25 </w:t>
      </w:r>
      <w:r>
        <w:rPr>
          <w:i/>
        </w:rPr>
        <w:t>American Journal of Political Science</w:t>
      </w:r>
      <w:r>
        <w:t xml:space="preserve"> 308; Sarah </w:t>
      </w:r>
      <w:proofErr w:type="spellStart"/>
      <w:r>
        <w:t>Westergren</w:t>
      </w:r>
      <w:proofErr w:type="spellEnd"/>
      <w:r>
        <w:t xml:space="preserve">, ‘Note: Gender Effects in the Courts of Appeals Revisited: The Data Since 1994’’ (2004) 92 </w:t>
      </w:r>
      <w:r>
        <w:rPr>
          <w:i/>
        </w:rPr>
        <w:t>Georgetown Law Journal</w:t>
      </w:r>
      <w:r>
        <w:t xml:space="preserve"> 689; Susan W Johnson and Donald R </w:t>
      </w:r>
      <w:proofErr w:type="spellStart"/>
      <w:r>
        <w:t>Songer</w:t>
      </w:r>
      <w:proofErr w:type="spellEnd"/>
      <w:r>
        <w:t xml:space="preserve">, ‘Judge Gender and the Voting Behaviour of Justices on Two North American Supreme Courts’’ (2009) 30 </w:t>
      </w:r>
      <w:r>
        <w:rPr>
          <w:i/>
        </w:rPr>
        <w:t>Justice System Journal</w:t>
      </w:r>
      <w:r>
        <w:t xml:space="preserve"> 265 (in relation to US but not Canadian judges).</w:t>
      </w:r>
    </w:p>
  </w:footnote>
  <w:footnote w:id="30">
    <w:p w:rsidR="0039133A" w:rsidRPr="00490CAF" w:rsidRDefault="0039133A" w:rsidP="00326734">
      <w:pPr>
        <w:pStyle w:val="FootnoteText"/>
        <w:spacing w:line="480" w:lineRule="auto"/>
      </w:pPr>
      <w:r>
        <w:rPr>
          <w:rStyle w:val="FootnoteReference"/>
        </w:rPr>
        <w:footnoteRef/>
      </w:r>
      <w:r>
        <w:t xml:space="preserve"> See, </w:t>
      </w:r>
      <w:proofErr w:type="spellStart"/>
      <w:r w:rsidR="00776C8F">
        <w:t>e</w:t>
      </w:r>
      <w:r>
        <w:t>g</w:t>
      </w:r>
      <w:proofErr w:type="spellEnd"/>
      <w:r w:rsidR="00776C8F">
        <w:t>,</w:t>
      </w:r>
      <w:r>
        <w:t xml:space="preserve"> Lord Bingham of Cornhill, ‘The Judges: Active or </w:t>
      </w:r>
      <w:proofErr w:type="gramStart"/>
      <w:r>
        <w:t>Passive</w:t>
      </w:r>
      <w:proofErr w:type="gramEnd"/>
      <w:r>
        <w:t xml:space="preserve">?’ (2007) 139 </w:t>
      </w:r>
      <w:r>
        <w:rPr>
          <w:i/>
        </w:rPr>
        <w:t>Proceedings of the British Academy</w:t>
      </w:r>
      <w:r w:rsidR="008117C8">
        <w:t xml:space="preserve"> 55. Nigel G</w:t>
      </w:r>
      <w:r>
        <w:t xml:space="preserve"> Fielding, ‘Judges and Their Work’ (2011) 20 </w:t>
      </w:r>
      <w:r>
        <w:rPr>
          <w:i/>
        </w:rPr>
        <w:t>Social &amp; Legal Studies</w:t>
      </w:r>
      <w:r>
        <w:t xml:space="preserve"> 97; Harry </w:t>
      </w:r>
      <w:proofErr w:type="spellStart"/>
      <w:r>
        <w:t>Annison</w:t>
      </w:r>
      <w:proofErr w:type="spellEnd"/>
      <w:r>
        <w:t xml:space="preserve">, ‘Interpreting the Politics of the Judiciary: The British Senior Judicial Tradition and the Pre-emptive Turn in Criminal Justice’ (2014) 41 </w:t>
      </w:r>
      <w:r>
        <w:rPr>
          <w:i/>
        </w:rPr>
        <w:t>Journal of Law and Society</w:t>
      </w:r>
      <w:r>
        <w:t xml:space="preserve"> 339.</w:t>
      </w:r>
    </w:p>
  </w:footnote>
  <w:footnote w:id="31">
    <w:p w:rsidR="0039133A" w:rsidRDefault="0039133A" w:rsidP="00326734">
      <w:pPr>
        <w:pStyle w:val="FootnoteText"/>
        <w:spacing w:line="480" w:lineRule="auto"/>
      </w:pPr>
      <w:r>
        <w:rPr>
          <w:rStyle w:val="FootnoteReference"/>
        </w:rPr>
        <w:footnoteRef/>
      </w:r>
      <w:r>
        <w:t xml:space="preserve"> The example given by both Fielding, ibid, and </w:t>
      </w:r>
      <w:proofErr w:type="spellStart"/>
      <w:r>
        <w:t>Annison</w:t>
      </w:r>
      <w:proofErr w:type="spellEnd"/>
      <w:r>
        <w:t>, ibid.</w:t>
      </w:r>
    </w:p>
  </w:footnote>
  <w:footnote w:id="32">
    <w:p w:rsidR="0039133A" w:rsidRPr="00552EEC" w:rsidRDefault="0039133A" w:rsidP="00326734">
      <w:pPr>
        <w:pStyle w:val="FootnoteText"/>
        <w:spacing w:line="480" w:lineRule="auto"/>
      </w:pPr>
      <w:r>
        <w:rPr>
          <w:rStyle w:val="FootnoteReference"/>
        </w:rPr>
        <w:footnoteRef/>
      </w:r>
      <w:r>
        <w:t xml:space="preserve"> </w:t>
      </w:r>
      <w:r>
        <w:rPr>
          <w:i/>
        </w:rPr>
        <w:t>R v A (No 2)</w:t>
      </w:r>
      <w:r>
        <w:t xml:space="preserve"> </w:t>
      </w:r>
      <w:r w:rsidR="008117C8">
        <w:t>[2001] UKHL 25, [2002] 1 AC 45</w:t>
      </w:r>
      <w:r>
        <w:t xml:space="preserve">. For a feminist alternative, see Clare </w:t>
      </w:r>
      <w:proofErr w:type="spellStart"/>
      <w:r>
        <w:t>McGlynn</w:t>
      </w:r>
      <w:proofErr w:type="spellEnd"/>
      <w:r>
        <w:t xml:space="preserve">, </w:t>
      </w:r>
      <w:r w:rsidR="008117C8">
        <w:t>‘</w:t>
      </w:r>
      <w:r>
        <w:rPr>
          <w:i/>
        </w:rPr>
        <w:t>R v A (No 2)</w:t>
      </w:r>
      <w:r w:rsidR="008117C8">
        <w:t>’</w:t>
      </w:r>
      <w:r>
        <w:t xml:space="preserve">, in Rosemary Hunter, Clare </w:t>
      </w:r>
      <w:proofErr w:type="spellStart"/>
      <w:r>
        <w:t>McGlynn</w:t>
      </w:r>
      <w:proofErr w:type="spellEnd"/>
      <w:r>
        <w:t xml:space="preserve"> and Erika Rackley (</w:t>
      </w:r>
      <w:proofErr w:type="spellStart"/>
      <w:proofErr w:type="gramStart"/>
      <w:r>
        <w:t>eds</w:t>
      </w:r>
      <w:proofErr w:type="spellEnd"/>
      <w:proofErr w:type="gramEnd"/>
      <w:r>
        <w:t xml:space="preserve">), </w:t>
      </w:r>
      <w:r>
        <w:rPr>
          <w:i/>
        </w:rPr>
        <w:t>Feminist Judgments: From Theory to Practice</w:t>
      </w:r>
      <w:r w:rsidR="008117C8">
        <w:t xml:space="preserve"> (Hart Publishing 2010) 211</w:t>
      </w:r>
      <w:r>
        <w:t xml:space="preserve">. </w:t>
      </w:r>
    </w:p>
  </w:footnote>
  <w:footnote w:id="33">
    <w:p w:rsidR="00F646B2" w:rsidRPr="003A2678" w:rsidRDefault="00F646B2" w:rsidP="00F646B2">
      <w:pPr>
        <w:pStyle w:val="FootnoteText"/>
        <w:spacing w:line="480" w:lineRule="auto"/>
      </w:pPr>
      <w:r>
        <w:rPr>
          <w:rStyle w:val="FootnoteReference"/>
        </w:rPr>
        <w:footnoteRef/>
      </w:r>
      <w:r>
        <w:t xml:space="preserve"> </w:t>
      </w:r>
      <w:proofErr w:type="spellStart"/>
      <w:r>
        <w:t>Eg</w:t>
      </w:r>
      <w:proofErr w:type="spellEnd"/>
      <w:r>
        <w:t xml:space="preserve">, </w:t>
      </w:r>
      <w:r>
        <w:rPr>
          <w:i/>
        </w:rPr>
        <w:t xml:space="preserve">Chalmers v Johns </w:t>
      </w:r>
      <w:r>
        <w:t xml:space="preserve">[1999] 1 FLR 392; </w:t>
      </w:r>
      <w:r>
        <w:rPr>
          <w:i/>
        </w:rPr>
        <w:t xml:space="preserve">Re Y (Children) (Occupation Order) </w:t>
      </w:r>
      <w:r>
        <w:t xml:space="preserve">[2000] 2 FCR 470; See also Felicity Kaganas, ‘Occupation Orders Under the Family Law Act 1996’ (1999) 11 </w:t>
      </w:r>
      <w:r>
        <w:rPr>
          <w:i/>
        </w:rPr>
        <w:t>Child and Family Law Quarterly</w:t>
      </w:r>
      <w:r>
        <w:t xml:space="preserve"> 193. On judicial obstruction of domestic violence laws more generally, see Rosemary Hunter, </w:t>
      </w:r>
      <w:r>
        <w:rPr>
          <w:i/>
        </w:rPr>
        <w:t>Domestic Violence Law Reform and Women’s Experience in Court: The Implementation of Feminist Reforms in Civil Proceedings</w:t>
      </w:r>
      <w:r>
        <w:t xml:space="preserve"> (Cambria Press 2008).</w:t>
      </w:r>
    </w:p>
  </w:footnote>
  <w:footnote w:id="34">
    <w:p w:rsidR="0039133A" w:rsidRDefault="0039133A" w:rsidP="00326734">
      <w:pPr>
        <w:pStyle w:val="FootnoteText"/>
        <w:spacing w:line="480" w:lineRule="auto"/>
      </w:pPr>
      <w:r>
        <w:rPr>
          <w:rStyle w:val="FootnoteReference"/>
        </w:rPr>
        <w:footnoteRef/>
      </w:r>
      <w:r>
        <w:t xml:space="preserve"> </w:t>
      </w:r>
      <w:r w:rsidR="00776C8F">
        <w:t>Above (n 31</w:t>
      </w:r>
      <w:r w:rsidR="003F3EC6">
        <w:t>).</w:t>
      </w:r>
    </w:p>
  </w:footnote>
  <w:footnote w:id="35">
    <w:p w:rsidR="0039133A" w:rsidRDefault="0039133A" w:rsidP="00326734">
      <w:pPr>
        <w:pStyle w:val="FootnoteText"/>
        <w:spacing w:line="480" w:lineRule="auto"/>
      </w:pPr>
      <w:r>
        <w:rPr>
          <w:rStyle w:val="FootnoteReference"/>
        </w:rPr>
        <w:footnoteRef/>
      </w:r>
      <w:r w:rsidR="00776C8F">
        <w:t xml:space="preserve"> Fielding (n 29</w:t>
      </w:r>
      <w:r w:rsidR="003F3EC6">
        <w:t>)</w:t>
      </w:r>
      <w:r>
        <w:t xml:space="preserve"> 110.</w:t>
      </w:r>
    </w:p>
  </w:footnote>
  <w:footnote w:id="36">
    <w:p w:rsidR="0039133A" w:rsidRPr="001938B0" w:rsidRDefault="0039133A" w:rsidP="00326734">
      <w:pPr>
        <w:pStyle w:val="FootnoteText"/>
        <w:spacing w:line="480" w:lineRule="auto"/>
      </w:pPr>
      <w:r>
        <w:rPr>
          <w:rStyle w:val="FootnoteReference"/>
        </w:rPr>
        <w:footnoteRef/>
      </w:r>
      <w:r>
        <w:t xml:space="preserve"> Helena Kennedy, quoted in Rackley </w:t>
      </w:r>
      <w:r w:rsidR="003F3EC6">
        <w:t xml:space="preserve">(n 1) </w:t>
      </w:r>
      <w:r>
        <w:t xml:space="preserve">137. See also Margaret Thornton, </w:t>
      </w:r>
      <w:r>
        <w:rPr>
          <w:i/>
        </w:rPr>
        <w:t>Dissonance and Distrust:</w:t>
      </w:r>
      <w:r w:rsidRPr="00D53C21">
        <w:rPr>
          <w:i/>
        </w:rPr>
        <w:t xml:space="preserve"> </w:t>
      </w:r>
      <w:r>
        <w:rPr>
          <w:i/>
        </w:rPr>
        <w:t>Women in the Legal Profession</w:t>
      </w:r>
      <w:r w:rsidR="003F3EC6">
        <w:t xml:space="preserve"> (</w:t>
      </w:r>
      <w:r>
        <w:t>OUP 1996).</w:t>
      </w:r>
    </w:p>
  </w:footnote>
  <w:footnote w:id="37">
    <w:p w:rsidR="0039133A" w:rsidRDefault="0039133A" w:rsidP="00326734">
      <w:pPr>
        <w:pStyle w:val="FootnoteText"/>
        <w:spacing w:line="480" w:lineRule="auto"/>
      </w:pPr>
      <w:r>
        <w:rPr>
          <w:rStyle w:val="FootnoteReference"/>
        </w:rPr>
        <w:footnoteRef/>
      </w:r>
      <w:r>
        <w:t xml:space="preserve"> Rackley </w:t>
      </w:r>
      <w:r w:rsidR="00451B01">
        <w:t>(n 1) 137-</w:t>
      </w:r>
      <w:r>
        <w:t>8.</w:t>
      </w:r>
    </w:p>
  </w:footnote>
  <w:footnote w:id="38">
    <w:p w:rsidR="0039133A" w:rsidRPr="00C907A1" w:rsidRDefault="0039133A" w:rsidP="00326734">
      <w:pPr>
        <w:pStyle w:val="FootnoteText"/>
        <w:spacing w:line="480" w:lineRule="auto"/>
      </w:pPr>
      <w:r>
        <w:rPr>
          <w:rStyle w:val="FootnoteReference"/>
        </w:rPr>
        <w:footnoteRef/>
      </w:r>
      <w:r>
        <w:t xml:space="preserve"> </w:t>
      </w:r>
      <w:proofErr w:type="spellStart"/>
      <w:r w:rsidR="00451B01">
        <w:t>E</w:t>
      </w:r>
      <w:r>
        <w:t>g</w:t>
      </w:r>
      <w:proofErr w:type="spellEnd"/>
      <w:r w:rsidR="00451B01">
        <w:t xml:space="preserve">, </w:t>
      </w:r>
      <w:proofErr w:type="spellStart"/>
      <w:r w:rsidR="00451B01">
        <w:t>Bryna</w:t>
      </w:r>
      <w:proofErr w:type="spellEnd"/>
      <w:r>
        <w:t xml:space="preserve"> </w:t>
      </w:r>
      <w:proofErr w:type="spellStart"/>
      <w:r>
        <w:t>Bogoch</w:t>
      </w:r>
      <w:proofErr w:type="spellEnd"/>
      <w:r>
        <w:t>, ‘Lawyers in the Courtroom: Gender, Trials and Professional Performance in Israel’ in U</w:t>
      </w:r>
      <w:r w:rsidR="00451B01">
        <w:t>lrike Schultz and Gisela</w:t>
      </w:r>
      <w:r>
        <w:t xml:space="preserve"> Shaw (</w:t>
      </w:r>
      <w:proofErr w:type="spellStart"/>
      <w:proofErr w:type="gramStart"/>
      <w:r>
        <w:t>eds</w:t>
      </w:r>
      <w:proofErr w:type="spellEnd"/>
      <w:proofErr w:type="gramEnd"/>
      <w:r>
        <w:t xml:space="preserve">), </w:t>
      </w:r>
      <w:r>
        <w:rPr>
          <w:i/>
        </w:rPr>
        <w:t>Women in the World’s Legal Professions</w:t>
      </w:r>
      <w:r w:rsidR="00451B01">
        <w:t xml:space="preserve"> (Hart Publishing</w:t>
      </w:r>
      <w:r>
        <w:t xml:space="preserve"> 2003)</w:t>
      </w:r>
      <w:r w:rsidR="00776C8F">
        <w:t xml:space="preserve"> 247</w:t>
      </w:r>
      <w:r>
        <w:t xml:space="preserve">; Hilary Sommerlad, ‘Let History Judge? Gender, Race, Class and </w:t>
      </w:r>
      <w:proofErr w:type="spellStart"/>
      <w:r>
        <w:t>Performative</w:t>
      </w:r>
      <w:proofErr w:type="spellEnd"/>
      <w:r>
        <w:t xml:space="preserve"> Identity: A Study of Women Judges in England and Wales’, in Ulrike Schultz and Gisela Shaw (</w:t>
      </w:r>
      <w:proofErr w:type="spellStart"/>
      <w:proofErr w:type="gramStart"/>
      <w:r>
        <w:t>eds</w:t>
      </w:r>
      <w:proofErr w:type="spellEnd"/>
      <w:proofErr w:type="gramEnd"/>
      <w:r>
        <w:t xml:space="preserve">), </w:t>
      </w:r>
      <w:r>
        <w:rPr>
          <w:i/>
        </w:rPr>
        <w:t>Gender and Judging</w:t>
      </w:r>
      <w:r w:rsidR="00451B01">
        <w:t xml:space="preserve"> (Hart Publishing</w:t>
      </w:r>
      <w:r>
        <w:t xml:space="preserve"> 2013) 355. This issue is possibly even more acute in </w:t>
      </w:r>
      <w:r w:rsidR="00451B01">
        <w:t>civil law</w:t>
      </w:r>
      <w:r>
        <w:t xml:space="preserve"> systems: see, </w:t>
      </w:r>
      <w:proofErr w:type="spellStart"/>
      <w:r>
        <w:t>eg</w:t>
      </w:r>
      <w:proofErr w:type="spellEnd"/>
      <w:r w:rsidR="00451B01">
        <w:t>,</w:t>
      </w:r>
      <w:r>
        <w:t xml:space="preserve"> </w:t>
      </w:r>
      <w:proofErr w:type="spellStart"/>
      <w:r w:rsidR="00244DE2">
        <w:t>Junquiera</w:t>
      </w:r>
      <w:proofErr w:type="spellEnd"/>
      <w:r w:rsidR="00244DE2">
        <w:t xml:space="preserve"> (n 1</w:t>
      </w:r>
      <w:r w:rsidR="00776C8F">
        <w:t>9</w:t>
      </w:r>
      <w:r w:rsidR="00244DE2">
        <w:t>); Ulrike Schultz, ‘Women Lawyers in Germany: Perception and Construction of Femininity’ in Ulrike Schultz and Gisela Shaw (</w:t>
      </w:r>
      <w:proofErr w:type="spellStart"/>
      <w:r w:rsidR="00244DE2">
        <w:t>eds</w:t>
      </w:r>
      <w:proofErr w:type="spellEnd"/>
      <w:r w:rsidR="00244DE2">
        <w:t xml:space="preserve">), </w:t>
      </w:r>
      <w:r w:rsidR="00244DE2">
        <w:rPr>
          <w:i/>
        </w:rPr>
        <w:t>Women in the World’s Legal Professions</w:t>
      </w:r>
      <w:r w:rsidR="00244DE2">
        <w:t xml:space="preserve"> (Hart Publishing 2003); </w:t>
      </w:r>
      <w:r>
        <w:t>A</w:t>
      </w:r>
      <w:r w:rsidR="00451B01">
        <w:t xml:space="preserve">ndrea L </w:t>
      </w:r>
      <w:proofErr w:type="spellStart"/>
      <w:r w:rsidR="00451B01">
        <w:t>Gastron</w:t>
      </w:r>
      <w:proofErr w:type="spellEnd"/>
      <w:r>
        <w:t>,</w:t>
      </w:r>
      <w:r w:rsidR="00451B01">
        <w:t xml:space="preserve"> M Angela </w:t>
      </w:r>
      <w:proofErr w:type="spellStart"/>
      <w:r w:rsidR="00451B01">
        <w:t>Amante</w:t>
      </w:r>
      <w:proofErr w:type="spellEnd"/>
      <w:r w:rsidR="00451B01">
        <w:t xml:space="preserve"> and Ruben Rodriguez,</w:t>
      </w:r>
      <w:r>
        <w:t xml:space="preserve"> ‘Gender Arguments and Gender Perspect</w:t>
      </w:r>
      <w:r w:rsidR="00451B01">
        <w:t>i</w:t>
      </w:r>
      <w:r>
        <w:t>ve in Leg</w:t>
      </w:r>
      <w:r w:rsidR="00451B01">
        <w:t>al Judgments in Argentina’ in Ulrike Schultz and Gisela</w:t>
      </w:r>
      <w:r>
        <w:t xml:space="preserve"> Shaw (</w:t>
      </w:r>
      <w:proofErr w:type="spellStart"/>
      <w:r>
        <w:t>eds</w:t>
      </w:r>
      <w:proofErr w:type="spellEnd"/>
      <w:r>
        <w:t xml:space="preserve">), </w:t>
      </w:r>
      <w:r>
        <w:rPr>
          <w:i/>
        </w:rPr>
        <w:t>Gender and Judging</w:t>
      </w:r>
      <w:r w:rsidR="00451B01">
        <w:t xml:space="preserve"> (Hart Publishing</w:t>
      </w:r>
      <w:r>
        <w:t xml:space="preserve"> 2010)</w:t>
      </w:r>
      <w:r w:rsidR="00451B01">
        <w:t xml:space="preserve"> 303; </w:t>
      </w:r>
      <w:r w:rsidR="00244DE2">
        <w:t>Beatriz</w:t>
      </w:r>
      <w:r>
        <w:t xml:space="preserve"> Kohen, ‘What’s in a Label? Argentine Judges’ Reluctance to </w:t>
      </w:r>
      <w:r w:rsidR="00244DE2">
        <w:t>Call Themselves Feminists’ in Ulrike Schultz and Gisela</w:t>
      </w:r>
      <w:r>
        <w:t xml:space="preserve"> Shaw (</w:t>
      </w:r>
      <w:proofErr w:type="spellStart"/>
      <w:r>
        <w:t>eds</w:t>
      </w:r>
      <w:proofErr w:type="spellEnd"/>
      <w:r>
        <w:t xml:space="preserve">), </w:t>
      </w:r>
      <w:r>
        <w:rPr>
          <w:i/>
        </w:rPr>
        <w:t>Gender and Judging</w:t>
      </w:r>
      <w:r w:rsidR="00244DE2">
        <w:t xml:space="preserve"> (Hart Publishing</w:t>
      </w:r>
      <w:r w:rsidR="00025C40">
        <w:t xml:space="preserve"> 2013</w:t>
      </w:r>
      <w:r>
        <w:t>)</w:t>
      </w:r>
      <w:r w:rsidR="00244DE2">
        <w:t xml:space="preserve"> 419</w:t>
      </w:r>
      <w:r>
        <w:t>.</w:t>
      </w:r>
    </w:p>
  </w:footnote>
  <w:footnote w:id="39">
    <w:p w:rsidR="0039133A" w:rsidRDefault="0039133A" w:rsidP="00326734">
      <w:pPr>
        <w:pStyle w:val="FootnoteText"/>
        <w:spacing w:line="480" w:lineRule="auto"/>
      </w:pPr>
      <w:r>
        <w:rPr>
          <w:rStyle w:val="FootnoteReference"/>
        </w:rPr>
        <w:footnoteRef/>
      </w:r>
      <w:r>
        <w:t xml:space="preserve"> Sommerlad, </w:t>
      </w:r>
      <w:r w:rsidR="00B84588">
        <w:t>ibid</w:t>
      </w:r>
      <w:r>
        <w:t xml:space="preserve"> 367.</w:t>
      </w:r>
      <w:r w:rsidR="00F646B2">
        <w:t xml:space="preserve"> The judge does not appear to be suggesting that harshness is a particular characteristic </w:t>
      </w:r>
      <w:r w:rsidR="00FA7059">
        <w:t>of white judges, but rather that</w:t>
      </w:r>
      <w:r w:rsidR="00F646B2">
        <w:t xml:space="preserve"> she went out of her way to be unsympathetic to (presumptively non-white) applicants in order to avoid any notion that she might have identified with them.</w:t>
      </w:r>
    </w:p>
  </w:footnote>
  <w:footnote w:id="40">
    <w:p w:rsidR="0039133A" w:rsidRDefault="0039133A" w:rsidP="00326734">
      <w:pPr>
        <w:pStyle w:val="FootnoteText"/>
        <w:spacing w:line="480" w:lineRule="auto"/>
      </w:pPr>
      <w:r>
        <w:rPr>
          <w:rStyle w:val="FootnoteReference"/>
        </w:rPr>
        <w:footnoteRef/>
      </w:r>
      <w:r w:rsidR="00B84588">
        <w:t xml:space="preserve"> Ibid</w:t>
      </w:r>
      <w:r>
        <w:t xml:space="preserve"> 366.</w:t>
      </w:r>
    </w:p>
  </w:footnote>
  <w:footnote w:id="41">
    <w:p w:rsidR="0039133A" w:rsidRDefault="0039133A" w:rsidP="00326734">
      <w:pPr>
        <w:pStyle w:val="FootnoteText"/>
        <w:spacing w:line="480" w:lineRule="auto"/>
      </w:pPr>
      <w:r>
        <w:rPr>
          <w:rStyle w:val="FootnoteReference"/>
        </w:rPr>
        <w:footnoteRef/>
      </w:r>
      <w:r>
        <w:t xml:space="preserve"> Carol Smart, </w:t>
      </w:r>
      <w:r>
        <w:rPr>
          <w:i/>
        </w:rPr>
        <w:t>Feminism and the Power of Law</w:t>
      </w:r>
      <w:r w:rsidR="00B84588">
        <w:t xml:space="preserve"> (Routledge</w:t>
      </w:r>
      <w:r>
        <w:t xml:space="preserve"> 1989).</w:t>
      </w:r>
    </w:p>
  </w:footnote>
  <w:footnote w:id="42">
    <w:p w:rsidR="0039133A" w:rsidRDefault="0039133A" w:rsidP="00326734">
      <w:pPr>
        <w:pStyle w:val="FootnoteText"/>
        <w:spacing w:line="480" w:lineRule="auto"/>
      </w:pPr>
      <w:r>
        <w:rPr>
          <w:rStyle w:val="FootnoteReference"/>
        </w:rPr>
        <w:footnoteRef/>
      </w:r>
      <w:r w:rsidR="00B84588">
        <w:t xml:space="preserve"> Sandra</w:t>
      </w:r>
      <w:r>
        <w:t xml:space="preserve"> </w:t>
      </w:r>
      <w:proofErr w:type="spellStart"/>
      <w:r>
        <w:t>Berns</w:t>
      </w:r>
      <w:proofErr w:type="spellEnd"/>
      <w:r>
        <w:t xml:space="preserve">, </w:t>
      </w:r>
      <w:r>
        <w:rPr>
          <w:i/>
        </w:rPr>
        <w:t>To Speak as a Judge: Difference, Voice and Power</w:t>
      </w:r>
      <w:r w:rsidR="00B84588">
        <w:t xml:space="preserve"> (</w:t>
      </w:r>
      <w:proofErr w:type="spellStart"/>
      <w:r w:rsidR="00B84588">
        <w:t>Ashgate</w:t>
      </w:r>
      <w:proofErr w:type="spellEnd"/>
      <w:r>
        <w:t xml:space="preserve"> 1999).</w:t>
      </w:r>
    </w:p>
  </w:footnote>
  <w:footnote w:id="43">
    <w:p w:rsidR="0039133A" w:rsidRDefault="0039133A" w:rsidP="00326734">
      <w:pPr>
        <w:pStyle w:val="FootnoteText"/>
        <w:spacing w:line="480" w:lineRule="auto"/>
      </w:pPr>
      <w:r>
        <w:rPr>
          <w:rStyle w:val="FootnoteReference"/>
        </w:rPr>
        <w:footnoteRef/>
      </w:r>
      <w:r w:rsidR="00B84588">
        <w:t xml:space="preserve"> Mary </w:t>
      </w:r>
      <w:r>
        <w:t>J</w:t>
      </w:r>
      <w:r w:rsidR="00B84588">
        <w:t>ane</w:t>
      </w:r>
      <w:r>
        <w:t xml:space="preserve"> Mossman, ‘Feminism and Legal Method: The Difference it Makes’ (1987) 3 </w:t>
      </w:r>
      <w:r>
        <w:rPr>
          <w:i/>
        </w:rPr>
        <w:t>Wisconsin Women’s Law Journal</w:t>
      </w:r>
      <w:r>
        <w:t xml:space="preserve"> 147.</w:t>
      </w:r>
    </w:p>
  </w:footnote>
  <w:footnote w:id="44">
    <w:p w:rsidR="0039133A" w:rsidRDefault="0039133A" w:rsidP="00326734">
      <w:pPr>
        <w:pStyle w:val="FootnoteText"/>
        <w:spacing w:line="480" w:lineRule="auto"/>
      </w:pPr>
      <w:r>
        <w:rPr>
          <w:rStyle w:val="FootnoteReference"/>
        </w:rPr>
        <w:footnoteRef/>
      </w:r>
      <w:r>
        <w:t xml:space="preserve"> Details of the </w:t>
      </w:r>
      <w:r w:rsidR="00B84588">
        <w:t>various feminist judgment projects</w:t>
      </w:r>
      <w:r>
        <w:t xml:space="preserve"> are provided below.</w:t>
      </w:r>
    </w:p>
  </w:footnote>
  <w:footnote w:id="45">
    <w:p w:rsidR="0039133A" w:rsidRDefault="0039133A" w:rsidP="00326734">
      <w:pPr>
        <w:pStyle w:val="FootnoteText"/>
        <w:spacing w:line="480" w:lineRule="auto"/>
      </w:pPr>
      <w:r>
        <w:rPr>
          <w:rStyle w:val="FootnoteReference"/>
        </w:rPr>
        <w:footnoteRef/>
      </w:r>
      <w:r>
        <w:t xml:space="preserve"> Not</w:t>
      </w:r>
      <w:r w:rsidR="00B84588">
        <w:t xml:space="preserve">e that </w:t>
      </w:r>
      <w:r>
        <w:t>Australia</w:t>
      </w:r>
      <w:r w:rsidR="00B84588">
        <w:t>n</w:t>
      </w:r>
      <w:r>
        <w:t xml:space="preserve"> Magistrates are full-time, professional</w:t>
      </w:r>
      <w:r w:rsidR="00B84588">
        <w:t>, salaried</w:t>
      </w:r>
      <w:r>
        <w:t xml:space="preserve"> judicial officers who sit alone.</w:t>
      </w:r>
    </w:p>
  </w:footnote>
  <w:footnote w:id="46">
    <w:p w:rsidR="0039133A" w:rsidRDefault="0039133A" w:rsidP="00326734">
      <w:pPr>
        <w:pStyle w:val="FootnoteText"/>
        <w:spacing w:line="480" w:lineRule="auto"/>
      </w:pPr>
      <w:r>
        <w:rPr>
          <w:rStyle w:val="FootnoteReference"/>
        </w:rPr>
        <w:footnoteRef/>
      </w:r>
      <w:r w:rsidR="00B84588">
        <w:t xml:space="preserve"> Rackley (n 1)</w:t>
      </w:r>
      <w:r>
        <w:t xml:space="preserve"> 201.</w:t>
      </w:r>
    </w:p>
  </w:footnote>
  <w:footnote w:id="47">
    <w:p w:rsidR="0039133A" w:rsidRPr="00F33B65" w:rsidRDefault="0039133A" w:rsidP="00326734">
      <w:pPr>
        <w:pStyle w:val="FootnoteText"/>
        <w:spacing w:line="480" w:lineRule="auto"/>
      </w:pPr>
      <w:r>
        <w:rPr>
          <w:rStyle w:val="FootnoteReference"/>
        </w:rPr>
        <w:footnoteRef/>
      </w:r>
      <w:r>
        <w:t xml:space="preserve"> See especially Hunter, ‘Can </w:t>
      </w:r>
      <w:r>
        <w:rPr>
          <w:i/>
        </w:rPr>
        <w:t>Feminist</w:t>
      </w:r>
      <w:r>
        <w:t xml:space="preserve"> Judges Make a Difference?’ (</w:t>
      </w:r>
      <w:proofErr w:type="gramStart"/>
      <w:r w:rsidR="00FA7059">
        <w:t>n</w:t>
      </w:r>
      <w:proofErr w:type="gramEnd"/>
      <w:r w:rsidR="00FA7059">
        <w:t xml:space="preserve"> 27</w:t>
      </w:r>
      <w:r w:rsidR="00B84588">
        <w:t>)</w:t>
      </w:r>
      <w:r>
        <w:t>.</w:t>
      </w:r>
    </w:p>
  </w:footnote>
  <w:footnote w:id="48">
    <w:p w:rsidR="0039133A" w:rsidRDefault="0039133A" w:rsidP="00326734">
      <w:pPr>
        <w:pStyle w:val="FootnoteText"/>
        <w:spacing w:line="480" w:lineRule="auto"/>
      </w:pPr>
      <w:r>
        <w:rPr>
          <w:rStyle w:val="FootnoteReference"/>
        </w:rPr>
        <w:footnoteRef/>
      </w:r>
      <w:r w:rsidR="002F66A3">
        <w:t xml:space="preserve"> Kenney (n 14</w:t>
      </w:r>
      <w:r w:rsidR="00B84588">
        <w:t xml:space="preserve">) </w:t>
      </w:r>
      <w:r>
        <w:t>15-16.</w:t>
      </w:r>
    </w:p>
  </w:footnote>
  <w:footnote w:id="49">
    <w:p w:rsidR="0039133A" w:rsidRDefault="0039133A" w:rsidP="00326734">
      <w:pPr>
        <w:pStyle w:val="FootnoteText"/>
        <w:spacing w:line="480" w:lineRule="auto"/>
      </w:pPr>
      <w:r>
        <w:rPr>
          <w:rStyle w:val="FootnoteReference"/>
        </w:rPr>
        <w:footnoteRef/>
      </w:r>
      <w:r>
        <w:t xml:space="preserve"> See Women’s Court of Canada</w:t>
      </w:r>
      <w:r w:rsidR="00B84588">
        <w:t xml:space="preserve">: </w:t>
      </w:r>
      <w:hyperlink r:id="rId4" w:history="1">
        <w:r w:rsidR="00B84588" w:rsidRPr="00836552">
          <w:rPr>
            <w:rStyle w:val="Hyperlink"/>
          </w:rPr>
          <w:t>http://womenscourt.ca</w:t>
        </w:r>
      </w:hyperlink>
      <w:r w:rsidR="00B84588">
        <w:t xml:space="preserve">; </w:t>
      </w:r>
      <w:r>
        <w:t>UK</w:t>
      </w:r>
      <w:r w:rsidR="001B5915">
        <w:t xml:space="preserve"> Feminist Judgments Project: </w:t>
      </w:r>
      <w:hyperlink r:id="rId5" w:history="1">
        <w:r w:rsidR="001B5915" w:rsidRPr="00836552">
          <w:rPr>
            <w:rStyle w:val="Hyperlink"/>
          </w:rPr>
          <w:t>http://www.feministjudgments.org.uk</w:t>
        </w:r>
      </w:hyperlink>
      <w:r w:rsidR="001B5915">
        <w:t xml:space="preserve">; </w:t>
      </w:r>
      <w:r>
        <w:t>Australia</w:t>
      </w:r>
      <w:r w:rsidR="001B5915">
        <w:t xml:space="preserve">n Feminist Judgments Project: </w:t>
      </w:r>
      <w:hyperlink r:id="rId6" w:history="1">
        <w:r w:rsidR="001B5915" w:rsidRPr="00836552">
          <w:rPr>
            <w:rStyle w:val="Hyperlink"/>
          </w:rPr>
          <w:t>http://www.law.uq.edu.au/the-australian-feminist-judgments-project</w:t>
        </w:r>
      </w:hyperlink>
      <w:r>
        <w:t>; Northern/Irish</w:t>
      </w:r>
      <w:r w:rsidR="001B5915">
        <w:t xml:space="preserve"> Feminist Judgments Project: </w:t>
      </w:r>
      <w:hyperlink r:id="rId7" w:history="1">
        <w:r w:rsidR="001B5915" w:rsidRPr="00836552">
          <w:rPr>
            <w:rStyle w:val="Hyperlink"/>
          </w:rPr>
          <w:t>http://www.feministjudging.ie/</w:t>
        </w:r>
      </w:hyperlink>
      <w:r>
        <w:t xml:space="preserve">; </w:t>
      </w:r>
      <w:r w:rsidR="001B5915">
        <w:t xml:space="preserve">Feminist Judgments: </w:t>
      </w:r>
      <w:r>
        <w:t>US Supreme Court</w:t>
      </w:r>
      <w:r w:rsidR="001B5915">
        <w:t xml:space="preserve"> Edition: </w:t>
      </w:r>
      <w:hyperlink r:id="rId8" w:history="1">
        <w:r w:rsidR="00FA7059" w:rsidRPr="0003741A">
          <w:rPr>
            <w:rStyle w:val="Hyperlink"/>
          </w:rPr>
          <w:t>http://sites.temple.edu/usfeministjudgments/</w:t>
        </w:r>
      </w:hyperlink>
      <w:r w:rsidR="001B5915">
        <w:t xml:space="preserve">; Feminist </w:t>
      </w:r>
      <w:r w:rsidR="00B84588">
        <w:t>International</w:t>
      </w:r>
      <w:r w:rsidR="001B5915">
        <w:t xml:space="preserve"> Judgments Project: </w:t>
      </w:r>
      <w:hyperlink r:id="rId9" w:history="1">
        <w:r w:rsidR="001B5915" w:rsidRPr="00836552">
          <w:rPr>
            <w:rStyle w:val="Hyperlink"/>
          </w:rPr>
          <w:t>http://ilg2.org/2014/01/16/invitation-to-participate-in-the-feminist-international-judgments-project/</w:t>
        </w:r>
      </w:hyperlink>
      <w:r>
        <w:t>.</w:t>
      </w:r>
    </w:p>
  </w:footnote>
  <w:footnote w:id="50">
    <w:p w:rsidR="0039133A" w:rsidRPr="00917BD6" w:rsidRDefault="0039133A" w:rsidP="00326734">
      <w:pPr>
        <w:pStyle w:val="FootnoteText"/>
        <w:spacing w:line="480" w:lineRule="auto"/>
      </w:pPr>
      <w:r>
        <w:rPr>
          <w:rStyle w:val="FootnoteReference"/>
        </w:rPr>
        <w:footnoteRef/>
      </w:r>
      <w:r w:rsidR="001B5915">
        <w:t xml:space="preserve"> Rosemary </w:t>
      </w:r>
      <w:r>
        <w:t xml:space="preserve">Hunter, Clare </w:t>
      </w:r>
      <w:proofErr w:type="spellStart"/>
      <w:r>
        <w:t>McGlynn</w:t>
      </w:r>
      <w:proofErr w:type="spellEnd"/>
      <w:r>
        <w:t xml:space="preserve"> and Erika Rackley (</w:t>
      </w:r>
      <w:proofErr w:type="spellStart"/>
      <w:proofErr w:type="gramStart"/>
      <w:r>
        <w:t>eds</w:t>
      </w:r>
      <w:proofErr w:type="spellEnd"/>
      <w:proofErr w:type="gramEnd"/>
      <w:r>
        <w:t xml:space="preserve">), </w:t>
      </w:r>
      <w:r>
        <w:rPr>
          <w:i/>
        </w:rPr>
        <w:t>Feminist Judgments: From Theory to Practice</w:t>
      </w:r>
      <w:r>
        <w:t xml:space="preserve"> (Hart Publishing 2010).</w:t>
      </w:r>
    </w:p>
  </w:footnote>
  <w:footnote w:id="51">
    <w:p w:rsidR="0039133A" w:rsidRDefault="0039133A" w:rsidP="00326734">
      <w:pPr>
        <w:pStyle w:val="FootnoteText"/>
        <w:spacing w:line="480" w:lineRule="auto"/>
      </w:pPr>
      <w:r>
        <w:rPr>
          <w:rStyle w:val="FootnoteReference"/>
        </w:rPr>
        <w:footnoteRef/>
      </w:r>
      <w:r>
        <w:t xml:space="preserve"> Lady Hale, ‘</w:t>
      </w:r>
      <w:proofErr w:type="spellStart"/>
      <w:r>
        <w:t>Kuttan</w:t>
      </w:r>
      <w:proofErr w:type="spellEnd"/>
      <w:r>
        <w:t xml:space="preserve"> Menon Memorial Lectu</w:t>
      </w:r>
      <w:r w:rsidR="001B5915">
        <w:t>re: Equality in the Judiciary’ (</w:t>
      </w:r>
      <w:r>
        <w:t>13 February 2013</w:t>
      </w:r>
      <w:r w:rsidR="001B5915">
        <w:t>)</w:t>
      </w:r>
      <w:r>
        <w:t xml:space="preserve"> 20; Lady Hale, ‘Fiona Woolf Lecture for the Women Lawyers’ Division of the Law So</w:t>
      </w:r>
      <w:r w:rsidR="001B5915">
        <w:t>ciety: Women in the Judiciary’ (27 June 2014)</w:t>
      </w:r>
      <w:r>
        <w:t xml:space="preserve"> 21-22.</w:t>
      </w:r>
    </w:p>
  </w:footnote>
  <w:footnote w:id="52">
    <w:p w:rsidR="00CF3C73" w:rsidRPr="00B42CF6" w:rsidRDefault="00CF3C73" w:rsidP="00CF3C73">
      <w:pPr>
        <w:pStyle w:val="FootnoteText"/>
        <w:spacing w:line="480" w:lineRule="auto"/>
      </w:pPr>
      <w:r>
        <w:rPr>
          <w:rStyle w:val="FootnoteReference"/>
        </w:rPr>
        <w:footnoteRef/>
      </w:r>
      <w:r>
        <w:t xml:space="preserve"> Eva </w:t>
      </w:r>
      <w:proofErr w:type="spellStart"/>
      <w:r>
        <w:t>Brems</w:t>
      </w:r>
      <w:proofErr w:type="spellEnd"/>
      <w:r>
        <w:t xml:space="preserve"> (</w:t>
      </w:r>
      <w:proofErr w:type="spellStart"/>
      <w:proofErr w:type="gramStart"/>
      <w:r>
        <w:t>ed</w:t>
      </w:r>
      <w:proofErr w:type="spellEnd"/>
      <w:proofErr w:type="gramEnd"/>
      <w:r>
        <w:t xml:space="preserve">), </w:t>
      </w:r>
      <w:r>
        <w:rPr>
          <w:i/>
        </w:rPr>
        <w:t>Diversity and European Human Rights: Rewriting Judgments of the ECHR</w:t>
      </w:r>
      <w:r>
        <w:t xml:space="preserve"> (CUP 2013).</w:t>
      </w:r>
    </w:p>
  </w:footnote>
  <w:footnote w:id="53">
    <w:p w:rsidR="00CF3C73" w:rsidRDefault="00CF3C73" w:rsidP="00CF3C73">
      <w:pPr>
        <w:pStyle w:val="FootnoteText"/>
        <w:spacing w:line="480" w:lineRule="auto"/>
      </w:pPr>
      <w:r>
        <w:rPr>
          <w:rStyle w:val="FootnoteReference"/>
        </w:rPr>
        <w:footnoteRef/>
      </w:r>
      <w:r>
        <w:t xml:space="preserve"> A Children’s Rights Judgments Project led by Helen Stalford (Liverpool) and Katherine Hollin</w:t>
      </w:r>
      <w:r w:rsidR="00FA7059">
        <w:t>gsworth (Newcastle) was launched</w:t>
      </w:r>
      <w:r>
        <w:t xml:space="preserve"> in the UK in January 2015; see </w:t>
      </w:r>
      <w:hyperlink r:id="rId10" w:history="1">
        <w:r w:rsidRPr="00836552">
          <w:rPr>
            <w:rStyle w:val="Hyperlink"/>
          </w:rPr>
          <w:t>http://www.liv.ac.uk/law/research/european-childrens-rights-unit/childrens-rights-judgments/</w:t>
        </w:r>
      </w:hyperlink>
      <w:r>
        <w:t>.</w:t>
      </w:r>
    </w:p>
  </w:footnote>
  <w:footnote w:id="54">
    <w:p w:rsidR="00CF3C73" w:rsidRDefault="00CF3C73" w:rsidP="00CF3C73">
      <w:pPr>
        <w:pStyle w:val="FootnoteText"/>
        <w:spacing w:line="480" w:lineRule="auto"/>
      </w:pPr>
      <w:r>
        <w:rPr>
          <w:rStyle w:val="FootnoteReference"/>
        </w:rPr>
        <w:footnoteRef/>
      </w:r>
      <w:r>
        <w:t xml:space="preserve"> A Wild Law Judgment Project sponsored by the Australian Earth Laws Alliance and Southern Cross University was launched in November 2014. See </w:t>
      </w:r>
      <w:hyperlink r:id="rId11" w:history="1">
        <w:r w:rsidRPr="00836552">
          <w:rPr>
            <w:rStyle w:val="Hyperlink"/>
          </w:rPr>
          <w:t>http://www.earthlaws.org.au/events/wild-law-judgment-project/</w:t>
        </w:r>
      </w:hyperlink>
      <w:r>
        <w:t xml:space="preserve">. </w:t>
      </w:r>
    </w:p>
  </w:footnote>
  <w:footnote w:id="55">
    <w:p w:rsidR="005422B4" w:rsidRPr="00330128" w:rsidRDefault="005422B4" w:rsidP="00330128">
      <w:pPr>
        <w:pStyle w:val="FootnoteText"/>
        <w:spacing w:line="480" w:lineRule="auto"/>
      </w:pPr>
      <w:r>
        <w:rPr>
          <w:rStyle w:val="FootnoteReference"/>
        </w:rPr>
        <w:footnoteRef/>
      </w:r>
      <w:r>
        <w:t xml:space="preserve"> See </w:t>
      </w:r>
      <w:r w:rsidR="00330128">
        <w:t xml:space="preserve">Rosemary </w:t>
      </w:r>
      <w:r>
        <w:t xml:space="preserve">Hunter, </w:t>
      </w:r>
      <w:r w:rsidR="00330128">
        <w:t xml:space="preserve">Clare </w:t>
      </w:r>
      <w:proofErr w:type="spellStart"/>
      <w:r>
        <w:t>McGlynn</w:t>
      </w:r>
      <w:proofErr w:type="spellEnd"/>
      <w:r>
        <w:t xml:space="preserve"> and </w:t>
      </w:r>
      <w:r w:rsidR="00330128">
        <w:t xml:space="preserve">Erika </w:t>
      </w:r>
      <w:r>
        <w:t>Rackley</w:t>
      </w:r>
      <w:r w:rsidR="00330128">
        <w:t>,</w:t>
      </w:r>
      <w:r>
        <w:t xml:space="preserve"> ‘</w:t>
      </w:r>
      <w:r w:rsidR="00330128">
        <w:t xml:space="preserve">Feminist Judgments: An </w:t>
      </w:r>
      <w:r>
        <w:t>Introduction’</w:t>
      </w:r>
      <w:r w:rsidR="00330128">
        <w:t xml:space="preserve"> in Rosemary Hunter, Clare </w:t>
      </w:r>
      <w:proofErr w:type="spellStart"/>
      <w:r w:rsidR="00330128">
        <w:t>McGlynn</w:t>
      </w:r>
      <w:proofErr w:type="spellEnd"/>
      <w:r w:rsidR="00330128">
        <w:t xml:space="preserve"> and Erika Rackley (</w:t>
      </w:r>
      <w:proofErr w:type="spellStart"/>
      <w:r w:rsidR="00330128">
        <w:t>eds</w:t>
      </w:r>
      <w:proofErr w:type="spellEnd"/>
      <w:r w:rsidR="00330128">
        <w:t xml:space="preserve">), </w:t>
      </w:r>
      <w:r w:rsidR="00330128">
        <w:rPr>
          <w:i/>
        </w:rPr>
        <w:t xml:space="preserve">Feminist Judgments: From Theory to Practice </w:t>
      </w:r>
      <w:r w:rsidR="00A91831">
        <w:t>(Hart Publishing 2010) 3</w:t>
      </w:r>
      <w:r>
        <w:t xml:space="preserve">; </w:t>
      </w:r>
      <w:r w:rsidR="00330128">
        <w:t xml:space="preserve">Rosemary </w:t>
      </w:r>
      <w:r>
        <w:t>Hunter</w:t>
      </w:r>
      <w:r w:rsidR="00FA7059">
        <w:t>,</w:t>
      </w:r>
      <w:r>
        <w:t xml:space="preserve"> ‘An Account</w:t>
      </w:r>
      <w:r w:rsidR="00330128">
        <w:t xml:space="preserve"> of Feminist Judging</w:t>
      </w:r>
      <w:r>
        <w:t>’</w:t>
      </w:r>
      <w:r w:rsidR="00330128">
        <w:t xml:space="preserve"> in </w:t>
      </w:r>
      <w:r w:rsidR="00C9380D">
        <w:t>ibid</w:t>
      </w:r>
      <w:r w:rsidR="00A91831">
        <w:t xml:space="preserve"> 30</w:t>
      </w:r>
      <w:r>
        <w:t xml:space="preserve">; </w:t>
      </w:r>
      <w:r w:rsidR="00330128">
        <w:t xml:space="preserve">Rosemary </w:t>
      </w:r>
      <w:r>
        <w:t>Hunter</w:t>
      </w:r>
      <w:r w:rsidR="00330128">
        <w:t>,</w:t>
      </w:r>
      <w:r>
        <w:t xml:space="preserve"> ‘Justice Marcia Neave</w:t>
      </w:r>
      <w:r w:rsidR="00330128">
        <w:t>: Case Study of a Feminist Judge</w:t>
      </w:r>
      <w:r>
        <w:t>’</w:t>
      </w:r>
      <w:r w:rsidR="00330128">
        <w:t xml:space="preserve"> in Ulrike Schultz and Gisela Shaw (</w:t>
      </w:r>
      <w:proofErr w:type="spellStart"/>
      <w:r w:rsidR="00330128">
        <w:t>eds</w:t>
      </w:r>
      <w:proofErr w:type="spellEnd"/>
      <w:r w:rsidR="00330128">
        <w:t xml:space="preserve">), </w:t>
      </w:r>
      <w:r w:rsidR="00330128">
        <w:rPr>
          <w:i/>
        </w:rPr>
        <w:t>Gender and Judging</w:t>
      </w:r>
      <w:r w:rsidR="00A91831">
        <w:t xml:space="preserve"> (Hart Publishing 2013) 399</w:t>
      </w:r>
      <w:r>
        <w:t xml:space="preserve">; </w:t>
      </w:r>
      <w:r w:rsidR="00330128">
        <w:t xml:space="preserve">Heather </w:t>
      </w:r>
      <w:r>
        <w:t xml:space="preserve">Douglas, </w:t>
      </w:r>
      <w:r w:rsidR="00330128">
        <w:t xml:space="preserve">Francesca </w:t>
      </w:r>
      <w:r>
        <w:t xml:space="preserve">Bartlett, </w:t>
      </w:r>
      <w:r w:rsidR="00330128">
        <w:t xml:space="preserve">Trish </w:t>
      </w:r>
      <w:r>
        <w:t xml:space="preserve">Luker and </w:t>
      </w:r>
      <w:r w:rsidR="00330128">
        <w:t xml:space="preserve">Rosemary </w:t>
      </w:r>
      <w:r>
        <w:t>Hunter, ‘Reflections on Rewriting the Law’</w:t>
      </w:r>
      <w:r w:rsidR="00330128">
        <w:t xml:space="preserve"> in Heather Douglas, Francesca Bartlett, Trish Luker and Rosemary Hunter (</w:t>
      </w:r>
      <w:proofErr w:type="spellStart"/>
      <w:r w:rsidR="00330128">
        <w:t>eds</w:t>
      </w:r>
      <w:proofErr w:type="spellEnd"/>
      <w:r w:rsidR="00330128">
        <w:t xml:space="preserve">), </w:t>
      </w:r>
      <w:r w:rsidR="00330128">
        <w:rPr>
          <w:i/>
        </w:rPr>
        <w:t xml:space="preserve">Australian Feminist Judgments: </w:t>
      </w:r>
      <w:proofErr w:type="spellStart"/>
      <w:r w:rsidR="00330128">
        <w:rPr>
          <w:i/>
        </w:rPr>
        <w:t>Righting</w:t>
      </w:r>
      <w:proofErr w:type="spellEnd"/>
      <w:r w:rsidR="00330128">
        <w:rPr>
          <w:i/>
        </w:rPr>
        <w:t xml:space="preserve"> and Rewriting Law</w:t>
      </w:r>
      <w:r w:rsidR="00A91831">
        <w:t xml:space="preserve"> (Hart Publishing 2014) 19</w:t>
      </w:r>
      <w:r w:rsidR="00330128">
        <w:t>.</w:t>
      </w:r>
    </w:p>
  </w:footnote>
  <w:footnote w:id="56">
    <w:p w:rsidR="00D67DDA" w:rsidRPr="008D015E" w:rsidRDefault="00D67DDA" w:rsidP="008D015E">
      <w:pPr>
        <w:pStyle w:val="FootnoteText"/>
        <w:spacing w:line="480" w:lineRule="auto"/>
        <w:rPr>
          <w:highlight w:val="yellow"/>
        </w:rPr>
      </w:pPr>
      <w:r w:rsidRPr="00FA7059">
        <w:rPr>
          <w:rStyle w:val="FootnoteReference"/>
        </w:rPr>
        <w:footnoteRef/>
      </w:r>
      <w:r w:rsidR="00FA7059">
        <w:t xml:space="preserve"> </w:t>
      </w:r>
      <w:proofErr w:type="spellStart"/>
      <w:r w:rsidR="00FA7059">
        <w:t>Eg</w:t>
      </w:r>
      <w:proofErr w:type="spellEnd"/>
      <w:r w:rsidR="00FA7059">
        <w:t xml:space="preserve">, Alison Diduck, </w:t>
      </w:r>
      <w:proofErr w:type="spellStart"/>
      <w:r w:rsidR="00FA7059">
        <w:t>‘</w:t>
      </w:r>
      <w:r w:rsidR="00FA7059">
        <w:rPr>
          <w:i/>
        </w:rPr>
        <w:t>Re</w:t>
      </w:r>
      <w:proofErr w:type="spellEnd"/>
      <w:r w:rsidR="00FA7059">
        <w:rPr>
          <w:i/>
        </w:rPr>
        <w:t xml:space="preserve"> G (Children) (Residence: Same-Sex Partner)</w:t>
      </w:r>
      <w:r w:rsidR="00FA7059">
        <w:t xml:space="preserve">’ in Rosemary Hunter, Clare </w:t>
      </w:r>
      <w:proofErr w:type="spellStart"/>
      <w:r w:rsidR="00FA7059">
        <w:t>McGlynn</w:t>
      </w:r>
      <w:proofErr w:type="spellEnd"/>
      <w:r w:rsidR="00FA7059">
        <w:t xml:space="preserve"> and Erika Rackley (</w:t>
      </w:r>
      <w:proofErr w:type="spellStart"/>
      <w:r w:rsidR="00FA7059">
        <w:t>eds</w:t>
      </w:r>
      <w:proofErr w:type="spellEnd"/>
      <w:r w:rsidR="00FA7059">
        <w:t xml:space="preserve">), </w:t>
      </w:r>
      <w:r w:rsidR="00FA7059">
        <w:rPr>
          <w:i/>
        </w:rPr>
        <w:t xml:space="preserve">Feminist Judgments: From Theory to Practice </w:t>
      </w:r>
      <w:r w:rsidR="00025C40">
        <w:t>(Hart Publishing</w:t>
      </w:r>
      <w:r w:rsidR="00FA7059">
        <w:t xml:space="preserve"> 2010) </w:t>
      </w:r>
      <w:r w:rsidR="00C9380D">
        <w:t xml:space="preserve">102; Geraldine Hastings, </w:t>
      </w:r>
      <w:proofErr w:type="spellStart"/>
      <w:r w:rsidR="00C9380D">
        <w:t>‘</w:t>
      </w:r>
      <w:r w:rsidR="00C9380D">
        <w:rPr>
          <w:i/>
        </w:rPr>
        <w:t>Re</w:t>
      </w:r>
      <w:proofErr w:type="spellEnd"/>
      <w:r w:rsidR="00C9380D">
        <w:rPr>
          <w:i/>
        </w:rPr>
        <w:t xml:space="preserve"> A (Children) (Conjoined Twins: Surgical Separation)</w:t>
      </w:r>
      <w:r w:rsidR="00C9380D">
        <w:t xml:space="preserve">’ in ibid 139; Lois </w:t>
      </w:r>
      <w:proofErr w:type="spellStart"/>
      <w:r w:rsidR="00C9380D">
        <w:t>Bibbings</w:t>
      </w:r>
      <w:proofErr w:type="spellEnd"/>
      <w:r w:rsidR="00C9380D">
        <w:t>, ‘</w:t>
      </w:r>
      <w:r w:rsidRPr="00C9380D">
        <w:rPr>
          <w:i/>
        </w:rPr>
        <w:t>R v Stone and Dobinson</w:t>
      </w:r>
      <w:r w:rsidR="00C9380D">
        <w:t xml:space="preserve">’ in ibid 234; </w:t>
      </w:r>
      <w:proofErr w:type="spellStart"/>
      <w:r w:rsidR="00C9380D">
        <w:t>Maleiha</w:t>
      </w:r>
      <w:proofErr w:type="spellEnd"/>
      <w:r w:rsidR="00C9380D">
        <w:t xml:space="preserve"> Malik, ‘</w:t>
      </w:r>
      <w:r w:rsidR="00C9380D">
        <w:rPr>
          <w:i/>
        </w:rPr>
        <w:t>R (Begum) v Governors of Denbigh High School</w:t>
      </w:r>
      <w:r w:rsidR="00C9380D">
        <w:t>’ in ibid 336.</w:t>
      </w:r>
    </w:p>
  </w:footnote>
  <w:footnote w:id="57">
    <w:p w:rsidR="008D015E" w:rsidRDefault="008D015E" w:rsidP="008D015E">
      <w:pPr>
        <w:pStyle w:val="FootnoteText"/>
        <w:spacing w:line="480" w:lineRule="auto"/>
      </w:pPr>
      <w:r w:rsidRPr="00C9380D">
        <w:rPr>
          <w:rStyle w:val="FootnoteReference"/>
        </w:rPr>
        <w:footnoteRef/>
      </w:r>
      <w:r w:rsidR="00C9380D">
        <w:t xml:space="preserve"> </w:t>
      </w:r>
      <w:proofErr w:type="spellStart"/>
      <w:r w:rsidR="00C9380D">
        <w:t>E</w:t>
      </w:r>
      <w:r w:rsidRPr="00C9380D">
        <w:t>g</w:t>
      </w:r>
      <w:proofErr w:type="spellEnd"/>
      <w:r w:rsidR="00C9380D">
        <w:t>, Linda Mulcahy and Cathy Andrews, ‘</w:t>
      </w:r>
      <w:r w:rsidRPr="00C9380D">
        <w:rPr>
          <w:i/>
        </w:rPr>
        <w:t>Baird Textile Holdings v Marks &amp; Spencer Plc</w:t>
      </w:r>
      <w:r w:rsidR="00C9380D">
        <w:t>’ in ibid 189; Robin Mackenzie</w:t>
      </w:r>
      <w:r w:rsidRPr="00C9380D">
        <w:t xml:space="preserve">, </w:t>
      </w:r>
      <w:r w:rsidR="00C9380D">
        <w:t>‘</w:t>
      </w:r>
      <w:r w:rsidRPr="00C9380D">
        <w:rPr>
          <w:i/>
        </w:rPr>
        <w:t>R v Brown</w:t>
      </w:r>
      <w:r w:rsidR="00C9380D">
        <w:t xml:space="preserve">’ in ibid 247; </w:t>
      </w:r>
      <w:proofErr w:type="spellStart"/>
      <w:r w:rsidR="00C9380D">
        <w:t>Reg</w:t>
      </w:r>
      <w:proofErr w:type="spellEnd"/>
      <w:r w:rsidR="00C9380D">
        <w:t xml:space="preserve"> </w:t>
      </w:r>
      <w:proofErr w:type="spellStart"/>
      <w:r w:rsidR="00C9380D">
        <w:t>Graycar</w:t>
      </w:r>
      <w:proofErr w:type="spellEnd"/>
      <w:r w:rsidR="00C9380D">
        <w:t xml:space="preserve"> and Jenny Morgan</w:t>
      </w:r>
      <w:r w:rsidRPr="00C9380D">
        <w:t xml:space="preserve">, </w:t>
      </w:r>
      <w:r w:rsidR="00C9380D">
        <w:t>‘</w:t>
      </w:r>
      <w:r w:rsidRPr="00C9380D">
        <w:rPr>
          <w:i/>
        </w:rPr>
        <w:t>Dietrich v R</w:t>
      </w:r>
      <w:r w:rsidR="00C9380D">
        <w:t>’ in Heather Douglas, Francesca Bartlett, Trish Luker and Rosemary Hunter (</w:t>
      </w:r>
      <w:proofErr w:type="spellStart"/>
      <w:r w:rsidR="00C9380D">
        <w:t>eds</w:t>
      </w:r>
      <w:proofErr w:type="spellEnd"/>
      <w:r w:rsidR="00C9380D">
        <w:t xml:space="preserve">), </w:t>
      </w:r>
      <w:r w:rsidR="00C9380D">
        <w:rPr>
          <w:i/>
        </w:rPr>
        <w:t xml:space="preserve">Australian Feminist Judgments: </w:t>
      </w:r>
      <w:proofErr w:type="spellStart"/>
      <w:r w:rsidR="00C9380D">
        <w:rPr>
          <w:i/>
        </w:rPr>
        <w:t>Righting</w:t>
      </w:r>
      <w:proofErr w:type="spellEnd"/>
      <w:r w:rsidR="00C9380D">
        <w:rPr>
          <w:i/>
        </w:rPr>
        <w:t xml:space="preserve"> and Rewriting Law</w:t>
      </w:r>
      <w:r w:rsidR="00025C40">
        <w:t xml:space="preserve"> (Hart Publishing</w:t>
      </w:r>
      <w:r w:rsidR="00C9380D">
        <w:t xml:space="preserve"> 2014) 75; </w:t>
      </w:r>
      <w:r w:rsidR="00B96124">
        <w:t xml:space="preserve">Nan </w:t>
      </w:r>
      <w:proofErr w:type="spellStart"/>
      <w:r w:rsidR="00B96124">
        <w:t>Seuffert</w:t>
      </w:r>
      <w:proofErr w:type="spellEnd"/>
      <w:r w:rsidR="00B96124">
        <w:t>, ‘</w:t>
      </w:r>
      <w:r w:rsidRPr="00B96124">
        <w:rPr>
          <w:i/>
        </w:rPr>
        <w:t>Appellant S395/2002</w:t>
      </w:r>
      <w:r w:rsidR="00B96124">
        <w:rPr>
          <w:i/>
        </w:rPr>
        <w:t xml:space="preserve"> v Minister for Immigration and Multicultural Affairs</w:t>
      </w:r>
      <w:r w:rsidR="00B96124">
        <w:t>’ in ibid 120</w:t>
      </w:r>
      <w:r w:rsidRPr="00C9380D">
        <w:t>;</w:t>
      </w:r>
      <w:r w:rsidR="00B96124">
        <w:t xml:space="preserve"> Lee Godden,</w:t>
      </w:r>
      <w:r w:rsidRPr="00C9380D">
        <w:t xml:space="preserve"> </w:t>
      </w:r>
      <w:r w:rsidR="00B96124">
        <w:t>‘</w:t>
      </w:r>
      <w:r w:rsidRPr="00B96124">
        <w:rPr>
          <w:i/>
        </w:rPr>
        <w:t>Wildl</w:t>
      </w:r>
      <w:r w:rsidR="00B96124">
        <w:rPr>
          <w:i/>
        </w:rPr>
        <w:t xml:space="preserve">ife Preservation Society of Queensland Proserpine/Whitsunday Branch </w:t>
      </w:r>
      <w:proofErr w:type="spellStart"/>
      <w:r w:rsidR="00B96124">
        <w:rPr>
          <w:i/>
        </w:rPr>
        <w:t>Inc</w:t>
      </w:r>
      <w:proofErr w:type="spellEnd"/>
      <w:r w:rsidR="00B96124">
        <w:rPr>
          <w:i/>
        </w:rPr>
        <w:t xml:space="preserve"> v Minister for Environment and Heritage</w:t>
      </w:r>
      <w:r w:rsidR="00B96124">
        <w:t>’ in ibid 138.</w:t>
      </w:r>
      <w:r>
        <w:t xml:space="preserve"> </w:t>
      </w:r>
    </w:p>
  </w:footnote>
  <w:footnote w:id="58">
    <w:p w:rsidR="00CF3C73" w:rsidRDefault="00CF3C73" w:rsidP="00A91831">
      <w:pPr>
        <w:pStyle w:val="FootnoteText"/>
        <w:spacing w:line="480" w:lineRule="auto"/>
      </w:pPr>
      <w:r>
        <w:rPr>
          <w:rStyle w:val="FootnoteReference"/>
        </w:rPr>
        <w:footnoteRef/>
      </w:r>
      <w:r>
        <w:t xml:space="preserve"> See, in particular, Hunter, ‘</w:t>
      </w:r>
      <w:r w:rsidR="00A91831">
        <w:t>An Account of Feminist Judging’ (n 54).</w:t>
      </w:r>
    </w:p>
  </w:footnote>
  <w:footnote w:id="59">
    <w:p w:rsidR="0039133A" w:rsidRPr="00B42CF6" w:rsidRDefault="0039133A" w:rsidP="00326734">
      <w:pPr>
        <w:pStyle w:val="FootnoteText"/>
        <w:spacing w:line="480" w:lineRule="auto"/>
      </w:pPr>
      <w:r>
        <w:rPr>
          <w:rStyle w:val="FootnoteReference"/>
        </w:rPr>
        <w:footnoteRef/>
      </w:r>
      <w:r>
        <w:t xml:space="preserve"> See Rosemary Hunter, ‘The Power o</w:t>
      </w:r>
      <w:r w:rsidR="00765BF6">
        <w:t>f Feminist Judgments?’ (2012) 20</w:t>
      </w:r>
      <w:r>
        <w:t xml:space="preserve"> </w:t>
      </w:r>
      <w:r>
        <w:rPr>
          <w:i/>
        </w:rPr>
        <w:t>Feminist Legal Studies</w:t>
      </w:r>
      <w:r w:rsidR="00765BF6">
        <w:t xml:space="preserve"> 135</w:t>
      </w:r>
      <w:r>
        <w:t>.</w:t>
      </w:r>
    </w:p>
  </w:footnote>
  <w:footnote w:id="60">
    <w:p w:rsidR="009773EA" w:rsidRPr="009773EA" w:rsidRDefault="009773EA" w:rsidP="009773EA">
      <w:pPr>
        <w:pStyle w:val="FootnoteText"/>
        <w:spacing w:line="480" w:lineRule="auto"/>
      </w:pPr>
      <w:r>
        <w:rPr>
          <w:rStyle w:val="FootnoteReference"/>
        </w:rPr>
        <w:footnoteRef/>
      </w:r>
      <w:r>
        <w:t xml:space="preserve"> See also Sean </w:t>
      </w:r>
      <w:proofErr w:type="spellStart"/>
      <w:r>
        <w:t>Rehaag</w:t>
      </w:r>
      <w:proofErr w:type="spellEnd"/>
      <w:r>
        <w:t xml:space="preserve">, ‘Do Women Refugee Judges Really Make a Difference? An Empirical Analysis of Gender and Outcomes in Canadian Refugee Determinations’ (2011) 23 </w:t>
      </w:r>
      <w:r>
        <w:rPr>
          <w:i/>
        </w:rPr>
        <w:t>Canadian Journal of Women and Law</w:t>
      </w:r>
      <w:r>
        <w:t xml:space="preserve"> 627, who found that female refugee adjudicators with prior experience in women’s rights had higher average grant rates overall, in cases involving female claimants, and in cases involving claims of gender-based persecution.</w:t>
      </w:r>
    </w:p>
  </w:footnote>
  <w:footnote w:id="61">
    <w:p w:rsidR="0039133A" w:rsidRPr="00382B0E" w:rsidRDefault="0039133A" w:rsidP="00326734">
      <w:pPr>
        <w:pStyle w:val="FootnoteText"/>
        <w:spacing w:line="480" w:lineRule="auto"/>
      </w:pPr>
      <w:r>
        <w:rPr>
          <w:rStyle w:val="FootnoteReference"/>
        </w:rPr>
        <w:footnoteRef/>
      </w:r>
      <w:r>
        <w:t xml:space="preserve"> Hunter, ‘Justice Marcia Neave</w:t>
      </w:r>
      <w:r w:rsidR="00B96124">
        <w:t>’ (n 54</w:t>
      </w:r>
      <w:r w:rsidR="00330128">
        <w:t>)</w:t>
      </w:r>
      <w:r>
        <w:t>.</w:t>
      </w:r>
    </w:p>
  </w:footnote>
  <w:footnote w:id="62">
    <w:p w:rsidR="0039133A" w:rsidRPr="00735991" w:rsidRDefault="0039133A" w:rsidP="00326734">
      <w:pPr>
        <w:pStyle w:val="FootnoteText"/>
        <w:spacing w:line="480" w:lineRule="auto"/>
      </w:pPr>
      <w:r>
        <w:rPr>
          <w:rStyle w:val="FootnoteReference"/>
        </w:rPr>
        <w:footnoteRef/>
      </w:r>
      <w:r>
        <w:t xml:space="preserve"> </w:t>
      </w:r>
      <w:proofErr w:type="spellStart"/>
      <w:r w:rsidR="00735991">
        <w:t>Eg</w:t>
      </w:r>
      <w:proofErr w:type="spellEnd"/>
      <w:r w:rsidR="00735991">
        <w:t xml:space="preserve">, Elaine Martin, ‘Differences in Men and Women Judges: Perspectives on Gender’ (1989) 17 </w:t>
      </w:r>
      <w:r w:rsidR="00735991">
        <w:rPr>
          <w:i/>
        </w:rPr>
        <w:t>Journal of Political Science</w:t>
      </w:r>
      <w:r w:rsidR="00735991">
        <w:t xml:space="preserve"> 74; Sue Davis, Susan </w:t>
      </w:r>
      <w:proofErr w:type="spellStart"/>
      <w:r w:rsidR="00735991">
        <w:t>Haire</w:t>
      </w:r>
      <w:proofErr w:type="spellEnd"/>
      <w:r w:rsidR="00735991">
        <w:t xml:space="preserve"> and Donald R </w:t>
      </w:r>
      <w:proofErr w:type="spellStart"/>
      <w:r w:rsidR="00735991">
        <w:t>Songer</w:t>
      </w:r>
      <w:proofErr w:type="spellEnd"/>
      <w:r w:rsidR="00735991">
        <w:t xml:space="preserve">, ‘Voting Behaviour and Gender in the US Court of Appeals’ (1993) 77 </w:t>
      </w:r>
      <w:r w:rsidR="00735991">
        <w:rPr>
          <w:i/>
        </w:rPr>
        <w:t xml:space="preserve">Judicature </w:t>
      </w:r>
      <w:r w:rsidR="00735991">
        <w:t xml:space="preserve">129; David W Allen and Diane E Wall, ‘Role Orientations and Women State Supreme Court Justices’ (1993) 77 </w:t>
      </w:r>
      <w:r w:rsidR="00735991">
        <w:rPr>
          <w:i/>
        </w:rPr>
        <w:t>Judicature</w:t>
      </w:r>
      <w:r w:rsidR="00735991">
        <w:t xml:space="preserve"> 156; Elaine Martin and Barry Pyle, ‘Gender, Race and Partisanship on the Michigan Supreme Court’ (2000) 63 </w:t>
      </w:r>
      <w:r w:rsidR="00735991">
        <w:rPr>
          <w:i/>
        </w:rPr>
        <w:t>Albany Law Review</w:t>
      </w:r>
      <w:r w:rsidR="00735991">
        <w:t xml:space="preserve"> 1205; Donald R </w:t>
      </w:r>
      <w:proofErr w:type="spellStart"/>
      <w:r w:rsidR="00735991">
        <w:t>Songer</w:t>
      </w:r>
      <w:proofErr w:type="spellEnd"/>
      <w:r w:rsidR="00735991">
        <w:t xml:space="preserve"> and Kelley A Crews-Myer, ‘’Does Judge Gender Matter? Decision-Making in State Supreme Courts’ (2000) 81 </w:t>
      </w:r>
      <w:r w:rsidR="00735991">
        <w:rPr>
          <w:i/>
        </w:rPr>
        <w:t xml:space="preserve">Social Science Quarterly </w:t>
      </w:r>
      <w:r w:rsidR="00735991">
        <w:t xml:space="preserve">750; Jennifer L </w:t>
      </w:r>
      <w:proofErr w:type="spellStart"/>
      <w:r w:rsidR="00735991">
        <w:t>Peresie</w:t>
      </w:r>
      <w:proofErr w:type="spellEnd"/>
      <w:r w:rsidR="00735991">
        <w:t xml:space="preserve">, ‘Female Judges Matter: Gender and Collegial </w:t>
      </w:r>
      <w:proofErr w:type="spellStart"/>
      <w:r w:rsidR="00735991">
        <w:t>Decisionmaking</w:t>
      </w:r>
      <w:proofErr w:type="spellEnd"/>
      <w:r w:rsidR="00735991">
        <w:t xml:space="preserve"> i</w:t>
      </w:r>
      <w:r w:rsidR="00B96124">
        <w:t>n the Federal Appellate Courts’</w:t>
      </w:r>
      <w:r w:rsidR="00735991">
        <w:t xml:space="preserve"> (2004-5) 114 </w:t>
      </w:r>
      <w:r w:rsidR="00735991">
        <w:rPr>
          <w:i/>
        </w:rPr>
        <w:t>Yale Law Journal</w:t>
      </w:r>
      <w:r w:rsidR="00735991">
        <w:t xml:space="preserve"> 1759; </w:t>
      </w:r>
      <w:r w:rsidR="00344165">
        <w:t xml:space="preserve">Elaine Martin and Barry Pyle, ‘State High Courts and Divorce: The Impact of Judicial Gender’ (2005) 36 </w:t>
      </w:r>
      <w:r w:rsidR="00344165">
        <w:rPr>
          <w:i/>
        </w:rPr>
        <w:t xml:space="preserve">University of Toledo Law Review </w:t>
      </w:r>
      <w:r w:rsidR="00344165">
        <w:t xml:space="preserve">923; </w:t>
      </w:r>
      <w:r w:rsidR="00735991">
        <w:t xml:space="preserve">Christina L Boyd, Lee Epstein and Andrew D Martin, ‘Untangling the Causal Effects of Sex on Judging’’ (2010) 54 </w:t>
      </w:r>
      <w:r w:rsidR="00735991">
        <w:rPr>
          <w:i/>
        </w:rPr>
        <w:t xml:space="preserve">American Journal of Political </w:t>
      </w:r>
      <w:r w:rsidR="00735991" w:rsidRPr="00735991">
        <w:rPr>
          <w:i/>
        </w:rPr>
        <w:t>Science</w:t>
      </w:r>
      <w:r w:rsidR="00735991">
        <w:t xml:space="preserve"> 389; Susan W Johnson, Donald R </w:t>
      </w:r>
      <w:proofErr w:type="spellStart"/>
      <w:r w:rsidR="00735991">
        <w:t>Songer</w:t>
      </w:r>
      <w:proofErr w:type="spellEnd"/>
      <w:r w:rsidR="00735991">
        <w:t xml:space="preserve"> and NA </w:t>
      </w:r>
      <w:proofErr w:type="spellStart"/>
      <w:r w:rsidR="00735991">
        <w:t>Jilani</w:t>
      </w:r>
      <w:proofErr w:type="spellEnd"/>
      <w:r w:rsidR="00735991">
        <w:t xml:space="preserve">, ‘Judge Gender, Critical Mass, and Decision-Making in the Appellate Courts of Canada’ (2011) 32(3) </w:t>
      </w:r>
      <w:r w:rsidR="00735991">
        <w:rPr>
          <w:i/>
        </w:rPr>
        <w:t xml:space="preserve">Journal of Women, Politics and Policy </w:t>
      </w:r>
      <w:r w:rsidR="00735991">
        <w:t xml:space="preserve">237; </w:t>
      </w:r>
      <w:r w:rsidR="00735991" w:rsidRPr="00735991">
        <w:t>David</w:t>
      </w:r>
      <w:r w:rsidR="00735991">
        <w:t xml:space="preserve"> </w:t>
      </w:r>
      <w:proofErr w:type="spellStart"/>
      <w:r w:rsidR="00735991">
        <w:t>Terpstra</w:t>
      </w:r>
      <w:proofErr w:type="spellEnd"/>
      <w:r w:rsidR="00735991">
        <w:t xml:space="preserve">, ‘The Influence of the Gender and Race of the Judge and the Type of Discrimination Charge on Court Case Outcomes’ (2013) 55(4) </w:t>
      </w:r>
      <w:r w:rsidR="00735991">
        <w:rPr>
          <w:i/>
        </w:rPr>
        <w:t>International Journal of Law and Management</w:t>
      </w:r>
      <w:r w:rsidR="00735991">
        <w:t xml:space="preserve"> 318.</w:t>
      </w:r>
    </w:p>
  </w:footnote>
  <w:footnote w:id="63">
    <w:p w:rsidR="0039133A" w:rsidRPr="00D12068" w:rsidRDefault="0039133A" w:rsidP="00326734">
      <w:pPr>
        <w:pStyle w:val="FootnoteText"/>
        <w:spacing w:line="480" w:lineRule="auto"/>
      </w:pPr>
      <w:r>
        <w:rPr>
          <w:rStyle w:val="FootnoteReference"/>
        </w:rPr>
        <w:footnoteRef/>
      </w:r>
      <w:r>
        <w:t xml:space="preserve"> </w:t>
      </w:r>
      <w:proofErr w:type="spellStart"/>
      <w:r>
        <w:t>Eg</w:t>
      </w:r>
      <w:proofErr w:type="spellEnd"/>
      <w:r w:rsidR="004F0937">
        <w:t>,</w:t>
      </w:r>
      <w:r w:rsidR="0053109C">
        <w:t xml:space="preserve"> </w:t>
      </w:r>
      <w:r w:rsidR="0053109C">
        <w:rPr>
          <w:i/>
        </w:rPr>
        <w:t xml:space="preserve">R v </w:t>
      </w:r>
      <w:proofErr w:type="spellStart"/>
      <w:r w:rsidR="0053109C">
        <w:rPr>
          <w:i/>
        </w:rPr>
        <w:t>Morgentaler</w:t>
      </w:r>
      <w:proofErr w:type="spellEnd"/>
      <w:r w:rsidR="0053109C">
        <w:rPr>
          <w:i/>
        </w:rPr>
        <w:t xml:space="preserve"> </w:t>
      </w:r>
      <w:r w:rsidR="0053109C">
        <w:t xml:space="preserve">[1988] 1 SCR 30 (access to abortion); </w:t>
      </w:r>
      <w:r w:rsidR="0053109C">
        <w:rPr>
          <w:i/>
        </w:rPr>
        <w:t xml:space="preserve">R v </w:t>
      </w:r>
      <w:proofErr w:type="spellStart"/>
      <w:r w:rsidR="0053109C">
        <w:rPr>
          <w:i/>
        </w:rPr>
        <w:t>Lavallee</w:t>
      </w:r>
      <w:proofErr w:type="spellEnd"/>
      <w:r w:rsidR="0053109C">
        <w:t xml:space="preserve"> [1990] 1 SCR 852 (admission of evidence of battered woman syndrome)</w:t>
      </w:r>
      <w:r>
        <w:t xml:space="preserve">. </w:t>
      </w:r>
    </w:p>
  </w:footnote>
  <w:footnote w:id="64">
    <w:p w:rsidR="0039133A" w:rsidRPr="004F0937" w:rsidRDefault="0039133A" w:rsidP="00326734">
      <w:pPr>
        <w:pStyle w:val="FootnoteText"/>
        <w:spacing w:line="480" w:lineRule="auto"/>
      </w:pPr>
      <w:r>
        <w:rPr>
          <w:rStyle w:val="FootnoteReference"/>
        </w:rPr>
        <w:footnoteRef/>
      </w:r>
      <w:r>
        <w:t xml:space="preserve"> </w:t>
      </w:r>
      <w:proofErr w:type="spellStart"/>
      <w:r>
        <w:t>Eg</w:t>
      </w:r>
      <w:proofErr w:type="spellEnd"/>
      <w:r w:rsidR="004F0937">
        <w:t>,</w:t>
      </w:r>
      <w:r w:rsidR="0053109C">
        <w:t xml:space="preserve"> </w:t>
      </w:r>
      <w:r w:rsidR="004F0937">
        <w:rPr>
          <w:i/>
        </w:rPr>
        <w:t xml:space="preserve">R v </w:t>
      </w:r>
      <w:proofErr w:type="spellStart"/>
      <w:r w:rsidR="004F0937">
        <w:rPr>
          <w:i/>
        </w:rPr>
        <w:t>Seaboyer</w:t>
      </w:r>
      <w:proofErr w:type="spellEnd"/>
      <w:r w:rsidR="004F0937">
        <w:t xml:space="preserve"> [1991] 2 SCR 577 (admissibility of sexual history evidence); </w:t>
      </w:r>
      <w:proofErr w:type="spellStart"/>
      <w:r w:rsidR="0053109C">
        <w:rPr>
          <w:i/>
        </w:rPr>
        <w:t>Moge</w:t>
      </w:r>
      <w:proofErr w:type="spellEnd"/>
      <w:r w:rsidR="0053109C">
        <w:rPr>
          <w:i/>
        </w:rPr>
        <w:t xml:space="preserve"> v </w:t>
      </w:r>
      <w:proofErr w:type="spellStart"/>
      <w:r w:rsidR="0053109C">
        <w:rPr>
          <w:i/>
        </w:rPr>
        <w:t>Moge</w:t>
      </w:r>
      <w:proofErr w:type="spellEnd"/>
      <w:r w:rsidR="0053109C">
        <w:rPr>
          <w:i/>
        </w:rPr>
        <w:t xml:space="preserve"> </w:t>
      </w:r>
      <w:r w:rsidR="0053109C">
        <w:t xml:space="preserve">[1992] 3 SCR 813 (spousal support); </w:t>
      </w:r>
      <w:proofErr w:type="spellStart"/>
      <w:r w:rsidR="0053109C">
        <w:rPr>
          <w:i/>
        </w:rPr>
        <w:t>Symes</w:t>
      </w:r>
      <w:proofErr w:type="spellEnd"/>
      <w:r w:rsidR="0053109C">
        <w:rPr>
          <w:i/>
        </w:rPr>
        <w:t xml:space="preserve"> v Canada</w:t>
      </w:r>
      <w:r w:rsidR="0053109C">
        <w:t xml:space="preserve"> [1993] 4 SCR 695 (tax deductibility of childcare expenses);</w:t>
      </w:r>
      <w:r>
        <w:t xml:space="preserve"> </w:t>
      </w:r>
      <w:r w:rsidR="004F0937">
        <w:rPr>
          <w:i/>
        </w:rPr>
        <w:t xml:space="preserve">R v </w:t>
      </w:r>
      <w:proofErr w:type="spellStart"/>
      <w:r w:rsidR="004F0937">
        <w:rPr>
          <w:i/>
        </w:rPr>
        <w:t>Osolin</w:t>
      </w:r>
      <w:proofErr w:type="spellEnd"/>
      <w:r w:rsidR="004F0937">
        <w:t xml:space="preserve"> [1993] 4 SCR 595, </w:t>
      </w:r>
      <w:r w:rsidR="004F0937">
        <w:rPr>
          <w:i/>
        </w:rPr>
        <w:t xml:space="preserve">R v </w:t>
      </w:r>
      <w:proofErr w:type="spellStart"/>
      <w:r w:rsidR="004F0937">
        <w:rPr>
          <w:i/>
        </w:rPr>
        <w:t>Carosella</w:t>
      </w:r>
      <w:proofErr w:type="spellEnd"/>
      <w:r w:rsidR="004F0937">
        <w:t xml:space="preserve"> [1997] 1 SCR 80 (admissibility of rape victim’s counselling records); </w:t>
      </w:r>
      <w:r w:rsidR="004F0937">
        <w:rPr>
          <w:i/>
        </w:rPr>
        <w:t xml:space="preserve">R v RDS </w:t>
      </w:r>
      <w:r w:rsidR="004F0937">
        <w:t xml:space="preserve">[1997] 3 SCR 484 (judicial bias); </w:t>
      </w:r>
      <w:r w:rsidR="004F0937">
        <w:rPr>
          <w:i/>
        </w:rPr>
        <w:t xml:space="preserve">R v </w:t>
      </w:r>
      <w:proofErr w:type="spellStart"/>
      <w:r w:rsidR="004F0937">
        <w:rPr>
          <w:i/>
        </w:rPr>
        <w:t>Ewanchuck</w:t>
      </w:r>
      <w:proofErr w:type="spellEnd"/>
      <w:r w:rsidR="004F0937">
        <w:t xml:space="preserve"> [1999] 1 SCR 330 (consent in rape). </w:t>
      </w:r>
    </w:p>
  </w:footnote>
  <w:footnote w:id="65">
    <w:p w:rsidR="0039133A" w:rsidRDefault="0039133A" w:rsidP="00326734">
      <w:pPr>
        <w:pStyle w:val="FootnoteText"/>
        <w:spacing w:line="480" w:lineRule="auto"/>
      </w:pPr>
      <w:r>
        <w:rPr>
          <w:rStyle w:val="FootnoteReference"/>
        </w:rPr>
        <w:footnoteRef/>
      </w:r>
      <w:r w:rsidR="004F0937">
        <w:t xml:space="preserve"> </w:t>
      </w:r>
      <w:proofErr w:type="spellStart"/>
      <w:r w:rsidR="004F0937">
        <w:t>Eg</w:t>
      </w:r>
      <w:proofErr w:type="spellEnd"/>
      <w:r w:rsidR="004F0937">
        <w:t xml:space="preserve">, her dissents in </w:t>
      </w:r>
      <w:r w:rsidR="004F0937">
        <w:rPr>
          <w:i/>
        </w:rPr>
        <w:t xml:space="preserve">Gonzales v </w:t>
      </w:r>
      <w:proofErr w:type="spellStart"/>
      <w:r w:rsidR="004F0937">
        <w:rPr>
          <w:i/>
        </w:rPr>
        <w:t>Carhart</w:t>
      </w:r>
      <w:proofErr w:type="spellEnd"/>
      <w:r w:rsidR="004F0937">
        <w:t xml:space="preserve"> </w:t>
      </w:r>
      <w:r w:rsidR="00A03F19">
        <w:t>550 US 124 (2007)</w:t>
      </w:r>
      <w:r w:rsidR="004F0937">
        <w:t xml:space="preserve"> (abortion) and </w:t>
      </w:r>
      <w:r w:rsidR="004F0937">
        <w:rPr>
          <w:i/>
        </w:rPr>
        <w:t>Ledbetter v Goodyear Tire &amp; Rubber Co</w:t>
      </w:r>
      <w:r w:rsidR="004F0937">
        <w:t xml:space="preserve"> </w:t>
      </w:r>
      <w:r w:rsidR="00A03F19">
        <w:t>550 US 618 (2007)</w:t>
      </w:r>
      <w:r w:rsidR="004F0937">
        <w:t xml:space="preserve"> (pay equity)</w:t>
      </w:r>
      <w:r w:rsidR="00A03F19">
        <w:t>.</w:t>
      </w:r>
    </w:p>
  </w:footnote>
  <w:footnote w:id="66">
    <w:p w:rsidR="0039133A" w:rsidRPr="00D12068" w:rsidRDefault="0039133A" w:rsidP="00326734">
      <w:pPr>
        <w:pStyle w:val="FootnoteText"/>
        <w:spacing w:line="480" w:lineRule="auto"/>
      </w:pPr>
      <w:r>
        <w:rPr>
          <w:rStyle w:val="FootnoteReference"/>
        </w:rPr>
        <w:footnoteRef/>
      </w:r>
      <w:r>
        <w:t xml:space="preserve"> </w:t>
      </w:r>
      <w:proofErr w:type="spellStart"/>
      <w:r>
        <w:t>Eg</w:t>
      </w:r>
      <w:proofErr w:type="spellEnd"/>
      <w:r w:rsidR="009773EA">
        <w:t xml:space="preserve">, </w:t>
      </w:r>
      <w:r w:rsidR="009773EA">
        <w:rPr>
          <w:i/>
        </w:rPr>
        <w:t xml:space="preserve">Australian Iron &amp; Steel v </w:t>
      </w:r>
      <w:proofErr w:type="spellStart"/>
      <w:r w:rsidR="009773EA">
        <w:rPr>
          <w:i/>
        </w:rPr>
        <w:t>Banovic</w:t>
      </w:r>
      <w:proofErr w:type="spellEnd"/>
      <w:r w:rsidR="009773EA">
        <w:t xml:space="preserve"> (1989) 168 CLR 165 (indirect sex discrimination); </w:t>
      </w:r>
      <w:r w:rsidR="009773EA">
        <w:rPr>
          <w:i/>
        </w:rPr>
        <w:t>Street v Queensland Bar Association</w:t>
      </w:r>
      <w:r w:rsidR="009773EA">
        <w:t xml:space="preserve"> (1989) 168 CLR 461</w:t>
      </w:r>
      <w:r w:rsidR="00B50ADA">
        <w:t xml:space="preserve"> (on the concept of discrimination)</w:t>
      </w:r>
      <w:r w:rsidR="009773EA">
        <w:t>;</w:t>
      </w:r>
      <w:r>
        <w:t xml:space="preserve"> </w:t>
      </w:r>
      <w:r>
        <w:rPr>
          <w:i/>
        </w:rPr>
        <w:t xml:space="preserve">Van </w:t>
      </w:r>
      <w:proofErr w:type="spellStart"/>
      <w:r>
        <w:rPr>
          <w:i/>
        </w:rPr>
        <w:t>Gervan</w:t>
      </w:r>
      <w:proofErr w:type="spellEnd"/>
      <w:r>
        <w:rPr>
          <w:i/>
        </w:rPr>
        <w:t xml:space="preserve"> v Fenton</w:t>
      </w:r>
      <w:r>
        <w:t xml:space="preserve"> </w:t>
      </w:r>
      <w:r w:rsidR="00B50ADA">
        <w:t xml:space="preserve">(1992) 175 CLR 327 </w:t>
      </w:r>
      <w:r>
        <w:t xml:space="preserve">(torts: damages for domestic </w:t>
      </w:r>
      <w:r w:rsidR="009773EA">
        <w:t xml:space="preserve">services provided by </w:t>
      </w:r>
      <w:r w:rsidR="00B50ADA">
        <w:t xml:space="preserve">the plaintiff’s </w:t>
      </w:r>
      <w:r w:rsidR="009773EA">
        <w:t>wife)</w:t>
      </w:r>
      <w:r w:rsidR="00B50ADA">
        <w:t>.</w:t>
      </w:r>
    </w:p>
  </w:footnote>
  <w:footnote w:id="67">
    <w:p w:rsidR="0039133A" w:rsidRPr="00D12068" w:rsidRDefault="0039133A" w:rsidP="00326734">
      <w:pPr>
        <w:pStyle w:val="FootnoteText"/>
        <w:spacing w:line="480" w:lineRule="auto"/>
      </w:pPr>
      <w:r>
        <w:rPr>
          <w:rStyle w:val="FootnoteReference"/>
        </w:rPr>
        <w:footnoteRef/>
      </w:r>
      <w:r>
        <w:t xml:space="preserve"> </w:t>
      </w:r>
      <w:proofErr w:type="spellStart"/>
      <w:r>
        <w:t>Eg</w:t>
      </w:r>
      <w:proofErr w:type="spellEnd"/>
      <w:r w:rsidR="0076778D">
        <w:t xml:space="preserve">, </w:t>
      </w:r>
      <w:r w:rsidR="0076778D">
        <w:rPr>
          <w:i/>
        </w:rPr>
        <w:t>Re D (A Minor) (Contact: Mother’s Hostility)</w:t>
      </w:r>
      <w:r w:rsidR="0076778D">
        <w:t xml:space="preserve"> [1993] 2 FLR 1 (CA) (domestic violence and child contact);</w:t>
      </w:r>
      <w:r>
        <w:t xml:space="preserve"> </w:t>
      </w:r>
      <w:r>
        <w:rPr>
          <w:i/>
        </w:rPr>
        <w:t>Parkinson</w:t>
      </w:r>
      <w:r w:rsidR="00405363">
        <w:rPr>
          <w:i/>
        </w:rPr>
        <w:t xml:space="preserve"> v St James and </w:t>
      </w:r>
      <w:proofErr w:type="spellStart"/>
      <w:r w:rsidR="00405363">
        <w:rPr>
          <w:i/>
        </w:rPr>
        <w:t>Seacroft</w:t>
      </w:r>
      <w:proofErr w:type="spellEnd"/>
      <w:r w:rsidR="00405363">
        <w:rPr>
          <w:i/>
        </w:rPr>
        <w:t xml:space="preserve"> University Hospital NHS Trust</w:t>
      </w:r>
      <w:r w:rsidR="00405363">
        <w:t xml:space="preserve"> [2002] QB 266 (CA)</w:t>
      </w:r>
      <w:r>
        <w:t xml:space="preserve"> (torts: wrongful </w:t>
      </w:r>
      <w:r w:rsidR="00405363">
        <w:t>conception</w:t>
      </w:r>
      <w:r>
        <w:t xml:space="preserve">); </w:t>
      </w:r>
      <w:proofErr w:type="spellStart"/>
      <w:r>
        <w:rPr>
          <w:i/>
        </w:rPr>
        <w:t>Fornah</w:t>
      </w:r>
      <w:proofErr w:type="spellEnd"/>
      <w:r w:rsidR="007A3AAA">
        <w:rPr>
          <w:i/>
        </w:rPr>
        <w:t xml:space="preserve"> v Secretary of State for the Home Department</w:t>
      </w:r>
      <w:r w:rsidR="007A3AAA">
        <w:t xml:space="preserve"> [2006] UKHL 46, [2007] 1 AC 412 </w:t>
      </w:r>
      <w:r>
        <w:t xml:space="preserve"> (</w:t>
      </w:r>
      <w:r w:rsidR="007A3AAA">
        <w:t>asylum claim based on threat of female genital mutilation</w:t>
      </w:r>
      <w:r>
        <w:t xml:space="preserve">); </w:t>
      </w:r>
      <w:r w:rsidR="007E4442">
        <w:rPr>
          <w:i/>
        </w:rPr>
        <w:t xml:space="preserve">R v G </w:t>
      </w:r>
      <w:r w:rsidR="007E4442">
        <w:t xml:space="preserve">[2008] UKHL 37, [2008] 1 WLR 1379 (child sexual offences); </w:t>
      </w:r>
      <w:proofErr w:type="spellStart"/>
      <w:r w:rsidR="007E4442">
        <w:rPr>
          <w:i/>
        </w:rPr>
        <w:t>Radmacher</w:t>
      </w:r>
      <w:proofErr w:type="spellEnd"/>
      <w:r w:rsidR="007E4442">
        <w:rPr>
          <w:i/>
        </w:rPr>
        <w:t xml:space="preserve"> v </w:t>
      </w:r>
      <w:proofErr w:type="spellStart"/>
      <w:r w:rsidR="007E4442">
        <w:rPr>
          <w:i/>
        </w:rPr>
        <w:t>Granatino</w:t>
      </w:r>
      <w:proofErr w:type="spellEnd"/>
      <w:r w:rsidR="007E4442">
        <w:t xml:space="preserve"> [2010] UKSC 42, [2011] 1 AC 534 (pre-nuptial contracts); </w:t>
      </w:r>
      <w:proofErr w:type="spellStart"/>
      <w:r>
        <w:rPr>
          <w:i/>
        </w:rPr>
        <w:t>Yemshaw</w:t>
      </w:r>
      <w:proofErr w:type="spellEnd"/>
      <w:r w:rsidR="007E4442">
        <w:rPr>
          <w:i/>
        </w:rPr>
        <w:t xml:space="preserve"> v Hounslow London Borough Council</w:t>
      </w:r>
      <w:r w:rsidR="007E4442">
        <w:t xml:space="preserve"> [2011] UKSC 3, [2011] 1 WLR 433</w:t>
      </w:r>
      <w:r>
        <w:t xml:space="preserve"> (domestic violence); </w:t>
      </w:r>
      <w:r w:rsidR="007E4442">
        <w:rPr>
          <w:i/>
        </w:rPr>
        <w:t xml:space="preserve">R (on the application of </w:t>
      </w:r>
      <w:r>
        <w:rPr>
          <w:i/>
        </w:rPr>
        <w:t>McDonald</w:t>
      </w:r>
      <w:r w:rsidR="007E4442">
        <w:rPr>
          <w:i/>
        </w:rPr>
        <w:t>) v Kensington and Chelsea Royal London Borough Council</w:t>
      </w:r>
      <w:r w:rsidR="007E4442">
        <w:t xml:space="preserve"> [2011] UKSC 33, [2011] 4 All ER 881 (</w:t>
      </w:r>
      <w:r w:rsidR="00C35C8D">
        <w:t xml:space="preserve">disabled woman’s </w:t>
      </w:r>
      <w:r w:rsidR="007E4442">
        <w:t>care needs). The</w:t>
      </w:r>
      <w:r>
        <w:t xml:space="preserve"> exception may</w:t>
      </w:r>
      <w:r w:rsidR="007E4442">
        <w:t xml:space="preserve"> </w:t>
      </w:r>
      <w:r>
        <w:t xml:space="preserve">be </w:t>
      </w:r>
      <w:r w:rsidR="007E4442">
        <w:rPr>
          <w:i/>
        </w:rPr>
        <w:t xml:space="preserve">R (on the application of </w:t>
      </w:r>
      <w:r>
        <w:rPr>
          <w:i/>
        </w:rPr>
        <w:t>Gentle</w:t>
      </w:r>
      <w:r w:rsidR="007E4442">
        <w:rPr>
          <w:i/>
        </w:rPr>
        <w:t>)) v Prime Minister</w:t>
      </w:r>
      <w:r w:rsidR="007E4442">
        <w:t xml:space="preserve"> [2008] UKHL 20, [2008] 1 AC 1356, which concerned </w:t>
      </w:r>
      <w:r w:rsidR="00C35C8D">
        <w:t xml:space="preserve">claims by the mothers of two servicemen killed in Iraq that a public inquiry should be held into the lawfulness of the UK’s invasion of Iraq. While denying the claim, Hale expressed empathy for the claimants as mothers. </w:t>
      </w:r>
      <w:r>
        <w:t xml:space="preserve"> See also Hale, </w:t>
      </w:r>
      <w:r w:rsidR="00C35C8D">
        <w:t>‘Fiona Woolf L</w:t>
      </w:r>
      <w:r>
        <w:t>ecture</w:t>
      </w:r>
      <w:r w:rsidR="00B96124">
        <w:t>’ (n 50</w:t>
      </w:r>
      <w:r w:rsidR="00C35C8D">
        <w:t xml:space="preserve">) </w:t>
      </w:r>
      <w:r>
        <w:t>21, referring to particular judgments of hers where she has brought in a different experience and perceptions of life.</w:t>
      </w:r>
    </w:p>
  </w:footnote>
  <w:footnote w:id="68">
    <w:p w:rsidR="0039133A" w:rsidRPr="00207E17" w:rsidRDefault="0039133A" w:rsidP="00326734">
      <w:pPr>
        <w:pStyle w:val="FootnoteText"/>
        <w:spacing w:line="480" w:lineRule="auto"/>
      </w:pPr>
      <w:r>
        <w:rPr>
          <w:rStyle w:val="FootnoteReference"/>
        </w:rPr>
        <w:footnoteRef/>
      </w:r>
      <w:r>
        <w:t xml:space="preserve"> </w:t>
      </w:r>
      <w:r w:rsidR="00C35C8D">
        <w:t xml:space="preserve">Anna </w:t>
      </w:r>
      <w:proofErr w:type="spellStart"/>
      <w:r w:rsidR="00C35C8D">
        <w:t>Grear</w:t>
      </w:r>
      <w:proofErr w:type="spellEnd"/>
      <w:r w:rsidR="00C35C8D">
        <w:t>, ‘</w:t>
      </w:r>
      <w:r>
        <w:rPr>
          <w:i/>
        </w:rPr>
        <w:t>Porter v Commissioner of Police for the Metropolis</w:t>
      </w:r>
      <w:r w:rsidR="00C35C8D">
        <w:t xml:space="preserve">’ in Rosemary Hunter, Clare </w:t>
      </w:r>
      <w:proofErr w:type="spellStart"/>
      <w:r w:rsidR="00C35C8D">
        <w:t>McGlynn</w:t>
      </w:r>
      <w:proofErr w:type="spellEnd"/>
      <w:r w:rsidR="00C35C8D">
        <w:t xml:space="preserve"> and Erika Rackley (</w:t>
      </w:r>
      <w:proofErr w:type="spellStart"/>
      <w:r w:rsidR="00C35C8D">
        <w:t>eds</w:t>
      </w:r>
      <w:proofErr w:type="spellEnd"/>
      <w:r w:rsidR="00C35C8D">
        <w:t xml:space="preserve">), </w:t>
      </w:r>
      <w:r w:rsidR="00C35C8D">
        <w:rPr>
          <w:i/>
        </w:rPr>
        <w:t>Feminist Judgments: From Theory to Practice</w:t>
      </w:r>
      <w:r w:rsidR="00C35C8D">
        <w:t xml:space="preserve"> (Hart Publishing 2010) 174</w:t>
      </w:r>
      <w:r>
        <w:t>.</w:t>
      </w:r>
    </w:p>
  </w:footnote>
  <w:footnote w:id="69">
    <w:p w:rsidR="0039133A" w:rsidRPr="00207E17" w:rsidRDefault="0039133A" w:rsidP="00326734">
      <w:pPr>
        <w:pStyle w:val="FootnoteText"/>
        <w:spacing w:line="480" w:lineRule="auto"/>
      </w:pPr>
      <w:r>
        <w:rPr>
          <w:rStyle w:val="FootnoteReference"/>
        </w:rPr>
        <w:footnoteRef/>
      </w:r>
      <w:r>
        <w:t xml:space="preserve"> </w:t>
      </w:r>
      <w:r w:rsidR="00C35C8D">
        <w:t>Mulcahy and Andrews</w:t>
      </w:r>
      <w:r w:rsidR="00B96124">
        <w:t xml:space="preserve"> (n 56)</w:t>
      </w:r>
      <w:r>
        <w:t>.</w:t>
      </w:r>
    </w:p>
  </w:footnote>
  <w:footnote w:id="70">
    <w:p w:rsidR="0039133A" w:rsidRPr="00207E17" w:rsidRDefault="0039133A" w:rsidP="00326734">
      <w:pPr>
        <w:pStyle w:val="FootnoteText"/>
        <w:spacing w:line="480" w:lineRule="auto"/>
      </w:pPr>
      <w:r>
        <w:rPr>
          <w:rStyle w:val="FootnoteReference"/>
        </w:rPr>
        <w:footnoteRef/>
      </w:r>
      <w:r>
        <w:t xml:space="preserve"> </w:t>
      </w:r>
      <w:proofErr w:type="spellStart"/>
      <w:r w:rsidR="00C35C8D">
        <w:t>Bibbings</w:t>
      </w:r>
      <w:proofErr w:type="spellEnd"/>
      <w:r w:rsidR="00B96124">
        <w:t xml:space="preserve"> (n 55); </w:t>
      </w:r>
      <w:r w:rsidR="00C35C8D">
        <w:t>Helen Carr and Caroline Hunter, ‘</w:t>
      </w:r>
      <w:r>
        <w:rPr>
          <w:i/>
        </w:rPr>
        <w:t>YL v Birmingham City Council</w:t>
      </w:r>
      <w:r w:rsidR="00C35C8D">
        <w:rPr>
          <w:i/>
        </w:rPr>
        <w:t xml:space="preserve"> and Others</w:t>
      </w:r>
      <w:r w:rsidR="00C35C8D">
        <w:t>’ in ibid 318</w:t>
      </w:r>
      <w:r>
        <w:t>.</w:t>
      </w:r>
    </w:p>
  </w:footnote>
  <w:footnote w:id="71">
    <w:p w:rsidR="0039133A" w:rsidRPr="00207E17" w:rsidRDefault="0039133A" w:rsidP="00326734">
      <w:pPr>
        <w:pStyle w:val="FootnoteText"/>
        <w:spacing w:line="480" w:lineRule="auto"/>
      </w:pPr>
      <w:r>
        <w:rPr>
          <w:rStyle w:val="FootnoteReference"/>
        </w:rPr>
        <w:footnoteRef/>
      </w:r>
      <w:r>
        <w:t xml:space="preserve"> </w:t>
      </w:r>
      <w:r w:rsidR="00C35C8D">
        <w:t>Mackenzie</w:t>
      </w:r>
      <w:r w:rsidR="00B96124">
        <w:t xml:space="preserve"> (n 56)</w:t>
      </w:r>
      <w:r>
        <w:t>.</w:t>
      </w:r>
    </w:p>
  </w:footnote>
  <w:footnote w:id="72">
    <w:p w:rsidR="00A26654" w:rsidRPr="00A26654" w:rsidRDefault="00A26654" w:rsidP="00A26654">
      <w:pPr>
        <w:pStyle w:val="FootnoteText"/>
        <w:spacing w:line="480" w:lineRule="auto"/>
      </w:pPr>
      <w:r>
        <w:rPr>
          <w:rStyle w:val="FootnoteReference"/>
        </w:rPr>
        <w:footnoteRef/>
      </w:r>
      <w:r w:rsidR="00B96124">
        <w:t xml:space="preserve"> </w:t>
      </w:r>
      <w:r>
        <w:t>Hastings</w:t>
      </w:r>
      <w:r w:rsidR="00B96124">
        <w:t xml:space="preserve"> (n 55)</w:t>
      </w:r>
      <w:r>
        <w:t>.</w:t>
      </w:r>
    </w:p>
  </w:footnote>
  <w:footnote w:id="73">
    <w:p w:rsidR="0039133A" w:rsidRPr="00794532" w:rsidRDefault="0039133A" w:rsidP="00326734">
      <w:pPr>
        <w:pStyle w:val="FootnoteText"/>
        <w:spacing w:line="480" w:lineRule="auto"/>
      </w:pPr>
      <w:r>
        <w:rPr>
          <w:rStyle w:val="FootnoteReference"/>
        </w:rPr>
        <w:footnoteRef/>
      </w:r>
      <w:r>
        <w:t xml:space="preserve"> </w:t>
      </w:r>
      <w:r w:rsidR="00C35C8D">
        <w:t>Kim Rubenstein, ‘</w:t>
      </w:r>
      <w:r>
        <w:rPr>
          <w:i/>
        </w:rPr>
        <w:t xml:space="preserve">R v Pearson, ex parte </w:t>
      </w:r>
      <w:proofErr w:type="spellStart"/>
      <w:r>
        <w:rPr>
          <w:i/>
        </w:rPr>
        <w:t>Sipka</w:t>
      </w:r>
      <w:proofErr w:type="spellEnd"/>
      <w:r w:rsidR="00C35C8D">
        <w:t xml:space="preserve">’ in Heather Douglas, </w:t>
      </w:r>
      <w:r w:rsidR="005953A4">
        <w:t>Francesca Bartlett, Trish Luker and Rosemary Hunter (</w:t>
      </w:r>
      <w:proofErr w:type="spellStart"/>
      <w:proofErr w:type="gramStart"/>
      <w:r w:rsidR="005953A4">
        <w:t>eds</w:t>
      </w:r>
      <w:proofErr w:type="spellEnd"/>
      <w:proofErr w:type="gramEnd"/>
      <w:r w:rsidR="005953A4">
        <w:t xml:space="preserve">), </w:t>
      </w:r>
      <w:r w:rsidR="005953A4">
        <w:rPr>
          <w:i/>
        </w:rPr>
        <w:t xml:space="preserve">Australian Feminist Judgments: </w:t>
      </w:r>
      <w:proofErr w:type="spellStart"/>
      <w:r w:rsidR="005953A4">
        <w:rPr>
          <w:i/>
        </w:rPr>
        <w:t>Righting</w:t>
      </w:r>
      <w:proofErr w:type="spellEnd"/>
      <w:r w:rsidR="005953A4">
        <w:rPr>
          <w:i/>
        </w:rPr>
        <w:t xml:space="preserve"> and Rewriting Law</w:t>
      </w:r>
      <w:r w:rsidR="005953A4">
        <w:t xml:space="preserve"> (Hart Publishing 2014) 61</w:t>
      </w:r>
      <w:r>
        <w:t>.</w:t>
      </w:r>
    </w:p>
  </w:footnote>
  <w:footnote w:id="74">
    <w:p w:rsidR="0039133A" w:rsidRPr="00794532" w:rsidRDefault="0039133A" w:rsidP="00326734">
      <w:pPr>
        <w:pStyle w:val="FootnoteText"/>
        <w:spacing w:line="480" w:lineRule="auto"/>
      </w:pPr>
      <w:r>
        <w:rPr>
          <w:rStyle w:val="FootnoteReference"/>
        </w:rPr>
        <w:footnoteRef/>
      </w:r>
      <w:r>
        <w:t xml:space="preserve"> </w:t>
      </w:r>
      <w:proofErr w:type="spellStart"/>
      <w:r w:rsidR="00B96124">
        <w:t>Graycar</w:t>
      </w:r>
      <w:proofErr w:type="spellEnd"/>
      <w:r w:rsidR="00B96124">
        <w:t xml:space="preserve"> and Mor</w:t>
      </w:r>
      <w:r w:rsidR="005953A4">
        <w:t>gan</w:t>
      </w:r>
      <w:r w:rsidR="00B96124">
        <w:t xml:space="preserve"> (n 56)</w:t>
      </w:r>
      <w:r>
        <w:t>.</w:t>
      </w:r>
    </w:p>
  </w:footnote>
  <w:footnote w:id="75">
    <w:p w:rsidR="0039133A" w:rsidRPr="00794532" w:rsidRDefault="0039133A" w:rsidP="00326734">
      <w:pPr>
        <w:pStyle w:val="FootnoteText"/>
        <w:spacing w:line="480" w:lineRule="auto"/>
      </w:pPr>
      <w:r>
        <w:rPr>
          <w:rStyle w:val="FootnoteReference"/>
        </w:rPr>
        <w:footnoteRef/>
      </w:r>
      <w:r>
        <w:t xml:space="preserve"> </w:t>
      </w:r>
      <w:r w:rsidR="005953A4">
        <w:t>Godden</w:t>
      </w:r>
      <w:r w:rsidR="00C44B8E">
        <w:t xml:space="preserve"> (n 56)</w:t>
      </w:r>
      <w:r>
        <w:t>.</w:t>
      </w:r>
    </w:p>
  </w:footnote>
  <w:footnote w:id="76">
    <w:p w:rsidR="0039133A" w:rsidRPr="00794532" w:rsidRDefault="0039133A" w:rsidP="00326734">
      <w:pPr>
        <w:pStyle w:val="FootnoteText"/>
        <w:spacing w:line="480" w:lineRule="auto"/>
      </w:pPr>
      <w:r>
        <w:rPr>
          <w:rStyle w:val="FootnoteReference"/>
        </w:rPr>
        <w:footnoteRef/>
      </w:r>
      <w:r>
        <w:t xml:space="preserve"> </w:t>
      </w:r>
      <w:r w:rsidR="005953A4">
        <w:t xml:space="preserve">Heron </w:t>
      </w:r>
      <w:proofErr w:type="spellStart"/>
      <w:r w:rsidR="005953A4">
        <w:t>Loban</w:t>
      </w:r>
      <w:proofErr w:type="spellEnd"/>
      <w:r w:rsidR="005953A4">
        <w:t>, ‘</w:t>
      </w:r>
      <w:r>
        <w:rPr>
          <w:i/>
        </w:rPr>
        <w:t xml:space="preserve">ACCC v </w:t>
      </w:r>
      <w:proofErr w:type="spellStart"/>
      <w:r>
        <w:rPr>
          <w:i/>
        </w:rPr>
        <w:t>Keshow</w:t>
      </w:r>
      <w:proofErr w:type="spellEnd"/>
      <w:r w:rsidR="005953A4">
        <w:t>’ in ibid 180</w:t>
      </w:r>
      <w:r>
        <w:t>.</w:t>
      </w:r>
    </w:p>
  </w:footnote>
  <w:footnote w:id="77">
    <w:p w:rsidR="00994A71" w:rsidRDefault="00994A71" w:rsidP="00994A71">
      <w:pPr>
        <w:pStyle w:val="FootnoteText"/>
        <w:spacing w:line="480" w:lineRule="auto"/>
      </w:pPr>
      <w:r>
        <w:rPr>
          <w:rStyle w:val="FootnoteReference"/>
        </w:rPr>
        <w:footnoteRef/>
      </w:r>
      <w:r>
        <w:t xml:space="preserve"> The ‘Feminist Perspectives…’ book series, for example, includes Susan Scott-Hunt and Hilary Lim (</w:t>
      </w:r>
      <w:proofErr w:type="spellStart"/>
      <w:proofErr w:type="gramStart"/>
      <w:r>
        <w:t>eds</w:t>
      </w:r>
      <w:proofErr w:type="spellEnd"/>
      <w:proofErr w:type="gramEnd"/>
      <w:r>
        <w:t xml:space="preserve">), </w:t>
      </w:r>
      <w:r>
        <w:rPr>
          <w:i/>
        </w:rPr>
        <w:t xml:space="preserve">Feminist Perspectives on Equity and Trusts </w:t>
      </w:r>
      <w:r>
        <w:t>(Cavendish Press 2001); Linda Mulcahy and Sally Wheeler (</w:t>
      </w:r>
      <w:proofErr w:type="spellStart"/>
      <w:r>
        <w:t>eds</w:t>
      </w:r>
      <w:proofErr w:type="spellEnd"/>
      <w:r>
        <w:t xml:space="preserve">), </w:t>
      </w:r>
      <w:r>
        <w:rPr>
          <w:i/>
        </w:rPr>
        <w:t>Feminist Perspectives on Contract Law</w:t>
      </w:r>
      <w:r>
        <w:t xml:space="preserve"> (Cavendish Press 2005); and Hilary Lim and Anne </w:t>
      </w:r>
      <w:proofErr w:type="spellStart"/>
      <w:r>
        <w:t>Bottomley</w:t>
      </w:r>
      <w:proofErr w:type="spellEnd"/>
      <w:r>
        <w:t xml:space="preserve"> (</w:t>
      </w:r>
      <w:proofErr w:type="spellStart"/>
      <w:r>
        <w:t>eds</w:t>
      </w:r>
      <w:proofErr w:type="spellEnd"/>
      <w:r>
        <w:t xml:space="preserve">), </w:t>
      </w:r>
      <w:r>
        <w:rPr>
          <w:i/>
        </w:rPr>
        <w:t>Feminist Perspectives on Land Law</w:t>
      </w:r>
      <w:r>
        <w:t xml:space="preserve"> (Routledge-Cavendish 2007).</w:t>
      </w:r>
    </w:p>
  </w:footnote>
  <w:footnote w:id="78">
    <w:p w:rsidR="004F1DD7" w:rsidRPr="004F1DD7" w:rsidRDefault="004F1DD7" w:rsidP="00C44B8E">
      <w:pPr>
        <w:pStyle w:val="FootnoteText"/>
        <w:spacing w:line="480" w:lineRule="auto"/>
      </w:pPr>
      <w:r>
        <w:rPr>
          <w:rStyle w:val="FootnoteReference"/>
        </w:rPr>
        <w:footnoteRef/>
      </w:r>
      <w:r w:rsidR="00C44B8E">
        <w:t xml:space="preserve"> </w:t>
      </w:r>
      <w:proofErr w:type="spellStart"/>
      <w:r w:rsidR="00C44B8E">
        <w:t>E</w:t>
      </w:r>
      <w:r>
        <w:t>g</w:t>
      </w:r>
      <w:proofErr w:type="spellEnd"/>
      <w:r w:rsidR="00C44B8E">
        <w:t>,</w:t>
      </w:r>
      <w:r>
        <w:t xml:space="preserve"> Smart</w:t>
      </w:r>
      <w:r w:rsidR="00C44B8E">
        <w:t xml:space="preserve"> (n 60)</w:t>
      </w:r>
      <w:r>
        <w:t>.</w:t>
      </w:r>
    </w:p>
  </w:footnote>
  <w:footnote w:id="79">
    <w:p w:rsidR="0039133A" w:rsidRDefault="0039133A" w:rsidP="00326734">
      <w:pPr>
        <w:pStyle w:val="FootnoteText"/>
        <w:spacing w:line="480" w:lineRule="auto"/>
      </w:pPr>
      <w:r>
        <w:rPr>
          <w:rStyle w:val="FootnoteReference"/>
        </w:rPr>
        <w:footnoteRef/>
      </w:r>
      <w:r>
        <w:t xml:space="preserve"> </w:t>
      </w:r>
      <w:r w:rsidR="004F257D">
        <w:t>See</w:t>
      </w:r>
      <w:r>
        <w:t xml:space="preserve"> </w:t>
      </w:r>
      <w:proofErr w:type="spellStart"/>
      <w:r>
        <w:t>Peresie</w:t>
      </w:r>
      <w:proofErr w:type="spellEnd"/>
      <w:r>
        <w:t xml:space="preserve"> </w:t>
      </w:r>
      <w:r w:rsidR="004F257D">
        <w:t xml:space="preserve">(n </w:t>
      </w:r>
      <w:r w:rsidR="00C44B8E">
        <w:t>61</w:t>
      </w:r>
      <w:r w:rsidR="004F257D">
        <w:t xml:space="preserve">); </w:t>
      </w:r>
      <w:proofErr w:type="spellStart"/>
      <w:r>
        <w:t>Etherton</w:t>
      </w:r>
      <w:proofErr w:type="spellEnd"/>
      <w:r w:rsidR="004F257D">
        <w:t xml:space="preserve"> (n </w:t>
      </w:r>
      <w:r w:rsidR="00C44B8E">
        <w:t>22</w:t>
      </w:r>
      <w:r w:rsidR="004F257D">
        <w:t>)</w:t>
      </w:r>
      <w:r>
        <w:t>.</w:t>
      </w:r>
    </w:p>
  </w:footnote>
  <w:footnote w:id="80">
    <w:p w:rsidR="0039133A" w:rsidRDefault="0039133A" w:rsidP="00326734">
      <w:pPr>
        <w:pStyle w:val="FootnoteText"/>
        <w:spacing w:line="480" w:lineRule="auto"/>
      </w:pPr>
      <w:r>
        <w:rPr>
          <w:rStyle w:val="FootnoteReference"/>
        </w:rPr>
        <w:footnoteRef/>
      </w:r>
      <w:r>
        <w:t xml:space="preserve"> </w:t>
      </w:r>
      <w:proofErr w:type="spellStart"/>
      <w:r w:rsidR="00E247BD">
        <w:t>Eg</w:t>
      </w:r>
      <w:proofErr w:type="spellEnd"/>
      <w:r w:rsidR="00E247BD">
        <w:t xml:space="preserve">, Claire </w:t>
      </w:r>
      <w:proofErr w:type="spellStart"/>
      <w:r w:rsidR="00E247BD">
        <w:t>L’Heureux-Dubé</w:t>
      </w:r>
      <w:proofErr w:type="spellEnd"/>
      <w:r w:rsidR="00E247BD">
        <w:t>, ‘</w:t>
      </w:r>
      <w:proofErr w:type="gramStart"/>
      <w:r w:rsidR="00E247BD">
        <w:t>The</w:t>
      </w:r>
      <w:proofErr w:type="gramEnd"/>
      <w:r w:rsidR="00E247BD">
        <w:t xml:space="preserve"> Dissenting Opinion: Voice of the Future?’ (2000) 38 </w:t>
      </w:r>
      <w:proofErr w:type="spellStart"/>
      <w:r w:rsidR="00E247BD">
        <w:rPr>
          <w:i/>
        </w:rPr>
        <w:t>Osgoode</w:t>
      </w:r>
      <w:proofErr w:type="spellEnd"/>
      <w:r w:rsidR="00E247BD">
        <w:rPr>
          <w:i/>
        </w:rPr>
        <w:t xml:space="preserve"> Hall Law Journal</w:t>
      </w:r>
      <w:r w:rsidR="00E247BD">
        <w:t xml:space="preserve"> 495; Erika Rackley, ‘Difference in the House of Lords’ (2006) 15 </w:t>
      </w:r>
      <w:r w:rsidR="00E247BD">
        <w:rPr>
          <w:i/>
        </w:rPr>
        <w:t>Social and Legal Studies</w:t>
      </w:r>
      <w:r w:rsidR="00011308">
        <w:t xml:space="preserve"> 153; Hale (n 20</w:t>
      </w:r>
      <w:r w:rsidR="00E247BD">
        <w:t>).</w:t>
      </w:r>
    </w:p>
  </w:footnote>
  <w:footnote w:id="81">
    <w:p w:rsidR="0039133A" w:rsidRDefault="0039133A" w:rsidP="00326734">
      <w:pPr>
        <w:pStyle w:val="FootnoteText"/>
        <w:spacing w:line="480" w:lineRule="auto"/>
      </w:pPr>
      <w:r>
        <w:rPr>
          <w:rStyle w:val="FootnoteReference"/>
        </w:rPr>
        <w:footnoteRef/>
      </w:r>
      <w:r>
        <w:t xml:space="preserve"> </w:t>
      </w:r>
      <w:proofErr w:type="spellStart"/>
      <w:r w:rsidR="00E97F5F">
        <w:t>Eg</w:t>
      </w:r>
      <w:proofErr w:type="spellEnd"/>
      <w:r w:rsidR="00E97F5F">
        <w:t>, Alan Paterson, ‘A Scarcity of Dissents?</w:t>
      </w:r>
      <w:proofErr w:type="gramStart"/>
      <w:r w:rsidR="00E97F5F">
        <w:t>’,</w:t>
      </w:r>
      <w:proofErr w:type="gramEnd"/>
      <w:r w:rsidR="00E97F5F">
        <w:t xml:space="preserve"> </w:t>
      </w:r>
      <w:r w:rsidR="00E97F5F">
        <w:rPr>
          <w:i/>
        </w:rPr>
        <w:t>UKSC Blog</w:t>
      </w:r>
      <w:r w:rsidR="00E97F5F">
        <w:t xml:space="preserve"> (6 March 2014)</w:t>
      </w:r>
      <w:r>
        <w:t>.</w:t>
      </w:r>
    </w:p>
  </w:footnote>
  <w:footnote w:id="82">
    <w:p w:rsidR="0039133A" w:rsidRPr="00664A5B" w:rsidRDefault="0039133A" w:rsidP="00326734">
      <w:pPr>
        <w:pStyle w:val="FootnoteText"/>
        <w:spacing w:line="480" w:lineRule="auto"/>
      </w:pPr>
      <w:r>
        <w:rPr>
          <w:rStyle w:val="FootnoteReference"/>
        </w:rPr>
        <w:footnoteRef/>
      </w:r>
      <w:r>
        <w:t xml:space="preserve"> For full discussion of this point, see </w:t>
      </w:r>
      <w:r w:rsidR="00E97F5F">
        <w:t>Douglas</w:t>
      </w:r>
      <w:r w:rsidR="00011308">
        <w:t xml:space="preserve"> et al (n 54</w:t>
      </w:r>
      <w:r w:rsidR="00330128">
        <w:t xml:space="preserve">) </w:t>
      </w:r>
      <w:r w:rsidR="00E97F5F">
        <w:t>32-34</w:t>
      </w:r>
      <w:r>
        <w:t>.</w:t>
      </w:r>
    </w:p>
  </w:footnote>
  <w:footnote w:id="83">
    <w:p w:rsidR="0039133A" w:rsidRPr="00AB14AD" w:rsidRDefault="0039133A" w:rsidP="00326734">
      <w:pPr>
        <w:pStyle w:val="FootnoteText"/>
        <w:spacing w:line="480" w:lineRule="auto"/>
      </w:pPr>
      <w:r>
        <w:rPr>
          <w:rStyle w:val="FootnoteReference"/>
        </w:rPr>
        <w:footnoteRef/>
      </w:r>
      <w:r>
        <w:t xml:space="preserve"> </w:t>
      </w:r>
      <w:proofErr w:type="spellStart"/>
      <w:r>
        <w:t>E</w:t>
      </w:r>
      <w:r w:rsidR="004134C8">
        <w:t>g</w:t>
      </w:r>
      <w:proofErr w:type="spellEnd"/>
      <w:r w:rsidR="004134C8">
        <w:t>,</w:t>
      </w:r>
      <w:r>
        <w:t xml:space="preserve"> Adrian Howe, </w:t>
      </w:r>
      <w:r w:rsidR="004134C8">
        <w:t>‘</w:t>
      </w:r>
      <w:r>
        <w:rPr>
          <w:i/>
        </w:rPr>
        <w:t>Parker</w:t>
      </w:r>
      <w:r w:rsidR="004134C8">
        <w:rPr>
          <w:i/>
        </w:rPr>
        <w:t xml:space="preserve"> v R</w:t>
      </w:r>
      <w:r w:rsidR="004134C8">
        <w:t xml:space="preserve">’ in </w:t>
      </w:r>
      <w:r w:rsidR="00011308">
        <w:t>Heather Douglas, Francesca Bartlett, Trish Luker and Rosemary Hunter (</w:t>
      </w:r>
      <w:proofErr w:type="spellStart"/>
      <w:proofErr w:type="gramStart"/>
      <w:r w:rsidR="00011308">
        <w:t>eds</w:t>
      </w:r>
      <w:proofErr w:type="spellEnd"/>
      <w:proofErr w:type="gramEnd"/>
      <w:r w:rsidR="00011308">
        <w:t xml:space="preserve">), </w:t>
      </w:r>
      <w:r w:rsidR="00011308">
        <w:rPr>
          <w:i/>
        </w:rPr>
        <w:t xml:space="preserve">Australian Feminist Judgments: </w:t>
      </w:r>
      <w:proofErr w:type="spellStart"/>
      <w:r w:rsidR="00011308">
        <w:rPr>
          <w:i/>
        </w:rPr>
        <w:t>Righting</w:t>
      </w:r>
      <w:proofErr w:type="spellEnd"/>
      <w:r w:rsidR="00011308">
        <w:rPr>
          <w:i/>
        </w:rPr>
        <w:t xml:space="preserve"> and Rewriting Law</w:t>
      </w:r>
      <w:r w:rsidR="00011308">
        <w:t xml:space="preserve"> (Hart Publishing 2014)</w:t>
      </w:r>
      <w:r w:rsidR="004134C8">
        <w:t xml:space="preserve"> 234</w:t>
      </w:r>
      <w:r>
        <w:t xml:space="preserve">; Lisa </w:t>
      </w:r>
      <w:proofErr w:type="spellStart"/>
      <w:r>
        <w:t>Sarmas</w:t>
      </w:r>
      <w:proofErr w:type="spellEnd"/>
      <w:r>
        <w:t xml:space="preserve">, </w:t>
      </w:r>
      <w:r w:rsidR="004134C8">
        <w:t>‘</w:t>
      </w:r>
      <w:r w:rsidR="004134C8">
        <w:rPr>
          <w:i/>
        </w:rPr>
        <w:t xml:space="preserve">Trustees of the Property of John Daniel Cummins, a Bankrupt v </w:t>
      </w:r>
      <w:r>
        <w:rPr>
          <w:i/>
        </w:rPr>
        <w:t>Cummins</w:t>
      </w:r>
      <w:r w:rsidR="004134C8">
        <w:t>’ in ibid 212</w:t>
      </w:r>
      <w:r>
        <w:t>.</w:t>
      </w:r>
    </w:p>
  </w:footnote>
  <w:footnote w:id="84">
    <w:p w:rsidR="0039133A" w:rsidRPr="00AB14AD" w:rsidRDefault="0039133A" w:rsidP="00326734">
      <w:pPr>
        <w:pStyle w:val="FootnoteText"/>
        <w:spacing w:line="480" w:lineRule="auto"/>
      </w:pPr>
      <w:r>
        <w:rPr>
          <w:rStyle w:val="FootnoteReference"/>
        </w:rPr>
        <w:footnoteRef/>
      </w:r>
      <w:r w:rsidR="004134C8">
        <w:t xml:space="preserve"> </w:t>
      </w:r>
      <w:proofErr w:type="spellStart"/>
      <w:r w:rsidR="004134C8">
        <w:t>Eg</w:t>
      </w:r>
      <w:proofErr w:type="spellEnd"/>
      <w:r w:rsidR="004134C8">
        <w:t xml:space="preserve">, </w:t>
      </w:r>
      <w:proofErr w:type="spellStart"/>
      <w:r>
        <w:t>Graycar</w:t>
      </w:r>
      <w:proofErr w:type="spellEnd"/>
      <w:r>
        <w:t xml:space="preserve"> and Morgan</w:t>
      </w:r>
      <w:r w:rsidR="00011308">
        <w:t xml:space="preserve"> (n 56</w:t>
      </w:r>
      <w:r w:rsidR="004134C8">
        <w:t>)</w:t>
      </w:r>
      <w:r>
        <w:t xml:space="preserve">; Wendy Larcombe and Mary Heath, </w:t>
      </w:r>
      <w:r w:rsidR="004134C8">
        <w:t>‘</w:t>
      </w:r>
      <w:r w:rsidR="004134C8">
        <w:rPr>
          <w:i/>
        </w:rPr>
        <w:t>PGA v R</w:t>
      </w:r>
      <w:r w:rsidR="004134C8">
        <w:t>’ in ibid 262</w:t>
      </w:r>
      <w:r>
        <w:t>.</w:t>
      </w:r>
    </w:p>
  </w:footnote>
  <w:footnote w:id="85">
    <w:p w:rsidR="0039133A" w:rsidRPr="00AB14AD" w:rsidRDefault="0039133A" w:rsidP="00326734">
      <w:pPr>
        <w:pStyle w:val="FootnoteText"/>
        <w:spacing w:line="480" w:lineRule="auto"/>
      </w:pPr>
      <w:r>
        <w:rPr>
          <w:rStyle w:val="FootnoteReference"/>
        </w:rPr>
        <w:footnoteRef/>
      </w:r>
      <w:r w:rsidR="004134C8">
        <w:t xml:space="preserve"> </w:t>
      </w:r>
      <w:proofErr w:type="spellStart"/>
      <w:r w:rsidR="004134C8">
        <w:t>Eg</w:t>
      </w:r>
      <w:proofErr w:type="spellEnd"/>
      <w:r w:rsidR="004134C8">
        <w:t>,</w:t>
      </w:r>
      <w:r>
        <w:t xml:space="preserve"> Zoe Rathus and </w:t>
      </w:r>
      <w:proofErr w:type="spellStart"/>
      <w:r>
        <w:t>Renata</w:t>
      </w:r>
      <w:proofErr w:type="spellEnd"/>
      <w:r>
        <w:t xml:space="preserve"> Alexander, </w:t>
      </w:r>
      <w:r w:rsidR="004134C8">
        <w:t>‘</w:t>
      </w:r>
      <w:r>
        <w:rPr>
          <w:i/>
        </w:rPr>
        <w:t>Goode and Goode</w:t>
      </w:r>
      <w:r w:rsidR="004134C8">
        <w:t>’ in ibid 379</w:t>
      </w:r>
      <w:r>
        <w:t xml:space="preserve">; </w:t>
      </w:r>
      <w:r w:rsidR="00011308">
        <w:t xml:space="preserve">Anita </w:t>
      </w:r>
      <w:proofErr w:type="spellStart"/>
      <w:r>
        <w:t>Stuhmcke</w:t>
      </w:r>
      <w:proofErr w:type="spellEnd"/>
      <w:r w:rsidR="00011308">
        <w:t>, ‘</w:t>
      </w:r>
      <w:r w:rsidR="00011308">
        <w:rPr>
          <w:i/>
        </w:rPr>
        <w:t>JM v QFG and GK</w:t>
      </w:r>
      <w:r w:rsidR="00011308">
        <w:t>’ in ibid 397</w:t>
      </w:r>
      <w:r w:rsidR="00BF3733">
        <w:t>;</w:t>
      </w:r>
      <w:r>
        <w:t xml:space="preserve"> </w:t>
      </w:r>
      <w:r w:rsidR="00011308">
        <w:t xml:space="preserve">Jennifer </w:t>
      </w:r>
      <w:r>
        <w:t>Nielsen</w:t>
      </w:r>
      <w:r w:rsidR="00011308">
        <w:t>, ‘</w:t>
      </w:r>
      <w:r w:rsidR="00011308">
        <w:rPr>
          <w:i/>
        </w:rPr>
        <w:t>McLeod v Power</w:t>
      </w:r>
      <w:r w:rsidR="00011308">
        <w:t>’ in ibid 409</w:t>
      </w:r>
      <w:r>
        <w:t>.</w:t>
      </w:r>
    </w:p>
  </w:footnote>
  <w:footnote w:id="86">
    <w:p w:rsidR="0039133A" w:rsidRDefault="0039133A" w:rsidP="00326734">
      <w:pPr>
        <w:pStyle w:val="FootnoteText"/>
        <w:spacing w:line="480" w:lineRule="auto"/>
      </w:pPr>
      <w:r>
        <w:rPr>
          <w:rStyle w:val="FootnoteReference"/>
        </w:rPr>
        <w:footnoteRef/>
      </w:r>
      <w:r>
        <w:t xml:space="preserve"> Kenney</w:t>
      </w:r>
      <w:r w:rsidR="002F66A3">
        <w:t xml:space="preserve"> (n 14</w:t>
      </w:r>
      <w:r w:rsidR="00BF3733">
        <w:t>)</w:t>
      </w:r>
      <w:r>
        <w:t xml:space="preserve"> 15-16.</w:t>
      </w:r>
    </w:p>
  </w:footnote>
  <w:footnote w:id="87">
    <w:p w:rsidR="0039133A" w:rsidRPr="00BF3733" w:rsidRDefault="0039133A" w:rsidP="00326734">
      <w:pPr>
        <w:pStyle w:val="FootnoteText"/>
        <w:spacing w:line="480" w:lineRule="auto"/>
      </w:pPr>
      <w:r>
        <w:rPr>
          <w:rStyle w:val="FootnoteReference"/>
        </w:rPr>
        <w:footnoteRef/>
      </w:r>
      <w:r>
        <w:t xml:space="preserve"> </w:t>
      </w:r>
      <w:proofErr w:type="spellStart"/>
      <w:r w:rsidR="00011308">
        <w:t>Stuhmcke</w:t>
      </w:r>
      <w:proofErr w:type="spellEnd"/>
      <w:r w:rsidR="00011308">
        <w:t xml:space="preserve"> (n 84</w:t>
      </w:r>
      <w:r w:rsidR="00BF3733">
        <w:t>)</w:t>
      </w:r>
      <w:r>
        <w:t xml:space="preserve">; </w:t>
      </w:r>
      <w:r w:rsidR="00BF3733">
        <w:t>Beth Gaze, ‘</w:t>
      </w:r>
      <w:r w:rsidR="00BF3733">
        <w:rPr>
          <w:i/>
        </w:rPr>
        <w:t>The State of New South Wales v Amery</w:t>
      </w:r>
      <w:r w:rsidR="00BF3733">
        <w:t>’ in Heather Douglas, Francesca Bartlett, Trish Luker and Rosemary Hunter (</w:t>
      </w:r>
      <w:proofErr w:type="spellStart"/>
      <w:r w:rsidR="00BF3733">
        <w:t>eds</w:t>
      </w:r>
      <w:proofErr w:type="spellEnd"/>
      <w:r w:rsidR="00BF3733">
        <w:t xml:space="preserve">), </w:t>
      </w:r>
      <w:r w:rsidR="00BF3733">
        <w:rPr>
          <w:i/>
        </w:rPr>
        <w:t xml:space="preserve">Australian Feminist Judgments: </w:t>
      </w:r>
      <w:proofErr w:type="spellStart"/>
      <w:r w:rsidR="00BF3733">
        <w:rPr>
          <w:i/>
        </w:rPr>
        <w:t>Righting</w:t>
      </w:r>
      <w:proofErr w:type="spellEnd"/>
      <w:r w:rsidR="00BF3733">
        <w:rPr>
          <w:i/>
        </w:rPr>
        <w:t xml:space="preserve"> and Rewriting Law</w:t>
      </w:r>
      <w:r w:rsidR="00BF3733">
        <w:t xml:space="preserve"> (Hart Publishing 2014) 424. The same may also be said of the first instance decision in </w:t>
      </w:r>
      <w:r w:rsidR="00BF3733">
        <w:rPr>
          <w:i/>
        </w:rPr>
        <w:t>JM v QFG and GK</w:t>
      </w:r>
      <w:r w:rsidR="00BF3733">
        <w:t xml:space="preserve"> [1997] QADT 5 (31 January 1997), which </w:t>
      </w:r>
      <w:proofErr w:type="spellStart"/>
      <w:r w:rsidR="00BF3733">
        <w:t>Stumcke</w:t>
      </w:r>
      <w:proofErr w:type="spellEnd"/>
      <w:r w:rsidR="00BF3733">
        <w:t xml:space="preserve"> uphold</w:t>
      </w:r>
      <w:r w:rsidR="00011308">
        <w:t>s in her feminist judgment (n 84</w:t>
      </w:r>
      <w:r w:rsidR="00BF3733">
        <w:t>).</w:t>
      </w:r>
    </w:p>
  </w:footnote>
  <w:footnote w:id="88">
    <w:p w:rsidR="0039133A" w:rsidRDefault="0039133A" w:rsidP="00326734">
      <w:pPr>
        <w:pStyle w:val="FootnoteText"/>
        <w:spacing w:line="480" w:lineRule="auto"/>
      </w:pPr>
      <w:r>
        <w:rPr>
          <w:rStyle w:val="FootnoteReference"/>
        </w:rPr>
        <w:footnoteRef/>
      </w:r>
      <w:r w:rsidR="00443313">
        <w:t xml:space="preserve"> Cowan (</w:t>
      </w:r>
      <w:r w:rsidR="007F5EF6">
        <w:t>n 19</w:t>
      </w:r>
      <w:r w:rsidR="00FF1B5E">
        <w:t>)</w:t>
      </w:r>
      <w:r>
        <w:t xml:space="preserve"> </w:t>
      </w:r>
      <w:r w:rsidR="00FF1B5E">
        <w:t>320-</w:t>
      </w:r>
      <w:r>
        <w:t>21.</w:t>
      </w:r>
    </w:p>
  </w:footnote>
  <w:footnote w:id="89">
    <w:p w:rsidR="00704223" w:rsidRDefault="00704223" w:rsidP="00704223">
      <w:pPr>
        <w:pStyle w:val="FootnoteText"/>
      </w:pPr>
      <w:r>
        <w:rPr>
          <w:rStyle w:val="FootnoteReference"/>
        </w:rPr>
        <w:footnoteRef/>
      </w:r>
      <w:r>
        <w:t xml:space="preserve"> </w:t>
      </w:r>
      <w:r w:rsidRPr="007F5EF6">
        <w:t>Kenney (n 14)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3A" w:rsidRDefault="0039133A" w:rsidP="00330F27">
    <w:pPr>
      <w:pStyle w:val="Header"/>
      <w:tabs>
        <w:tab w:val="clear" w:pos="4513"/>
      </w:tabs>
      <w:jc w:val="right"/>
    </w:pPr>
    <w:r>
      <w:tab/>
    </w:r>
    <w:sdt>
      <w:sdtPr>
        <w:id w:val="2481992"/>
        <w:docPartObj>
          <w:docPartGallery w:val="Page Numbers (Top of Page)"/>
          <w:docPartUnique/>
        </w:docPartObj>
      </w:sdtPr>
      <w:sdtEndPr/>
      <w:sdtContent>
        <w:r>
          <w:fldChar w:fldCharType="begin"/>
        </w:r>
        <w:r>
          <w:instrText xml:space="preserve"> PAGE   \* MERGEFORMAT </w:instrText>
        </w:r>
        <w:r>
          <w:fldChar w:fldCharType="separate"/>
        </w:r>
        <w:r w:rsidR="00130CA6">
          <w:rPr>
            <w:noProof/>
          </w:rPr>
          <w:t>33</w:t>
        </w:r>
        <w:r>
          <w:rPr>
            <w:noProof/>
          </w:rPr>
          <w:fldChar w:fldCharType="end"/>
        </w:r>
      </w:sdtContent>
    </w:sdt>
  </w:p>
  <w:p w:rsidR="0039133A" w:rsidRDefault="00391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85EB8"/>
    <w:multiLevelType w:val="hybridMultilevel"/>
    <w:tmpl w:val="33B05F0E"/>
    <w:lvl w:ilvl="0" w:tplc="DA5E05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7838"/>
    <w:rsid w:val="00006A8A"/>
    <w:rsid w:val="00011308"/>
    <w:rsid w:val="00025C40"/>
    <w:rsid w:val="00025E98"/>
    <w:rsid w:val="00056EBE"/>
    <w:rsid w:val="00093A8B"/>
    <w:rsid w:val="000A1EF0"/>
    <w:rsid w:val="000C173F"/>
    <w:rsid w:val="00117C58"/>
    <w:rsid w:val="001249D9"/>
    <w:rsid w:val="00126D3E"/>
    <w:rsid w:val="00127481"/>
    <w:rsid w:val="00130CA6"/>
    <w:rsid w:val="001552E8"/>
    <w:rsid w:val="0016229C"/>
    <w:rsid w:val="00172286"/>
    <w:rsid w:val="00176D50"/>
    <w:rsid w:val="00180500"/>
    <w:rsid w:val="001938B0"/>
    <w:rsid w:val="001B5915"/>
    <w:rsid w:val="001F42B8"/>
    <w:rsid w:val="00207E17"/>
    <w:rsid w:val="00226800"/>
    <w:rsid w:val="00242375"/>
    <w:rsid w:val="002439FD"/>
    <w:rsid w:val="00244DE2"/>
    <w:rsid w:val="00245836"/>
    <w:rsid w:val="00246040"/>
    <w:rsid w:val="00255C2D"/>
    <w:rsid w:val="00271989"/>
    <w:rsid w:val="00291E75"/>
    <w:rsid w:val="002A0C6F"/>
    <w:rsid w:val="002A39A9"/>
    <w:rsid w:val="002A4920"/>
    <w:rsid w:val="002F66A3"/>
    <w:rsid w:val="00300641"/>
    <w:rsid w:val="00314B04"/>
    <w:rsid w:val="00326734"/>
    <w:rsid w:val="00330128"/>
    <w:rsid w:val="00330F27"/>
    <w:rsid w:val="00344165"/>
    <w:rsid w:val="00357577"/>
    <w:rsid w:val="00375896"/>
    <w:rsid w:val="00382B0E"/>
    <w:rsid w:val="0039133A"/>
    <w:rsid w:val="0039571B"/>
    <w:rsid w:val="003A1BD7"/>
    <w:rsid w:val="003A2678"/>
    <w:rsid w:val="003C321B"/>
    <w:rsid w:val="003D2BD1"/>
    <w:rsid w:val="003F3EC6"/>
    <w:rsid w:val="00404A23"/>
    <w:rsid w:val="00405363"/>
    <w:rsid w:val="00405914"/>
    <w:rsid w:val="004134C8"/>
    <w:rsid w:val="0041501A"/>
    <w:rsid w:val="0041553A"/>
    <w:rsid w:val="00415CA3"/>
    <w:rsid w:val="00415D23"/>
    <w:rsid w:val="00421679"/>
    <w:rsid w:val="00427012"/>
    <w:rsid w:val="00443313"/>
    <w:rsid w:val="00445CED"/>
    <w:rsid w:val="00451B01"/>
    <w:rsid w:val="00453C99"/>
    <w:rsid w:val="00454C33"/>
    <w:rsid w:val="004721B3"/>
    <w:rsid w:val="00490CAF"/>
    <w:rsid w:val="004955F1"/>
    <w:rsid w:val="004E007C"/>
    <w:rsid w:val="004E4BD4"/>
    <w:rsid w:val="004F0937"/>
    <w:rsid w:val="004F1DD7"/>
    <w:rsid w:val="004F257D"/>
    <w:rsid w:val="004F5099"/>
    <w:rsid w:val="004F7655"/>
    <w:rsid w:val="005135F6"/>
    <w:rsid w:val="00524979"/>
    <w:rsid w:val="00530776"/>
    <w:rsid w:val="0053109C"/>
    <w:rsid w:val="00535A98"/>
    <w:rsid w:val="005422B4"/>
    <w:rsid w:val="00552EEC"/>
    <w:rsid w:val="00554404"/>
    <w:rsid w:val="00557120"/>
    <w:rsid w:val="00561178"/>
    <w:rsid w:val="0058176C"/>
    <w:rsid w:val="005840C2"/>
    <w:rsid w:val="00590951"/>
    <w:rsid w:val="00594011"/>
    <w:rsid w:val="005953A4"/>
    <w:rsid w:val="005C1687"/>
    <w:rsid w:val="005D6C49"/>
    <w:rsid w:val="00612D47"/>
    <w:rsid w:val="006261C9"/>
    <w:rsid w:val="006441E1"/>
    <w:rsid w:val="00657BE5"/>
    <w:rsid w:val="00664A5B"/>
    <w:rsid w:val="00672629"/>
    <w:rsid w:val="00672A03"/>
    <w:rsid w:val="00677EDE"/>
    <w:rsid w:val="00690A45"/>
    <w:rsid w:val="006944DB"/>
    <w:rsid w:val="006E1659"/>
    <w:rsid w:val="006E7FB1"/>
    <w:rsid w:val="00704223"/>
    <w:rsid w:val="00724F02"/>
    <w:rsid w:val="007255FB"/>
    <w:rsid w:val="00735991"/>
    <w:rsid w:val="00765BF6"/>
    <w:rsid w:val="0076778D"/>
    <w:rsid w:val="00776496"/>
    <w:rsid w:val="00776C8F"/>
    <w:rsid w:val="00777B35"/>
    <w:rsid w:val="0078460E"/>
    <w:rsid w:val="007850EC"/>
    <w:rsid w:val="00794532"/>
    <w:rsid w:val="007A3AAA"/>
    <w:rsid w:val="007D0A16"/>
    <w:rsid w:val="007D6752"/>
    <w:rsid w:val="007E4442"/>
    <w:rsid w:val="007F4B53"/>
    <w:rsid w:val="007F5EF6"/>
    <w:rsid w:val="008065DE"/>
    <w:rsid w:val="008117C8"/>
    <w:rsid w:val="00825B82"/>
    <w:rsid w:val="00842BF7"/>
    <w:rsid w:val="008448DF"/>
    <w:rsid w:val="0085350B"/>
    <w:rsid w:val="008779D9"/>
    <w:rsid w:val="00883EBC"/>
    <w:rsid w:val="00887798"/>
    <w:rsid w:val="008A395D"/>
    <w:rsid w:val="008B0748"/>
    <w:rsid w:val="008B7A1B"/>
    <w:rsid w:val="008C64FA"/>
    <w:rsid w:val="008D015E"/>
    <w:rsid w:val="008D457F"/>
    <w:rsid w:val="008E3F33"/>
    <w:rsid w:val="008F0DBB"/>
    <w:rsid w:val="00917BD6"/>
    <w:rsid w:val="009215DC"/>
    <w:rsid w:val="009243A5"/>
    <w:rsid w:val="009326D5"/>
    <w:rsid w:val="0093511E"/>
    <w:rsid w:val="00965946"/>
    <w:rsid w:val="009773EA"/>
    <w:rsid w:val="009809E4"/>
    <w:rsid w:val="00994A71"/>
    <w:rsid w:val="009A3615"/>
    <w:rsid w:val="009C6F49"/>
    <w:rsid w:val="009F0EE6"/>
    <w:rsid w:val="00A03F19"/>
    <w:rsid w:val="00A11883"/>
    <w:rsid w:val="00A138F2"/>
    <w:rsid w:val="00A14B5A"/>
    <w:rsid w:val="00A2101E"/>
    <w:rsid w:val="00A26654"/>
    <w:rsid w:val="00A34EA6"/>
    <w:rsid w:val="00A6546E"/>
    <w:rsid w:val="00A6618F"/>
    <w:rsid w:val="00A710DC"/>
    <w:rsid w:val="00A71274"/>
    <w:rsid w:val="00A73A3F"/>
    <w:rsid w:val="00A83DAF"/>
    <w:rsid w:val="00A91395"/>
    <w:rsid w:val="00A91831"/>
    <w:rsid w:val="00A9207C"/>
    <w:rsid w:val="00AB14AD"/>
    <w:rsid w:val="00AC05B5"/>
    <w:rsid w:val="00AC6C3C"/>
    <w:rsid w:val="00AE2437"/>
    <w:rsid w:val="00B00FD4"/>
    <w:rsid w:val="00B1053A"/>
    <w:rsid w:val="00B16867"/>
    <w:rsid w:val="00B36595"/>
    <w:rsid w:val="00B42CF6"/>
    <w:rsid w:val="00B46CD2"/>
    <w:rsid w:val="00B50ADA"/>
    <w:rsid w:val="00B84588"/>
    <w:rsid w:val="00B94239"/>
    <w:rsid w:val="00B96124"/>
    <w:rsid w:val="00BB2D4D"/>
    <w:rsid w:val="00BE22B7"/>
    <w:rsid w:val="00BE56C5"/>
    <w:rsid w:val="00BE64B9"/>
    <w:rsid w:val="00BE7C41"/>
    <w:rsid w:val="00BF3733"/>
    <w:rsid w:val="00BF42C2"/>
    <w:rsid w:val="00BF6863"/>
    <w:rsid w:val="00C324C6"/>
    <w:rsid w:val="00C35C8D"/>
    <w:rsid w:val="00C40EA6"/>
    <w:rsid w:val="00C44B8E"/>
    <w:rsid w:val="00C60C99"/>
    <w:rsid w:val="00C66EE9"/>
    <w:rsid w:val="00C67288"/>
    <w:rsid w:val="00C67AA3"/>
    <w:rsid w:val="00C9380D"/>
    <w:rsid w:val="00CA18F3"/>
    <w:rsid w:val="00CD0791"/>
    <w:rsid w:val="00CD7DAB"/>
    <w:rsid w:val="00CE69F1"/>
    <w:rsid w:val="00CF3C73"/>
    <w:rsid w:val="00D022CB"/>
    <w:rsid w:val="00D12068"/>
    <w:rsid w:val="00D333ED"/>
    <w:rsid w:val="00D53C21"/>
    <w:rsid w:val="00D54F92"/>
    <w:rsid w:val="00D67DDA"/>
    <w:rsid w:val="00D71806"/>
    <w:rsid w:val="00D746D6"/>
    <w:rsid w:val="00D81D52"/>
    <w:rsid w:val="00D87838"/>
    <w:rsid w:val="00DB0B1A"/>
    <w:rsid w:val="00DB26D3"/>
    <w:rsid w:val="00DE4C2E"/>
    <w:rsid w:val="00DE7275"/>
    <w:rsid w:val="00E03AC7"/>
    <w:rsid w:val="00E05545"/>
    <w:rsid w:val="00E142DA"/>
    <w:rsid w:val="00E247BD"/>
    <w:rsid w:val="00E25CD2"/>
    <w:rsid w:val="00E37389"/>
    <w:rsid w:val="00E426CB"/>
    <w:rsid w:val="00E450C2"/>
    <w:rsid w:val="00E51494"/>
    <w:rsid w:val="00E5374B"/>
    <w:rsid w:val="00E54A08"/>
    <w:rsid w:val="00E60041"/>
    <w:rsid w:val="00E60E60"/>
    <w:rsid w:val="00E72C2C"/>
    <w:rsid w:val="00E97F5F"/>
    <w:rsid w:val="00EB0960"/>
    <w:rsid w:val="00EE043F"/>
    <w:rsid w:val="00EE4EC2"/>
    <w:rsid w:val="00EE582A"/>
    <w:rsid w:val="00EF211F"/>
    <w:rsid w:val="00EF335A"/>
    <w:rsid w:val="00F2001B"/>
    <w:rsid w:val="00F21C04"/>
    <w:rsid w:val="00F33B65"/>
    <w:rsid w:val="00F473DD"/>
    <w:rsid w:val="00F62537"/>
    <w:rsid w:val="00F646B2"/>
    <w:rsid w:val="00F66799"/>
    <w:rsid w:val="00F902C4"/>
    <w:rsid w:val="00F91290"/>
    <w:rsid w:val="00F95B0C"/>
    <w:rsid w:val="00FA7059"/>
    <w:rsid w:val="00FB11D6"/>
    <w:rsid w:val="00FC58D1"/>
    <w:rsid w:val="00FF1B5E"/>
    <w:rsid w:val="00FF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FB76E-24A6-46C7-8A82-866EDF0B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C99"/>
    <w:rPr>
      <w:color w:val="0000FF" w:themeColor="hyperlink"/>
      <w:u w:val="single"/>
    </w:rPr>
  </w:style>
  <w:style w:type="paragraph" w:styleId="FootnoteText">
    <w:name w:val="footnote text"/>
    <w:basedOn w:val="Normal"/>
    <w:link w:val="FootnoteTextChar"/>
    <w:uiPriority w:val="99"/>
    <w:semiHidden/>
    <w:unhideWhenUsed/>
    <w:rsid w:val="00C60C99"/>
    <w:pPr>
      <w:spacing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character" w:styleId="FootnoteReference">
    <w:name w:val="footnote reference"/>
    <w:basedOn w:val="DefaultParagraphFont"/>
    <w:uiPriority w:val="99"/>
    <w:semiHidden/>
    <w:unhideWhenUsed/>
    <w:rsid w:val="00C60C99"/>
    <w:rPr>
      <w:vertAlign w:val="superscript"/>
    </w:rPr>
  </w:style>
  <w:style w:type="paragraph" w:styleId="Header">
    <w:name w:val="header"/>
    <w:basedOn w:val="Normal"/>
    <w:link w:val="HeaderChar"/>
    <w:uiPriority w:val="99"/>
    <w:unhideWhenUsed/>
    <w:rsid w:val="00C60C99"/>
    <w:pPr>
      <w:tabs>
        <w:tab w:val="center" w:pos="4513"/>
        <w:tab w:val="right" w:pos="9026"/>
      </w:tabs>
      <w:spacing w:line="240" w:lineRule="auto"/>
    </w:pPr>
  </w:style>
  <w:style w:type="character" w:customStyle="1" w:styleId="HeaderChar">
    <w:name w:val="Header Char"/>
    <w:basedOn w:val="DefaultParagraphFont"/>
    <w:link w:val="Header"/>
    <w:uiPriority w:val="99"/>
    <w:rsid w:val="00C60C99"/>
  </w:style>
  <w:style w:type="paragraph" w:styleId="Footer">
    <w:name w:val="footer"/>
    <w:basedOn w:val="Normal"/>
    <w:link w:val="FooterChar"/>
    <w:uiPriority w:val="99"/>
    <w:unhideWhenUsed/>
    <w:rsid w:val="00C60C99"/>
    <w:pPr>
      <w:tabs>
        <w:tab w:val="center" w:pos="4513"/>
        <w:tab w:val="right" w:pos="9026"/>
      </w:tabs>
      <w:spacing w:line="240" w:lineRule="auto"/>
    </w:pPr>
  </w:style>
  <w:style w:type="character" w:customStyle="1" w:styleId="FooterChar">
    <w:name w:val="Footer Char"/>
    <w:basedOn w:val="DefaultParagraphFont"/>
    <w:link w:val="Footer"/>
    <w:uiPriority w:val="99"/>
    <w:rsid w:val="00C60C99"/>
  </w:style>
  <w:style w:type="paragraph" w:styleId="ListParagraph">
    <w:name w:val="List Paragraph"/>
    <w:basedOn w:val="Normal"/>
    <w:uiPriority w:val="34"/>
    <w:qFormat/>
    <w:rsid w:val="00535A98"/>
    <w:pPr>
      <w:ind w:left="720"/>
      <w:contextualSpacing/>
    </w:pPr>
  </w:style>
  <w:style w:type="paragraph" w:styleId="BalloonText">
    <w:name w:val="Balloon Text"/>
    <w:basedOn w:val="Normal"/>
    <w:link w:val="BalloonTextChar"/>
    <w:uiPriority w:val="99"/>
    <w:semiHidden/>
    <w:unhideWhenUsed/>
    <w:rsid w:val="00F912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90"/>
    <w:rPr>
      <w:rFonts w:ascii="Segoe UI" w:hAnsi="Segoe UI" w:cs="Segoe UI"/>
      <w:sz w:val="18"/>
      <w:szCs w:val="18"/>
    </w:rPr>
  </w:style>
  <w:style w:type="character" w:styleId="FollowedHyperlink">
    <w:name w:val="FollowedHyperlink"/>
    <w:basedOn w:val="DefaultParagraphFont"/>
    <w:uiPriority w:val="99"/>
    <w:semiHidden/>
    <w:unhideWhenUsed/>
    <w:rsid w:val="00226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tes.temple.edu/usfeministjudgments/" TargetMode="External"/><Relationship Id="rId3" Type="http://schemas.openxmlformats.org/officeDocument/2006/relationships/hyperlink" Target="http://www.law.qmul.ac.uk/eji/" TargetMode="External"/><Relationship Id="rId7" Type="http://schemas.openxmlformats.org/officeDocument/2006/relationships/hyperlink" Target="http://www.feministjudging.ie/" TargetMode="External"/><Relationship Id="rId2" Type="http://schemas.openxmlformats.org/officeDocument/2006/relationships/hyperlink" Target="http://www.bbc.co.uk/programmes/b02x7t3w" TargetMode="External"/><Relationship Id="rId1" Type="http://schemas.openxmlformats.org/officeDocument/2006/relationships/hyperlink" Target="http://jac.judiciary.gov.uk/" TargetMode="External"/><Relationship Id="rId6" Type="http://schemas.openxmlformats.org/officeDocument/2006/relationships/hyperlink" Target="http://www.law.uq.edu.au/the-australian-feminist-judgments-project" TargetMode="External"/><Relationship Id="rId11" Type="http://schemas.openxmlformats.org/officeDocument/2006/relationships/hyperlink" Target="http://www.earthlaws.org.au/events/wild-law-judgment-project/" TargetMode="External"/><Relationship Id="rId5" Type="http://schemas.openxmlformats.org/officeDocument/2006/relationships/hyperlink" Target="http://www.feministjudgments.org.uk" TargetMode="External"/><Relationship Id="rId10" Type="http://schemas.openxmlformats.org/officeDocument/2006/relationships/hyperlink" Target="http://www.liv.ac.uk/law/research/european-childrens-rights-unit/childrens-rights-judgments/" TargetMode="External"/><Relationship Id="rId4" Type="http://schemas.openxmlformats.org/officeDocument/2006/relationships/hyperlink" Target="http://womenscourt.ca" TargetMode="External"/><Relationship Id="rId9" Type="http://schemas.openxmlformats.org/officeDocument/2006/relationships/hyperlink" Target="http://ilg2.org/2014/01/16/invitation-to-participate-in-the-feminist-international-judgment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97A9D-5295-4C73-B77F-6952343D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33</Pages>
  <Words>6503</Words>
  <Characters>37071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Rosemary Hunter</cp:lastModifiedBy>
  <cp:revision>19</cp:revision>
  <cp:lastPrinted>2014-10-20T12:04:00Z</cp:lastPrinted>
  <dcterms:created xsi:type="dcterms:W3CDTF">2015-02-21T15:19:00Z</dcterms:created>
  <dcterms:modified xsi:type="dcterms:W3CDTF">2015-02-25T18:17:00Z</dcterms:modified>
</cp:coreProperties>
</file>