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1A1" w:rsidRDefault="00E9176C" w:rsidP="00D948D1">
      <w:pPr>
        <w:spacing w:line="360" w:lineRule="auto"/>
      </w:pPr>
      <w:bookmarkStart w:id="0" w:name="_GoBack"/>
      <w:bookmarkEnd w:id="0"/>
      <w:r>
        <w:t>‘</w:t>
      </w:r>
      <w:r w:rsidR="00E84A9A">
        <w:t>a most curious mantle</w:t>
      </w:r>
      <w:r>
        <w:t xml:space="preserve">’: </w:t>
      </w:r>
      <w:r w:rsidR="00A3667E">
        <w:t xml:space="preserve">Shakespeare’s </w:t>
      </w:r>
      <w:r w:rsidR="00EB0841">
        <w:t xml:space="preserve">late </w:t>
      </w:r>
      <w:r w:rsidR="00A3667E">
        <w:t>m</w:t>
      </w:r>
      <w:r>
        <w:t xml:space="preserve">aterialities </w:t>
      </w:r>
    </w:p>
    <w:p w:rsidR="00E9176C" w:rsidRDefault="00251C0B" w:rsidP="00D948D1">
      <w:pPr>
        <w:spacing w:line="360" w:lineRule="auto"/>
      </w:pPr>
      <w:r>
        <w:t xml:space="preserve">ABSTRACT: </w:t>
      </w:r>
    </w:p>
    <w:p w:rsidR="00251C0B" w:rsidRDefault="00A9017C" w:rsidP="00456878">
      <w:pPr>
        <w:spacing w:line="240" w:lineRule="auto"/>
      </w:pPr>
      <w:r>
        <w:t xml:space="preserve">Considerable </w:t>
      </w:r>
      <w:r w:rsidR="00251C0B">
        <w:t xml:space="preserve">attention has been paid to Shakespeare’s late plays since the turn of the millennium, exploring the mechanics of </w:t>
      </w:r>
      <w:r w:rsidR="00456878">
        <w:t>their most prominent</w:t>
      </w:r>
      <w:r w:rsidR="00251C0B">
        <w:t xml:space="preserve"> features.</w:t>
      </w:r>
      <w:r w:rsidR="00251C0B" w:rsidRPr="00251C0B">
        <w:t xml:space="preserve"> </w:t>
      </w:r>
      <w:r w:rsidR="00251C0B">
        <w:t>This essay</w:t>
      </w:r>
      <w:r w:rsidR="00251C0B" w:rsidRPr="00251C0B">
        <w:t xml:space="preserve"> </w:t>
      </w:r>
      <w:r w:rsidR="00251C0B">
        <w:t xml:space="preserve">makes a case for the significance of </w:t>
      </w:r>
      <w:r w:rsidR="00456878">
        <w:t>their distinctive materiality, a consideration of which</w:t>
      </w:r>
      <w:r w:rsidR="00251C0B">
        <w:t xml:space="preserve"> forces us to pay due attention to both</w:t>
      </w:r>
      <w:r w:rsidR="00456878">
        <w:t xml:space="preserve"> text and performance</w:t>
      </w:r>
      <w:r w:rsidR="00251C0B">
        <w:t>, and has the potential to get to the heart of the</w:t>
      </w:r>
      <w:r w:rsidR="00456878">
        <w:t>ir distinctive use of</w:t>
      </w:r>
      <w:r w:rsidR="00251C0B">
        <w:t xml:space="preserve"> genre, language and temporality. </w:t>
      </w:r>
      <w:r w:rsidR="00456878">
        <w:t xml:space="preserve">Whilst there have been many interesting local readings of the plays’ props, we lack a general understanding of the function of a more broadly-conceived materiality which aims to explore its function in the creation of their unique effects. Focusing on </w:t>
      </w:r>
      <w:r w:rsidR="00456878">
        <w:rPr>
          <w:i/>
        </w:rPr>
        <w:t>Cymbeline</w:t>
      </w:r>
      <w:r w:rsidR="00251C0B">
        <w:t xml:space="preserve">, </w:t>
      </w:r>
      <w:r>
        <w:t>the essay</w:t>
      </w:r>
      <w:r w:rsidR="00456878">
        <w:t xml:space="preserve"> aims</w:t>
      </w:r>
      <w:r w:rsidR="00251C0B">
        <w:t xml:space="preserve"> to make some initial suggestions about what ‘late materiality’ might encompass, by what forces it might be constrained, and what it might tell us about the effects of the plays on their audiences – to begin to think through a method by which we might assess its role in the making of these late plays.</w:t>
      </w:r>
      <w:r w:rsidR="00456878">
        <w:t xml:space="preserve"> </w:t>
      </w:r>
    </w:p>
    <w:p w:rsidR="00456878" w:rsidRDefault="00456878" w:rsidP="00456878">
      <w:pPr>
        <w:spacing w:line="240" w:lineRule="auto"/>
        <w:rPr>
          <w:rStyle w:val="apple-converted-space"/>
          <w:rFonts w:cs="Arial"/>
          <w:color w:val="000000"/>
          <w:shd w:val="clear" w:color="auto" w:fill="FFFFFF"/>
        </w:rPr>
      </w:pPr>
      <w:r>
        <w:rPr>
          <w:rStyle w:val="apple-converted-space"/>
          <w:rFonts w:cs="Arial"/>
          <w:color w:val="000000"/>
          <w:shd w:val="clear" w:color="auto" w:fill="FFFFFF"/>
        </w:rPr>
        <w:t xml:space="preserve">KEY WORDS: materiality; emblematic staging; romance; temporality; </w:t>
      </w:r>
      <w:r>
        <w:rPr>
          <w:rStyle w:val="apple-converted-space"/>
          <w:rFonts w:cs="Arial"/>
          <w:i/>
          <w:color w:val="000000"/>
          <w:shd w:val="clear" w:color="auto" w:fill="FFFFFF"/>
        </w:rPr>
        <w:t>Cymbeline</w:t>
      </w:r>
    </w:p>
    <w:p w:rsidR="00456878" w:rsidRPr="00456878" w:rsidRDefault="00456878" w:rsidP="00456878">
      <w:pPr>
        <w:spacing w:line="240" w:lineRule="auto"/>
        <w:rPr>
          <w:rStyle w:val="apple-converted-space"/>
          <w:rFonts w:cs="Arial"/>
          <w:color w:val="000000"/>
          <w:shd w:val="clear" w:color="auto" w:fill="FFFFFF"/>
        </w:rPr>
      </w:pPr>
    </w:p>
    <w:p w:rsidR="008B1AEC" w:rsidRDefault="002B1425" w:rsidP="00D948D1">
      <w:pPr>
        <w:spacing w:line="360" w:lineRule="auto"/>
      </w:pPr>
      <w:r>
        <w:t>S</w:t>
      </w:r>
      <w:r w:rsidR="00E9176C">
        <w:t xml:space="preserve">ignificant </w:t>
      </w:r>
      <w:r>
        <w:t xml:space="preserve">attention has been paid to </w:t>
      </w:r>
      <w:r w:rsidR="00E9176C">
        <w:t xml:space="preserve">Shakespeare’s late plays since the turn of the </w:t>
      </w:r>
      <w:r w:rsidR="00DC0BFB">
        <w:t>millennium</w:t>
      </w:r>
      <w:r w:rsidR="00E9176C">
        <w:t xml:space="preserve">, </w:t>
      </w:r>
      <w:r w:rsidR="00EB0841">
        <w:t xml:space="preserve">in </w:t>
      </w:r>
      <w:r w:rsidR="00E9176C">
        <w:t xml:space="preserve">writing which has finally begun to grapple bodily with the </w:t>
      </w:r>
      <w:r w:rsidR="00EB0841">
        <w:t xml:space="preserve">specific </w:t>
      </w:r>
      <w:r w:rsidR="00E9176C">
        <w:t xml:space="preserve">nature of their oddness. </w:t>
      </w:r>
      <w:r w:rsidR="00B77730">
        <w:t>Scholars have largely agreed for some time – perhaps as many as four centuries – on the features that set them apart from his earlier works</w:t>
      </w:r>
      <w:r>
        <w:t xml:space="preserve">, </w:t>
      </w:r>
      <w:r w:rsidR="00EB0841">
        <w:t>lately</w:t>
      </w:r>
      <w:r>
        <w:t xml:space="preserve"> summarized as</w:t>
      </w:r>
      <w:r w:rsidR="00B77730">
        <w:t xml:space="preserve"> ‘</w:t>
      </w:r>
      <w:r w:rsidR="00B77730" w:rsidRPr="00EB67D8">
        <w:t>the comparative unimportance of character...the fabulous plots and fairy-tale atmosphere...the episodic and putatively undramatic structure of romance...the relative lack of differentiation among speakers...</w:t>
      </w:r>
      <w:r w:rsidR="00EB0841">
        <w:t xml:space="preserve">[and] </w:t>
      </w:r>
      <w:r w:rsidR="00B77730" w:rsidRPr="00EB67D8">
        <w:t>the high degree of fantasy in the late work – the magic of the masque’</w:t>
      </w:r>
      <w:r w:rsidR="00B77730">
        <w:t>.</w:t>
      </w:r>
      <w:r w:rsidR="00E26E2A">
        <w:rPr>
          <w:rStyle w:val="FootnoteReference"/>
        </w:rPr>
        <w:footnoteReference w:id="1"/>
      </w:r>
      <w:r w:rsidR="00B77730">
        <w:t xml:space="preserve"> </w:t>
      </w:r>
      <w:r>
        <w:t>R</w:t>
      </w:r>
      <w:r w:rsidR="00B77730">
        <w:t xml:space="preserve">ecent </w:t>
      </w:r>
      <w:r>
        <w:t>analysis</w:t>
      </w:r>
      <w:r w:rsidR="00B77730">
        <w:t xml:space="preserve"> has tasked itself with exploring the </w:t>
      </w:r>
      <w:r w:rsidR="00EB0841">
        <w:t>mechanics of these features,</w:t>
      </w:r>
      <w:r w:rsidR="00B77730">
        <w:t xml:space="preserve"> most prominently in trying to pin down their genre, identifying </w:t>
      </w:r>
      <w:r w:rsidR="00EB0841">
        <w:t>the significance of</w:t>
      </w:r>
      <w:r w:rsidR="00E01055">
        <w:t xml:space="preserve"> their position at the end of Shakespeare’s career </w:t>
      </w:r>
      <w:r w:rsidR="005313CA">
        <w:t xml:space="preserve">and </w:t>
      </w:r>
      <w:r w:rsidR="00B77730">
        <w:t>their playfulness with</w:t>
      </w:r>
      <w:r w:rsidR="00E01055">
        <w:t xml:space="preserve"> </w:t>
      </w:r>
      <w:r w:rsidR="00B77730">
        <w:t>temporality, and</w:t>
      </w:r>
      <w:r w:rsidR="00B77730" w:rsidRPr="00B77730">
        <w:t xml:space="preserve"> </w:t>
      </w:r>
      <w:r w:rsidR="00B77730">
        <w:t>going back to basics with their language.</w:t>
      </w:r>
      <w:r w:rsidR="00E01055">
        <w:t xml:space="preserve"> </w:t>
      </w:r>
    </w:p>
    <w:p w:rsidR="008B1AEC" w:rsidRDefault="00E01055" w:rsidP="00D948D1">
      <w:pPr>
        <w:spacing w:line="360" w:lineRule="auto"/>
      </w:pPr>
      <w:r>
        <w:t xml:space="preserve">The language </w:t>
      </w:r>
      <w:r w:rsidR="00EB0841">
        <w:t xml:space="preserve">work </w:t>
      </w:r>
      <w:r>
        <w:t xml:space="preserve">in particular has been at pains to develop a holistic view of the operation of the various features of Shakespeare’s verse, seeing its </w:t>
      </w:r>
      <w:r w:rsidR="008B1AEC">
        <w:t xml:space="preserve">characteristics as aiming at a coherent artistic effect, but also </w:t>
      </w:r>
      <w:r w:rsidR="00EB0841">
        <w:t>exploring the ways in which</w:t>
      </w:r>
      <w:r w:rsidR="008B1AEC">
        <w:t xml:space="preserve"> that linguistic purpose </w:t>
      </w:r>
      <w:r w:rsidR="00697987">
        <w:t>supports</w:t>
      </w:r>
      <w:r w:rsidR="008B1AEC">
        <w:t xml:space="preserve"> the other elements of the plays. </w:t>
      </w:r>
      <w:r w:rsidR="00CF414C">
        <w:t>Russ McDonald</w:t>
      </w:r>
      <w:r w:rsidR="008B1AEC">
        <w:t xml:space="preserve"> refers to </w:t>
      </w:r>
      <w:r w:rsidR="008B1AEC" w:rsidRPr="00EB67D8">
        <w:t>theatre as ‘a minglin</w:t>
      </w:r>
      <w:r w:rsidR="008B1AEC">
        <w:t>g</w:t>
      </w:r>
      <w:r w:rsidR="00CF414C">
        <w:t xml:space="preserve"> of the verbal and the visual’,</w:t>
      </w:r>
      <w:r w:rsidR="008B1AEC">
        <w:t xml:space="preserve"> </w:t>
      </w:r>
      <w:r w:rsidR="005313CA">
        <w:t xml:space="preserve">and </w:t>
      </w:r>
      <w:r w:rsidR="002B1425">
        <w:t>states that scholarship has failed successfully to triangu</w:t>
      </w:r>
      <w:r w:rsidR="00486044">
        <w:t>lat</w:t>
      </w:r>
      <w:r w:rsidR="002B1425">
        <w:t>e</w:t>
      </w:r>
      <w:r w:rsidR="008B1AEC">
        <w:t xml:space="preserve"> ‘</w:t>
      </w:r>
      <w:r w:rsidR="00697987">
        <w:t>i</w:t>
      </w:r>
      <w:r w:rsidRPr="00EB67D8">
        <w:t>deas, genre, poetry’</w:t>
      </w:r>
      <w:r w:rsidR="008B1AEC">
        <w:t>.</w:t>
      </w:r>
      <w:r w:rsidR="00CF414C">
        <w:rPr>
          <w:rStyle w:val="FootnoteReference"/>
        </w:rPr>
        <w:footnoteReference w:id="2"/>
      </w:r>
      <w:r w:rsidR="008B1AEC">
        <w:t xml:space="preserve"> This essay argues</w:t>
      </w:r>
      <w:r w:rsidR="000833EF">
        <w:t xml:space="preserve"> that there is something important missing here. It makes a case</w:t>
      </w:r>
      <w:r w:rsidR="008B1AEC">
        <w:t xml:space="preserve"> for the </w:t>
      </w:r>
      <w:r w:rsidR="0044579B">
        <w:t>significance</w:t>
      </w:r>
      <w:r w:rsidR="008B1AEC">
        <w:t xml:space="preserve"> </w:t>
      </w:r>
      <w:r w:rsidR="0044579B">
        <w:t xml:space="preserve">of </w:t>
      </w:r>
      <w:r w:rsidR="008B1AEC">
        <w:t>material</w:t>
      </w:r>
      <w:r w:rsidR="0044579B">
        <w:t>ity</w:t>
      </w:r>
      <w:r w:rsidR="008B1AEC">
        <w:t xml:space="preserve"> as a dimension of </w:t>
      </w:r>
      <w:r w:rsidR="00B37EFE">
        <w:t xml:space="preserve">the late </w:t>
      </w:r>
      <w:r w:rsidR="00B37EFE">
        <w:lastRenderedPageBreak/>
        <w:t>plays</w:t>
      </w:r>
      <w:r w:rsidR="008B1AEC">
        <w:t>, one deeply interwoven with the verbal and the visual</w:t>
      </w:r>
      <w:r w:rsidR="005313CA">
        <w:t>,</w:t>
      </w:r>
      <w:r w:rsidR="008B1AEC">
        <w:t xml:space="preserve"> and extending the triad of </w:t>
      </w:r>
      <w:r w:rsidR="0044579B">
        <w:t>‘</w:t>
      </w:r>
      <w:r w:rsidR="008B1AEC">
        <w:t>ideas, genre, poetry</w:t>
      </w:r>
      <w:r w:rsidR="0044579B">
        <w:t>’</w:t>
      </w:r>
      <w:r w:rsidR="008B1AEC">
        <w:t xml:space="preserve"> </w:t>
      </w:r>
      <w:r w:rsidR="00697987">
        <w:t>to include stagecr</w:t>
      </w:r>
      <w:r w:rsidR="005313CA">
        <w:t>aft,</w:t>
      </w:r>
      <w:r w:rsidR="00697987">
        <w:t xml:space="preserve"> </w:t>
      </w:r>
      <w:r w:rsidR="008B1AEC">
        <w:t>whilst being implicated in the connections between them. Mediating between text and performance, considering the late plays’ materiality forces us to pay due attention to both, and it has the potential to get</w:t>
      </w:r>
      <w:r w:rsidR="005313CA">
        <w:t xml:space="preserve"> to</w:t>
      </w:r>
      <w:r w:rsidR="008B1AEC">
        <w:t xml:space="preserve"> the heart of the </w:t>
      </w:r>
      <w:r w:rsidR="002B1425">
        <w:t>curious features</w:t>
      </w:r>
      <w:r w:rsidR="008B1AEC">
        <w:t xml:space="preserve"> of genre, language and temporality which these plays exhibit. Using this provocative new work as a starting point, I </w:t>
      </w:r>
      <w:r w:rsidR="00697987">
        <w:t>aim</w:t>
      </w:r>
      <w:r w:rsidR="008B1AEC">
        <w:t xml:space="preserve"> to make some initial suggestions in what follows about what ‘late materiality’ might encompass, by what forces it might be constrained</w:t>
      </w:r>
      <w:r w:rsidR="000833EF">
        <w:t xml:space="preserve">, and what it might tell us about the effects </w:t>
      </w:r>
      <w:r w:rsidR="007D3CC2">
        <w:t>of the plays on their audiences – to begin to think through a method by which we might assess its role in the making of these late plays.</w:t>
      </w:r>
      <w:r w:rsidR="005313CA">
        <w:t xml:space="preserve"> </w:t>
      </w:r>
      <w:r w:rsidR="00697987">
        <w:t xml:space="preserve">Whilst there have been many interesting local readings of the </w:t>
      </w:r>
      <w:r w:rsidR="005313CA">
        <w:t xml:space="preserve">plays’ </w:t>
      </w:r>
      <w:r w:rsidR="00697987">
        <w:t>props, we lack a general understanding of the function of a more broadly-conceived materiality which aims to understand its function in the creation of the</w:t>
      </w:r>
      <w:r w:rsidR="005313CA">
        <w:t>ir</w:t>
      </w:r>
      <w:r w:rsidR="00697987">
        <w:t xml:space="preserve"> unique effects.</w:t>
      </w:r>
      <w:r w:rsidR="005313CA">
        <w:rPr>
          <w:rStyle w:val="FootnoteReference"/>
        </w:rPr>
        <w:footnoteReference w:id="3"/>
      </w:r>
    </w:p>
    <w:p w:rsidR="00795DF0" w:rsidRDefault="00CA5460" w:rsidP="00D948D1">
      <w:pPr>
        <w:spacing w:line="360" w:lineRule="auto"/>
      </w:pPr>
      <w:r>
        <w:t>It might be useful to start with a</w:t>
      </w:r>
      <w:r w:rsidR="00795DF0">
        <w:t>n</w:t>
      </w:r>
      <w:r>
        <w:t xml:space="preserve"> inventory of </w:t>
      </w:r>
      <w:r w:rsidR="00625364">
        <w:t xml:space="preserve">some of </w:t>
      </w:r>
      <w:r>
        <w:t xml:space="preserve">the </w:t>
      </w:r>
      <w:r w:rsidR="00795DF0">
        <w:t xml:space="preserve">broad </w:t>
      </w:r>
      <w:r>
        <w:t xml:space="preserve">types of material culture which appear </w:t>
      </w:r>
      <w:r w:rsidR="00937B83">
        <w:t xml:space="preserve">especially prominently </w:t>
      </w:r>
      <w:r>
        <w:t xml:space="preserve">in </w:t>
      </w:r>
      <w:r w:rsidR="00795DF0">
        <w:t>these plays:</w:t>
      </w:r>
      <w:r w:rsidR="00937B83">
        <w:rPr>
          <w:rStyle w:val="FootnoteReference"/>
        </w:rPr>
        <w:footnoteReference w:id="4"/>
      </w:r>
      <w:r w:rsidR="00795DF0">
        <w:t xml:space="preserve"> there are the formal, public markers of memory such as statues, monuments, and graves</w:t>
      </w:r>
      <w:r w:rsidR="00625364">
        <w:t>, which are linked through memory and spectacle to scenes of pageantry and procession</w:t>
      </w:r>
      <w:r w:rsidR="00795DF0">
        <w:t>;</w:t>
      </w:r>
      <w:r w:rsidR="00625364">
        <w:t xml:space="preserve"> there are the large formal set pieces of masque and the descent of heavenly figures;</w:t>
      </w:r>
      <w:r w:rsidR="00795DF0">
        <w:t xml:space="preserve"> there are bodies – stinking and perfumed bodies,</w:t>
      </w:r>
      <w:r w:rsidR="005313CA">
        <w:t xml:space="preserve"> but also</w:t>
      </w:r>
      <w:r w:rsidR="00795DF0">
        <w:t xml:space="preserve"> limbs and heads which encourage us to think about coherence and separation, and are linked both to clothing and reclothing and to the prints of individuals and the traces which they leave. Also linked to character</w:t>
      </w:r>
      <w:r w:rsidR="005313CA">
        <w:t>s as personal things</w:t>
      </w:r>
      <w:r w:rsidR="00795DF0">
        <w:t xml:space="preserve"> are the jewels </w:t>
      </w:r>
      <w:r w:rsidR="00937B83">
        <w:t xml:space="preserve">and other objects </w:t>
      </w:r>
      <w:r w:rsidR="00795DF0">
        <w:t>which ensure a constant identity for individuals utterly changed by time and circumstance, and which thereby identify the constants of birth</w:t>
      </w:r>
      <w:r w:rsidR="00937B83">
        <w:t xml:space="preserve"> and lineage, but also of value and principle, which anchor</w:t>
      </w:r>
      <w:r w:rsidR="00795DF0">
        <w:t xml:space="preserve"> the plays.</w:t>
      </w:r>
      <w:r w:rsidR="00937B83" w:rsidRPr="00937B83">
        <w:rPr>
          <w:highlight w:val="yellow"/>
        </w:rPr>
        <w:t xml:space="preserve"> </w:t>
      </w:r>
    </w:p>
    <w:p w:rsidR="00CA5460" w:rsidRDefault="00795DF0" w:rsidP="00D948D1">
      <w:pPr>
        <w:spacing w:line="360" w:lineRule="auto"/>
      </w:pPr>
      <w:r>
        <w:t xml:space="preserve">I </w:t>
      </w:r>
      <w:r w:rsidR="00AF769F">
        <w:t>focus on</w:t>
      </w:r>
      <w:r>
        <w:t xml:space="preserve"> </w:t>
      </w:r>
      <w:r w:rsidR="00CA5460">
        <w:rPr>
          <w:i/>
        </w:rPr>
        <w:t>Cymbeline</w:t>
      </w:r>
      <w:r w:rsidR="002B1425">
        <w:t xml:space="preserve"> </w:t>
      </w:r>
      <w:r>
        <w:t xml:space="preserve">in what follows, using it </w:t>
      </w:r>
      <w:r w:rsidR="002B1425">
        <w:t>as test case for how an analysis of late materiality might work</w:t>
      </w:r>
      <w:r w:rsidR="00CA5460">
        <w:t>.</w:t>
      </w:r>
      <w:r w:rsidR="0090140B">
        <w:rPr>
          <w:rStyle w:val="FootnoteReference"/>
        </w:rPr>
        <w:footnoteReference w:id="5"/>
      </w:r>
      <w:r w:rsidR="00CA5460">
        <w:t xml:space="preserve"> </w:t>
      </w:r>
      <w:r w:rsidR="002B1425">
        <w:t>T</w:t>
      </w:r>
      <w:r w:rsidR="00DD2FEB">
        <w:t xml:space="preserve">o </w:t>
      </w:r>
      <w:r w:rsidR="005313CA">
        <w:t>look in more detail at</w:t>
      </w:r>
      <w:r w:rsidR="00DD2FEB">
        <w:t xml:space="preserve"> the specifics of ‘rem</w:t>
      </w:r>
      <w:r w:rsidR="005313CA">
        <w:t>arked upon’ objects in the play</w:t>
      </w:r>
      <w:r w:rsidR="00DD2FEB">
        <w:t xml:space="preserve"> gives us, as the</w:t>
      </w:r>
      <w:r w:rsidR="005A21CF">
        <w:t xml:space="preserve"> first prominent objects</w:t>
      </w:r>
      <w:r w:rsidR="00DD2FEB">
        <w:t>,</w:t>
      </w:r>
      <w:r w:rsidR="005A21CF">
        <w:t xml:space="preserve"> the diamond and bracelet which Imogen and Posthumus exchange as love tokens. These are props which appear at various points in the play, as is the box of dubious contents set on its </w:t>
      </w:r>
      <w:r w:rsidR="005A21CF">
        <w:lastRenderedPageBreak/>
        <w:t xml:space="preserve">way </w:t>
      </w:r>
      <w:r w:rsidR="00DD2FEB">
        <w:t>through the cast by the Queen. Then, a</w:t>
      </w:r>
      <w:r w:rsidR="005A21CF">
        <w:t>ttention is drawn to numerous types o</w:t>
      </w:r>
      <w:r w:rsidR="005313CA">
        <w:t>f clothing, including the linen</w:t>
      </w:r>
      <w:r w:rsidR="005A21CF">
        <w:t xml:space="preserve"> which stink</w:t>
      </w:r>
      <w:r w:rsidR="005313CA">
        <w:t>s</w:t>
      </w:r>
      <w:r w:rsidR="005A21CF">
        <w:t xml:space="preserve"> on Cloten and ‘prove</w:t>
      </w:r>
      <w:r w:rsidR="005313CA">
        <w:t>s</w:t>
      </w:r>
      <w:r w:rsidR="005A21CF">
        <w:t>’ the ‘death’ of Imogen, the ‘</w:t>
      </w:r>
      <w:r w:rsidR="005A21CF" w:rsidRPr="005A21CF">
        <w:t>doublet, hat, hose, all that answer to them</w:t>
      </w:r>
      <w:r w:rsidR="005A21CF">
        <w:t xml:space="preserve">’ which Pisano brings for her to change into in his cloak-bag, the clothing </w:t>
      </w:r>
      <w:r w:rsidR="00DD2FEB">
        <w:t>belonging to</w:t>
      </w:r>
      <w:r w:rsidR="005A21CF">
        <w:t xml:space="preserve"> his master which he brings for Cloten to wear and in which </w:t>
      </w:r>
      <w:r w:rsidR="00DD2FEB">
        <w:t>the latter i</w:t>
      </w:r>
      <w:r w:rsidR="002B1425">
        <w:t>s</w:t>
      </w:r>
      <w:r w:rsidR="005A21CF">
        <w:t xml:space="preserve"> murdered, and the Italian and then rustic British </w:t>
      </w:r>
      <w:r w:rsidR="002B1425">
        <w:t>dress</w:t>
      </w:r>
      <w:r w:rsidR="005A21CF">
        <w:t xml:space="preserve"> into which Posthumus changes </w:t>
      </w:r>
      <w:r w:rsidR="000A25FA">
        <w:t>in the last act</w:t>
      </w:r>
      <w:r w:rsidR="005A21CF">
        <w:t xml:space="preserve"> of the play. Like the clothing, numerous letters, sent back and forwards to mark the space and time between Britain and Rome draw attention to themselves as a category of object</w:t>
      </w:r>
      <w:r w:rsidR="005313CA">
        <w:t>. T</w:t>
      </w:r>
      <w:r w:rsidR="005A21CF">
        <w:t>hey are connected</w:t>
      </w:r>
      <w:r w:rsidR="002B1425">
        <w:t>,</w:t>
      </w:r>
      <w:r w:rsidR="005A21CF">
        <w:t xml:space="preserve"> through their ability frequently to frustrate honest communication</w:t>
      </w:r>
      <w:r w:rsidR="00DD2FEB">
        <w:t xml:space="preserve"> and reliable record</w:t>
      </w:r>
      <w:r w:rsidR="002B1425">
        <w:t>,</w:t>
      </w:r>
      <w:r w:rsidR="005A21CF">
        <w:t xml:space="preserve"> to the pen and notebook with which Iachimo </w:t>
      </w:r>
      <w:r w:rsidR="00DD2FEB">
        <w:t xml:space="preserve">registers </w:t>
      </w:r>
      <w:r w:rsidR="005A21CF">
        <w:t>Imogen’s chamber. Lesser repetitions are caused by the flowers which are gathered by the</w:t>
      </w:r>
      <w:r w:rsidR="00DD2FEB">
        <w:t xml:space="preserve"> Queen’s gentlewomen and strewn</w:t>
      </w:r>
      <w:r w:rsidR="005A21CF">
        <w:t xml:space="preserve"> over the body of Fidele, and the fetters with which a guilty Posthumus is chained, in echo of his own ‘shackling’ of his wife in her bracelet. Both the trunk and </w:t>
      </w:r>
      <w:r w:rsidR="002B1425">
        <w:t>Jup</w:t>
      </w:r>
      <w:r w:rsidR="00AF769F">
        <w:t>i</w:t>
      </w:r>
      <w:r w:rsidR="002B1425">
        <w:t>ter’s</w:t>
      </w:r>
      <w:r w:rsidR="005A21CF">
        <w:t xml:space="preserve"> eagle, thunderbolt and tablet </w:t>
      </w:r>
      <w:r w:rsidR="005A21CF" w:rsidRPr="00625364">
        <w:t xml:space="preserve">appear </w:t>
      </w:r>
      <w:r w:rsidR="00625364" w:rsidRPr="00625364">
        <w:t>only once</w:t>
      </w:r>
      <w:r w:rsidR="005A21CF" w:rsidRPr="00625364">
        <w:t>, but have considera</w:t>
      </w:r>
      <w:r w:rsidR="002B1425" w:rsidRPr="00625364">
        <w:t>ble visual and narrative impact. Other objects are either less</w:t>
      </w:r>
      <w:r w:rsidR="002B1425">
        <w:t xml:space="preserve"> prominent</w:t>
      </w:r>
      <w:r w:rsidR="005A21CF">
        <w:t xml:space="preserve"> occasional props like the taper in Imogen’s chamber, </w:t>
      </w:r>
      <w:r w:rsidR="002B1425">
        <w:t xml:space="preserve">or things mentioned once specifically in the narrative but </w:t>
      </w:r>
      <w:r w:rsidR="00DD2FEB">
        <w:t>probably</w:t>
      </w:r>
      <w:r w:rsidR="002B1425">
        <w:t xml:space="preserve"> used more widely by the characters</w:t>
      </w:r>
      <w:r w:rsidR="00DD2FEB">
        <w:t>,</w:t>
      </w:r>
      <w:r w:rsidR="002B1425">
        <w:t xml:space="preserve"> such as </w:t>
      </w:r>
      <w:r w:rsidR="005A21CF">
        <w:t xml:space="preserve">the instruments with which Cloten’s hired musicians try to woo her and the pikes and partisans with which the soldiers propose to </w:t>
      </w:r>
      <w:r w:rsidR="00DD2FEB">
        <w:t>provide a grave for</w:t>
      </w:r>
      <w:r w:rsidR="005A21CF">
        <w:t xml:space="preserve"> his headless corpse.</w:t>
      </w:r>
    </w:p>
    <w:p w:rsidR="00F67415" w:rsidRDefault="00B9678F" w:rsidP="00D948D1">
      <w:pPr>
        <w:spacing w:line="360" w:lineRule="auto"/>
      </w:pPr>
      <w:r>
        <w:t xml:space="preserve">As is already clear in the ways in which I’ve grouped these </w:t>
      </w:r>
      <w:r w:rsidR="002B1425">
        <w:t>objects</w:t>
      </w:r>
      <w:r>
        <w:t xml:space="preserve">, </w:t>
      </w:r>
      <w:r w:rsidR="0072225A">
        <w:t xml:space="preserve">not only are they repeated types of thing (dress, writing materials), but </w:t>
      </w:r>
      <w:r>
        <w:t xml:space="preserve">a significant proportion of </w:t>
      </w:r>
      <w:r>
        <w:rPr>
          <w:i/>
        </w:rPr>
        <w:t>Cymbeline</w:t>
      </w:r>
      <w:r w:rsidR="0072225A">
        <w:t>’s objects</w:t>
      </w:r>
      <w:r>
        <w:rPr>
          <w:i/>
        </w:rPr>
        <w:t xml:space="preserve"> </w:t>
      </w:r>
      <w:r>
        <w:t xml:space="preserve">reappear at important points in the play. </w:t>
      </w:r>
      <w:r w:rsidR="00FE07CF">
        <w:t>The diamond and bracelet have the longest trajectory, being most closely linked to t</w:t>
      </w:r>
      <w:r w:rsidR="002B1425">
        <w:t>he development of the narrative. I</w:t>
      </w:r>
      <w:r w:rsidR="00FE07CF">
        <w:t>ntroduced in I ii</w:t>
      </w:r>
      <w:r w:rsidR="002B1425">
        <w:t>, they form a significant</w:t>
      </w:r>
      <w:r w:rsidR="00FE07CF">
        <w:t xml:space="preserve"> aspect of the crescendo of the final scene of the play, and I will keep returning to them as examples of various </w:t>
      </w:r>
      <w:r w:rsidR="00F67415">
        <w:t xml:space="preserve">types of analysis that we might undertake to ascertain the nature </w:t>
      </w:r>
      <w:r w:rsidR="00FE07CF">
        <w:t>of late materiality. Their centrality to the various aspects of the plot, as tokens of the love between the play’s central couple, is set up clearly and insistently at their first appearance: Pos</w:t>
      </w:r>
      <w:r w:rsidR="00F67415">
        <w:t>t</w:t>
      </w:r>
      <w:r w:rsidR="00FE07CF">
        <w:t xml:space="preserve">humus, concerned that he should be going more swiftly as </w:t>
      </w:r>
      <w:r w:rsidR="00F67415">
        <w:t>parting in exile</w:t>
      </w:r>
      <w:r w:rsidR="00FE07CF">
        <w:t xml:space="preserve"> is so painful, bids ‘Adieu!’, but Imogen</w:t>
      </w:r>
      <w:r w:rsidR="002B1425">
        <w:t>, who</w:t>
      </w:r>
      <w:r w:rsidR="00FE07CF">
        <w:t xml:space="preserve"> desires </w:t>
      </w:r>
      <w:r w:rsidR="0072225A">
        <w:t>a</w:t>
      </w:r>
      <w:r w:rsidR="00FE07CF">
        <w:t xml:space="preserve"> </w:t>
      </w:r>
      <w:r w:rsidR="002B1425">
        <w:t>more</w:t>
      </w:r>
      <w:r w:rsidR="00FE07CF">
        <w:t xml:space="preserve"> appropriately </w:t>
      </w:r>
      <w:r w:rsidR="00F67415">
        <w:t>weighty and meaningful</w:t>
      </w:r>
      <w:r w:rsidR="0072225A">
        <w:t xml:space="preserve"> event</w:t>
      </w:r>
      <w:r w:rsidR="002B1425">
        <w:t>, begs him to</w:t>
      </w:r>
      <w:r w:rsidR="00FE07CF">
        <w:t xml:space="preserve"> ‘stay a little:/ Were you but riding forth to air yourself,/ Such parting were too petty’</w:t>
      </w:r>
      <w:r w:rsidR="00F67415">
        <w:t>. She therefore</w:t>
      </w:r>
      <w:r w:rsidR="00FE07CF">
        <w:t xml:space="preserve"> offers him her diamond: ‘But keep it till you woo another </w:t>
      </w:r>
      <w:r w:rsidR="000A25FA">
        <w:t>wife,/ When Imogen is dead’ (</w:t>
      </w:r>
      <w:r w:rsidR="00FE07CF">
        <w:t xml:space="preserve">39-44). Putting it on his finger, Posthumus speaks the inevitably ironic lines ‘Remain, remain thou here,/ While </w:t>
      </w:r>
      <w:r w:rsidR="00F67415">
        <w:t>s</w:t>
      </w:r>
      <w:r w:rsidR="00FE07CF">
        <w:t>ense c</w:t>
      </w:r>
      <w:r w:rsidR="00F67415">
        <w:t>a</w:t>
      </w:r>
      <w:r w:rsidR="00FE07CF">
        <w:t>n keep it on: And sweetest, fair</w:t>
      </w:r>
      <w:r w:rsidR="00F67415">
        <w:t>est,/ As I my poor self did exch</w:t>
      </w:r>
      <w:r w:rsidR="00FE07CF">
        <w:t>ange for you/ To your so infinite loss; so in our trifles/ I still win of you</w:t>
      </w:r>
      <w:r w:rsidR="00DD2FEB">
        <w:t>’</w:t>
      </w:r>
      <w:r w:rsidR="00FE07CF">
        <w:t xml:space="preserve">. </w:t>
      </w:r>
      <w:r w:rsidR="00DD2FEB">
        <w:t>He continues, reciprocally, ‘</w:t>
      </w:r>
      <w:r w:rsidR="00FE07CF">
        <w:t xml:space="preserve">For my sake wear this,/ It is a manacle of love, I’ll place it/ Upon this fairest prisoner’(48-54). </w:t>
      </w:r>
      <w:r w:rsidR="00F67415">
        <w:t>The explicit discussion of the meaning of the items as symbols of the couple’s relationship ensure</w:t>
      </w:r>
      <w:r w:rsidR="00DD2FEB">
        <w:t>s</w:t>
      </w:r>
      <w:r w:rsidR="00F67415">
        <w:t xml:space="preserve"> that these questions can be </w:t>
      </w:r>
      <w:r w:rsidR="00F67415">
        <w:lastRenderedPageBreak/>
        <w:t>revisited in ways that allow the props to cast light on the qualities of Imogen’s and Posthumus’ love and faithfulness throughout the play.</w:t>
      </w:r>
      <w:r w:rsidR="00BE1F70">
        <w:t xml:space="preserve"> In I v Posthumus wagers the ring with Iachimo; in II iv Iachimo gives him the bracelet, and they therefore spend the scene passing the ring between them as Posthumus shilly-shallies between conviction and doubt in an almost comically-excessive focus on exchange:</w:t>
      </w:r>
      <w:r w:rsidR="002B1425">
        <w:t xml:space="preserve"> </w:t>
      </w:r>
      <w:r w:rsidR="00BE1F70">
        <w:t>‘</w:t>
      </w:r>
      <w:r w:rsidR="009E6756">
        <w:t xml:space="preserve">O, no, no, no, ‘tis true. </w:t>
      </w:r>
      <w:r w:rsidR="00BE1F70">
        <w:t xml:space="preserve">Here, take this too’(106), ‘Very </w:t>
      </w:r>
      <w:r w:rsidR="00BE1F70" w:rsidRPr="004A3A69">
        <w:t xml:space="preserve">true...Back my ring’ (17-8), ‘’Tis true, nay, keep the ring’ (123), </w:t>
      </w:r>
      <w:r w:rsidR="002B1425" w:rsidRPr="004A3A69">
        <w:t xml:space="preserve">and finally </w:t>
      </w:r>
      <w:r w:rsidR="00BE1F70" w:rsidRPr="004A3A69">
        <w:t>‘take thy hire’ (129).</w:t>
      </w:r>
      <w:r w:rsidR="00DD2FEB" w:rsidRPr="004A3A69">
        <w:t xml:space="preserve"> </w:t>
      </w:r>
      <w:r w:rsidR="004A3A69" w:rsidRPr="004A3A69">
        <w:t>In the final scene, ‘this ring’ chimes out as a phrase across Iachimo’s incredibly dilated speech which purports</w:t>
      </w:r>
      <w:r w:rsidR="004A3A69">
        <w:t xml:space="preserve"> to answer Imogen’s initial question ‘Of whom he had this ring’ (V.v.136).</w:t>
      </w:r>
    </w:p>
    <w:p w:rsidR="00F67415" w:rsidRDefault="002B1425" w:rsidP="00D948D1">
      <w:pPr>
        <w:spacing w:line="360" w:lineRule="auto"/>
      </w:pPr>
      <w:r>
        <w:t>In contrast to this prominent distribution across the play, t</w:t>
      </w:r>
      <w:r w:rsidR="00F67415">
        <w:t xml:space="preserve">he Queen’s box of ‘poison’ appears only twice physically on the stage. It enters first in I vi when Cornelius gives it to </w:t>
      </w:r>
      <w:r w:rsidR="00DD2FEB">
        <w:t>her</w:t>
      </w:r>
      <w:r w:rsidR="00F67415">
        <w:t xml:space="preserve"> and tells the audience that it is not what she thinks it is because he knows ‘her spirit;/ And will not trust one of her malice with/ A dr</w:t>
      </w:r>
      <w:r w:rsidR="0075451E">
        <w:t>ug of such damn’d nature’. I</w:t>
      </w:r>
      <w:r w:rsidR="00F67415">
        <w:t>t leaves the stage with Pisano, who is told to ‘take it for thy labour’ and as ‘an earnest of a farther good/ That I mean to thee’</w:t>
      </w:r>
      <w:r w:rsidR="000A25FA">
        <w:t xml:space="preserve"> </w:t>
      </w:r>
      <w:r w:rsidR="00F67415">
        <w:t>(61-6)</w:t>
      </w:r>
      <w:r w:rsidR="0075451E">
        <w:t xml:space="preserve">, in other words as </w:t>
      </w:r>
      <w:r w:rsidR="0072225A">
        <w:t xml:space="preserve">present </w:t>
      </w:r>
      <w:r w:rsidR="0075451E">
        <w:t xml:space="preserve">payment and the lure of </w:t>
      </w:r>
      <w:r w:rsidR="0072225A">
        <w:t xml:space="preserve">future </w:t>
      </w:r>
      <w:r w:rsidR="0075451E">
        <w:t>patronage</w:t>
      </w:r>
      <w:r w:rsidR="00F67415">
        <w:t xml:space="preserve">, the Queen explaining that she made it herself as a cordial, its power proved as it has revived the king from death five times. In III iv </w:t>
      </w:r>
      <w:r w:rsidR="00DD2FEB">
        <w:t>Pisano</w:t>
      </w:r>
      <w:r w:rsidR="00F67415">
        <w:t xml:space="preserve"> gives it to Imogen, telling her it will ‘drive away distemper’ if she is sick at sea or ‘stomach-qualm’d’ on land, but after that we only see its effects in </w:t>
      </w:r>
      <w:r w:rsidR="000D1711">
        <w:t>IV ii,</w:t>
      </w:r>
      <w:r w:rsidR="00F67415">
        <w:t xml:space="preserve"> and hear its history as part of the litany of the meaning of many material things in V v.</w:t>
      </w:r>
      <w:r w:rsidR="00DD2FEB">
        <w:t xml:space="preserve"> Here, t</w:t>
      </w:r>
      <w:r w:rsidR="0075451E">
        <w:t>he explanatory stories which turn a prop into an object which does work within the narrative change each time</w:t>
      </w:r>
      <w:r w:rsidR="00DD2FEB">
        <w:t>, playing on the function of containers to protect by concealing their contents, substituting for it their outsides</w:t>
      </w:r>
      <w:r w:rsidR="0075451E">
        <w:t>.</w:t>
      </w:r>
    </w:p>
    <w:p w:rsidR="00037189" w:rsidRDefault="00C071A1" w:rsidP="00D948D1">
      <w:pPr>
        <w:spacing w:line="360" w:lineRule="auto"/>
      </w:pPr>
      <w:r>
        <w:t>T</w:t>
      </w:r>
      <w:r w:rsidR="00F67415">
        <w:t xml:space="preserve">he jewellery and the poison box, </w:t>
      </w:r>
      <w:r>
        <w:t xml:space="preserve">then, </w:t>
      </w:r>
      <w:r w:rsidR="00F67415">
        <w:t xml:space="preserve">are differently significant within the interpersonal dynamics of </w:t>
      </w:r>
      <w:r w:rsidR="0072225A">
        <w:rPr>
          <w:i/>
        </w:rPr>
        <w:t>Cymbe</w:t>
      </w:r>
      <w:r w:rsidR="00DD2FEB">
        <w:rPr>
          <w:i/>
        </w:rPr>
        <w:t>line</w:t>
      </w:r>
      <w:r w:rsidR="00F67415">
        <w:t>, but they serve both a common and an aggregative purpose which is well suited to the particular challenges of</w:t>
      </w:r>
      <w:r>
        <w:t xml:space="preserve"> the</w:t>
      </w:r>
      <w:r w:rsidR="00F67415">
        <w:t xml:space="preserve"> late plays.</w:t>
      </w:r>
      <w:r w:rsidR="00037189">
        <w:t xml:space="preserve"> </w:t>
      </w:r>
      <w:r w:rsidR="000D1711">
        <w:t>The plays’</w:t>
      </w:r>
      <w:r w:rsidR="00037189">
        <w:t xml:space="preserve"> largely episodic form, their wide geographical and/or temporal spread and their lack of ‘everyday’ causality leads to a kind of narrative looseness, particularly</w:t>
      </w:r>
      <w:r w:rsidR="00F67415" w:rsidRPr="00F67415">
        <w:t xml:space="preserve"> </w:t>
      </w:r>
      <w:r w:rsidR="00037189">
        <w:t xml:space="preserve">in </w:t>
      </w:r>
      <w:r w:rsidR="00037189">
        <w:rPr>
          <w:i/>
        </w:rPr>
        <w:t xml:space="preserve">Cymbeline </w:t>
      </w:r>
      <w:r w:rsidR="00037189">
        <w:t xml:space="preserve">and </w:t>
      </w:r>
      <w:r w:rsidR="00037189">
        <w:rPr>
          <w:i/>
        </w:rPr>
        <w:t>Pericles</w:t>
      </w:r>
      <w:r w:rsidR="00037189">
        <w:t xml:space="preserve">, in which the various plots </w:t>
      </w:r>
      <w:r w:rsidR="008D4F56">
        <w:t xml:space="preserve">and characters </w:t>
      </w:r>
      <w:r w:rsidR="00037189">
        <w:t>are hard to keep in the audience’s head.</w:t>
      </w:r>
      <w:r w:rsidR="00037189">
        <w:rPr>
          <w:i/>
        </w:rPr>
        <w:t xml:space="preserve"> </w:t>
      </w:r>
      <w:r w:rsidR="00037189">
        <w:t>Things, then, form stopping points</w:t>
      </w:r>
      <w:r w:rsidR="00894168">
        <w:t>: t</w:t>
      </w:r>
      <w:r w:rsidR="00037189">
        <w:t xml:space="preserve">hey pace and shape the narrative </w:t>
      </w:r>
      <w:r w:rsidR="0072225A">
        <w:t>by</w:t>
      </w:r>
      <w:r w:rsidR="00037189">
        <w:t xml:space="preserve"> reappear</w:t>
      </w:r>
      <w:r w:rsidR="008D4F56">
        <w:t>ing</w:t>
      </w:r>
      <w:r w:rsidR="00037189">
        <w:t xml:space="preserve"> </w:t>
      </w:r>
      <w:r w:rsidR="0072225A">
        <w:t>at different points</w:t>
      </w:r>
      <w:r w:rsidR="00037189">
        <w:t xml:space="preserve">, giving it, if not a clear shape </w:t>
      </w:r>
      <w:r w:rsidR="008D4F56">
        <w:t xml:space="preserve">then </w:t>
      </w:r>
      <w:r w:rsidR="00037189">
        <w:t>at least a sense of the significance of pattern and repetition. The</w:t>
      </w:r>
      <w:r w:rsidR="008D4F56">
        <w:t>se</w:t>
      </w:r>
      <w:r w:rsidR="00037189">
        <w:t xml:space="preserve"> are also, of course, often circular </w:t>
      </w:r>
      <w:r w:rsidR="00894168">
        <w:t>stories</w:t>
      </w:r>
      <w:r w:rsidR="00037189">
        <w:t xml:space="preserve"> which return to the same places and ideas again and again, and gain a great deal of their power and emotional force from doing so. The resurfacing of objects </w:t>
      </w:r>
      <w:r w:rsidR="00F67415">
        <w:t xml:space="preserve">makes for a reiterative process in which things form the milestones in the ‘wide field of possibility’ </w:t>
      </w:r>
      <w:r w:rsidR="00F67415">
        <w:lastRenderedPageBreak/>
        <w:t>whic</w:t>
      </w:r>
      <w:r w:rsidR="000D1711">
        <w:t>h romance narratives represent</w:t>
      </w:r>
      <w:r w:rsidR="00037189">
        <w:t xml:space="preserve">, </w:t>
      </w:r>
      <w:r w:rsidR="008D4F56">
        <w:t>generating meaning from their physical likeness and verbal reinterpretation</w:t>
      </w:r>
      <w:r w:rsidR="00F67415">
        <w:t>.</w:t>
      </w:r>
      <w:r w:rsidR="000D1711">
        <w:rPr>
          <w:rStyle w:val="FootnoteReference"/>
        </w:rPr>
        <w:footnoteReference w:id="6"/>
      </w:r>
      <w:r w:rsidR="00F67415">
        <w:t xml:space="preserve"> </w:t>
      </w:r>
    </w:p>
    <w:p w:rsidR="000C0630" w:rsidRDefault="00423103" w:rsidP="00D948D1">
      <w:pPr>
        <w:spacing w:line="360" w:lineRule="auto"/>
      </w:pPr>
      <w:r w:rsidRPr="00486219">
        <w:t>So what does all this tell us about the late plays’ materiality? How might we</w:t>
      </w:r>
      <w:r>
        <w:t>, in the light of it,</w:t>
      </w:r>
      <w:r w:rsidRPr="00486219">
        <w:t xml:space="preserve"> think about late materiality as a part of late style? What would constitute such a materiality, and what paradigms would control its representation? </w:t>
      </w:r>
      <w:r w:rsidR="00AF397C">
        <w:t xml:space="preserve">The new work on language in particular </w:t>
      </w:r>
      <w:r>
        <w:t>pays</w:t>
      </w:r>
      <w:r w:rsidR="00AF397C">
        <w:t xml:space="preserve"> </w:t>
      </w:r>
      <w:r w:rsidR="00894168">
        <w:t xml:space="preserve">a </w:t>
      </w:r>
      <w:r w:rsidR="00AF397C">
        <w:t>detailed, holistic attention to style and effect</w:t>
      </w:r>
      <w:r w:rsidR="00894168">
        <w:t xml:space="preserve"> of the kind</w:t>
      </w:r>
      <w:r w:rsidR="00AF397C">
        <w:t xml:space="preserve"> which not only offers a potential model for unpacking the fullest possible range of elements of materiality, but also intersects with that enterprise in interesting and useful ways. Russ McDonald, in his book-length study of the verbal structures of peculiarity, </w:t>
      </w:r>
      <w:r w:rsidR="00894168">
        <w:t>adopts a method that connects</w:t>
      </w:r>
      <w:r w:rsidR="00AF397C">
        <w:t xml:space="preserve"> the micro level of language and the macro level of plot: his interest is in</w:t>
      </w:r>
      <w:r w:rsidR="00894168">
        <w:t xml:space="preserve"> the</w:t>
      </w:r>
      <w:r w:rsidR="00AF397C">
        <w:t xml:space="preserve"> ‘</w:t>
      </w:r>
      <w:r w:rsidR="00AF397C" w:rsidRPr="00EB67D8">
        <w:t>calibration of dramatic speech to the content and shap</w:t>
      </w:r>
      <w:r w:rsidR="00AF397C">
        <w:t>e of the narrative being staged</w:t>
      </w:r>
      <w:r w:rsidR="00AF397C" w:rsidRPr="00EB67D8">
        <w:t>’</w:t>
      </w:r>
      <w:r w:rsidR="00AF397C">
        <w:t xml:space="preserve">, </w:t>
      </w:r>
      <w:r w:rsidR="00AF397C" w:rsidRPr="000C0630">
        <w:t xml:space="preserve">and his method, developed from </w:t>
      </w:r>
      <w:r w:rsidR="000C0630" w:rsidRPr="000C0630">
        <w:t xml:space="preserve">Gérard </w:t>
      </w:r>
      <w:r w:rsidR="00AF397C" w:rsidRPr="000C0630">
        <w:t xml:space="preserve">Gennett’s </w:t>
      </w:r>
      <w:r w:rsidR="0072225A">
        <w:t>narratology</w:t>
      </w:r>
      <w:r w:rsidR="00AF397C" w:rsidRPr="000C0630">
        <w:t>, ‘assumes that the smallest</w:t>
      </w:r>
      <w:r w:rsidR="00AF397C" w:rsidRPr="00EB67D8">
        <w:t xml:space="preserve"> grammatical and poetic details not only correspond to larger narrative or dramatic preferences but also serve, especially in the aggregate, as reliable indicators of an artist’s way of apprehending the world</w:t>
      </w:r>
      <w:r w:rsidR="00894168">
        <w:t>’</w:t>
      </w:r>
      <w:r w:rsidR="00AF397C" w:rsidRPr="00EB67D8">
        <w:t>.</w:t>
      </w:r>
      <w:r w:rsidR="00894168">
        <w:t xml:space="preserve"> </w:t>
      </w:r>
      <w:r w:rsidR="002918F2">
        <w:t>Such an analysis</w:t>
      </w:r>
      <w:r w:rsidR="00894168">
        <w:t xml:space="preserve"> turns</w:t>
      </w:r>
      <w:r w:rsidR="00AF397C" w:rsidRPr="00EB67D8">
        <w:t xml:space="preserve"> parallels between speech and structure </w:t>
      </w:r>
      <w:r w:rsidR="00894168">
        <w:t>into</w:t>
      </w:r>
      <w:r w:rsidR="00AF397C" w:rsidRPr="00EB67D8">
        <w:t xml:space="preserve"> </w:t>
      </w:r>
      <w:r w:rsidR="00894168">
        <w:t>‘</w:t>
      </w:r>
      <w:r w:rsidR="00AF397C" w:rsidRPr="00EB67D8">
        <w:t>manifestations</w:t>
      </w:r>
      <w:r w:rsidR="00894168">
        <w:t>...</w:t>
      </w:r>
      <w:r w:rsidR="000D1711">
        <w:t>of the same artistic impulse’.</w:t>
      </w:r>
      <w:r w:rsidR="000D1711">
        <w:rPr>
          <w:rStyle w:val="FootnoteReference"/>
        </w:rPr>
        <w:footnoteReference w:id="7"/>
      </w:r>
      <w:r w:rsidR="00AF397C">
        <w:t xml:space="preserve"> This holistic and coherent view of the elements of theatrical representation allows McDonald to trace the relationships between the spaced out events and </w:t>
      </w:r>
      <w:r w:rsidR="000D1711">
        <w:t>atomised</w:t>
      </w:r>
      <w:r w:rsidR="00AF397C">
        <w:t xml:space="preserve"> geographies of the plays and Shakespeare’s </w:t>
      </w:r>
      <w:r w:rsidR="002918F2">
        <w:t xml:space="preserve">‘narrative amplitude and structural looseness’, his </w:t>
      </w:r>
      <w:r w:rsidR="00AF397C">
        <w:t>removal of ‘</w:t>
      </w:r>
      <w:r w:rsidR="00AF397C" w:rsidRPr="00EB67D8">
        <w:t>inessential syllables so as to pack the line with weightier words</w:t>
      </w:r>
      <w:r w:rsidR="000D1711">
        <w:t>’</w:t>
      </w:r>
      <w:r w:rsidR="00AF397C">
        <w:t>, or ‘</w:t>
      </w:r>
      <w:r w:rsidR="00AF397C" w:rsidRPr="00EB67D8">
        <w:t>parts of speech that normally tighten relations between parts of a sentence, particularly pronouns</w:t>
      </w:r>
      <w:r w:rsidR="00AF397C">
        <w:t>’</w:t>
      </w:r>
      <w:r w:rsidR="00AF397C" w:rsidRPr="00EB67D8">
        <w:t>.</w:t>
      </w:r>
      <w:r w:rsidR="000D1711">
        <w:rPr>
          <w:rStyle w:val="FootnoteReference"/>
        </w:rPr>
        <w:footnoteReference w:id="8"/>
      </w:r>
      <w:r w:rsidR="00AF397C">
        <w:t xml:space="preserve"> </w:t>
      </w:r>
      <w:r w:rsidR="00894168">
        <w:t>Meaning is made in and between the gaps</w:t>
      </w:r>
      <w:r w:rsidR="000C0630">
        <w:t>, by allowing the</w:t>
      </w:r>
      <w:r w:rsidR="00AF397C">
        <w:t xml:space="preserve"> mind to connect up the disparate elements of the </w:t>
      </w:r>
      <w:r w:rsidR="0072225A">
        <w:t>language</w:t>
      </w:r>
      <w:r w:rsidR="00AF397C">
        <w:t>: ‘</w:t>
      </w:r>
      <w:r w:rsidR="00AF397C" w:rsidRPr="00EB67D8">
        <w:t>The remaining words transport the listener, by means of allusion, back through the play to other significant moments and phrases.’</w:t>
      </w:r>
      <w:r w:rsidRPr="00423103">
        <w:t xml:space="preserve"> </w:t>
      </w:r>
      <w:r w:rsidR="000C0630">
        <w:t>In other words</w:t>
      </w:r>
      <w:r w:rsidR="0072225A">
        <w:t>,</w:t>
      </w:r>
      <w:r w:rsidR="000C0630">
        <w:t xml:space="preserve"> the plays are designed to encourage a sensitivity and develop attention to pattern and repetition</w:t>
      </w:r>
      <w:r w:rsidR="0072225A">
        <w:t xml:space="preserve"> – this is their way of making meaning</w:t>
      </w:r>
      <w:r w:rsidR="000C0630">
        <w:t xml:space="preserve">. </w:t>
      </w:r>
    </w:p>
    <w:p w:rsidR="00632D2A" w:rsidRPr="001C5272" w:rsidRDefault="00423103" w:rsidP="00D948D1">
      <w:pPr>
        <w:spacing w:line="360" w:lineRule="auto"/>
      </w:pPr>
      <w:r>
        <w:t>We can see the material features of the play as similarly carefully designed to serve this wider interpretive scheme of romance narrative</w:t>
      </w:r>
      <w:r w:rsidR="000C0630">
        <w:t>.</w:t>
      </w:r>
      <w:r w:rsidR="00894168">
        <w:t xml:space="preserve"> Helen Cooper, talking about the nature of repetition in </w:t>
      </w:r>
      <w:r w:rsidR="00894168">
        <w:rPr>
          <w:i/>
        </w:rPr>
        <w:t>Pericles</w:t>
      </w:r>
      <w:r w:rsidR="00894168">
        <w:t>, identifies it as ‘not just plot progression, but a process of comm</w:t>
      </w:r>
      <w:r w:rsidR="00A95749">
        <w:t>entary, or rather overwriting’</w:t>
      </w:r>
      <w:r w:rsidR="00894168">
        <w:t>.</w:t>
      </w:r>
      <w:r w:rsidR="00A95749">
        <w:rPr>
          <w:rStyle w:val="FootnoteReference"/>
        </w:rPr>
        <w:footnoteReference w:id="9"/>
      </w:r>
      <w:r w:rsidR="00894168">
        <w:t xml:space="preserve"> Such a strikingly palimpsestic </w:t>
      </w:r>
      <w:r w:rsidR="00B25768">
        <w:t xml:space="preserve">practice </w:t>
      </w:r>
      <w:r w:rsidR="00894168">
        <w:t xml:space="preserve">highlights the breadth of analysis needed to account for materiality within this form of story: in each case the repetitions are a striking mix of verbal and material qualities. </w:t>
      </w:r>
      <w:r w:rsidR="00632D2A">
        <w:t xml:space="preserve">This realisation </w:t>
      </w:r>
      <w:r w:rsidR="000C0630">
        <w:t xml:space="preserve">compels us to explore in some depth the way language intersects with the material features of the </w:t>
      </w:r>
      <w:r w:rsidR="00632D2A">
        <w:t>staged events</w:t>
      </w:r>
      <w:r w:rsidR="00EC3DE8">
        <w:t xml:space="preserve"> – if we can explore how this intersection works then we will truly understand how the plays force </w:t>
      </w:r>
      <w:r w:rsidR="00B25768">
        <w:t xml:space="preserve">their spectators’ </w:t>
      </w:r>
      <w:r w:rsidR="00EC3DE8">
        <w:t>attention</w:t>
      </w:r>
      <w:r w:rsidR="00632D2A">
        <w:t>.</w:t>
      </w:r>
      <w:r w:rsidR="0027386B">
        <w:rPr>
          <w:rStyle w:val="FootnoteReference"/>
        </w:rPr>
        <w:footnoteReference w:id="10"/>
      </w:r>
      <w:r w:rsidR="00632D2A">
        <w:t xml:space="preserve"> </w:t>
      </w:r>
      <w:r w:rsidR="00547790">
        <w:t xml:space="preserve">We need to nuance semiotic analyses of the relationships between props and language </w:t>
      </w:r>
      <w:r w:rsidR="00A95749">
        <w:t>with a sense of the peculiar demands of these late plays’</w:t>
      </w:r>
      <w:r w:rsidR="00547790">
        <w:t xml:space="preserve"> distinctive uses of both.</w:t>
      </w:r>
      <w:r w:rsidR="00547790">
        <w:rPr>
          <w:rStyle w:val="FootnoteReference"/>
        </w:rPr>
        <w:footnoteReference w:id="11"/>
      </w:r>
    </w:p>
    <w:p w:rsidR="00BB7E38" w:rsidRDefault="00037189" w:rsidP="00D948D1">
      <w:pPr>
        <w:spacing w:line="360" w:lineRule="auto"/>
      </w:pPr>
      <w:r>
        <w:t xml:space="preserve">In </w:t>
      </w:r>
      <w:r>
        <w:rPr>
          <w:i/>
        </w:rPr>
        <w:t>Cymbeline</w:t>
      </w:r>
      <w:r w:rsidR="00894168">
        <w:t>, we can observe</w:t>
      </w:r>
      <w:r w:rsidR="00581D53">
        <w:t xml:space="preserve"> tiny details of language which attach to the things presented on stage</w:t>
      </w:r>
      <w:r w:rsidR="007361C0">
        <w:t>:</w:t>
      </w:r>
      <w:r w:rsidR="00581D53">
        <w:t xml:space="preserve"> for instance</w:t>
      </w:r>
      <w:r w:rsidR="007361C0">
        <w:t>,</w:t>
      </w:r>
      <w:r w:rsidR="00581D53">
        <w:t xml:space="preserve"> the dew which adheres to the </w:t>
      </w:r>
      <w:r w:rsidR="00E84A9A">
        <w:t>‘violets, cowslips, and the primroses’</w:t>
      </w:r>
      <w:r w:rsidR="000D1711">
        <w:t xml:space="preserve"> </w:t>
      </w:r>
      <w:r w:rsidR="000A25FA">
        <w:t>(I.</w:t>
      </w:r>
      <w:r w:rsidR="00E84A9A">
        <w:t>vi</w:t>
      </w:r>
      <w:r w:rsidR="000A25FA">
        <w:t>.</w:t>
      </w:r>
      <w:r w:rsidR="00E84A9A">
        <w:t xml:space="preserve">83) gathered by the Queen’s ladies in the morning, </w:t>
      </w:r>
      <w:r w:rsidR="00B25768">
        <w:t xml:space="preserve">but also to the </w:t>
      </w:r>
      <w:r w:rsidR="00E84A9A">
        <w:t xml:space="preserve">herbs </w:t>
      </w:r>
      <w:r w:rsidR="00B25768">
        <w:t>‘</w:t>
      </w:r>
      <w:r w:rsidR="00E84A9A">
        <w:t xml:space="preserve">that have on </w:t>
      </w:r>
      <w:r w:rsidR="000A25FA">
        <w:t>them cold dew o’ th’ night’ (IV.ii.</w:t>
      </w:r>
      <w:r w:rsidR="00E84A9A">
        <w:t>284-5) which are ‘strewings fitt’st’ for Imogen’s and Cloten’s graves. The repetition of the dew links the scene in which the ‘poison’ is introduced to the one in which its effects are felt, reminding the audience that it is not mortal</w:t>
      </w:r>
      <w:r w:rsidR="00B25768">
        <w:t>,</w:t>
      </w:r>
      <w:r w:rsidR="00E84A9A">
        <w:t xml:space="preserve"> but also patterning the honest cave-dwellers against the </w:t>
      </w:r>
      <w:r w:rsidR="00012931">
        <w:t>evil Queen. Belarius’ final blessing on the boys in the concluding scene, ‘The benediction of these covering heavens/ Fall on their heads like dew’ (V v 351-2) reprises this theme, reiterating their goodness and their substitution for the venomous queen</w:t>
      </w:r>
      <w:r w:rsidR="007361C0">
        <w:t>; the resurrection of a previous dynasty in place of the disastrous future promised by Cloten’s putative rule</w:t>
      </w:r>
      <w:r w:rsidR="00012931">
        <w:t>.</w:t>
      </w:r>
      <w:r w:rsidR="00901B86">
        <w:t xml:space="preserve"> The box is present twice, but its trajectory in the play is much more extensive.</w:t>
      </w:r>
      <w:r w:rsidR="007361C0">
        <w:t xml:space="preserve"> The care with which these plays are constructed suggests that Shakespeare expected audiences to be sensitive to such detailed repetition.</w:t>
      </w:r>
    </w:p>
    <w:p w:rsidR="00901B86" w:rsidRDefault="002918F2" w:rsidP="00D948D1">
      <w:pPr>
        <w:spacing w:line="360" w:lineRule="auto"/>
      </w:pPr>
      <w:r>
        <w:t>The verbal extension of material things</w:t>
      </w:r>
      <w:r w:rsidR="00581D53">
        <w:t xml:space="preserve"> is </w:t>
      </w:r>
      <w:r>
        <w:t>most obviously</w:t>
      </w:r>
      <w:r w:rsidR="00581D53">
        <w:t xml:space="preserve"> foregrounded</w:t>
      </w:r>
      <w:r w:rsidR="005C4775">
        <w:t>,</w:t>
      </w:r>
      <w:r w:rsidR="00581D53">
        <w:t xml:space="preserve"> and </w:t>
      </w:r>
      <w:r w:rsidR="005C4775">
        <w:t xml:space="preserve">also </w:t>
      </w:r>
      <w:r w:rsidR="00581D53">
        <w:t>complicated</w:t>
      </w:r>
      <w:r w:rsidR="005C4775">
        <w:t>,</w:t>
      </w:r>
      <w:r w:rsidR="00581D53">
        <w:t xml:space="preserve"> in</w:t>
      </w:r>
      <w:r w:rsidR="00037189">
        <w:t xml:space="preserve"> relation to the t</w:t>
      </w:r>
      <w:r w:rsidR="005C4775">
        <w:t xml:space="preserve">runk </w:t>
      </w:r>
      <w:r w:rsidR="00901B86">
        <w:t>in</w:t>
      </w:r>
      <w:r w:rsidR="005C4775">
        <w:t xml:space="preserve"> which Iachimo </w:t>
      </w:r>
      <w:r w:rsidR="00901B86">
        <w:t>enters Imogen’s chamber</w:t>
      </w:r>
      <w:r w:rsidR="00037189">
        <w:t xml:space="preserve">. First mentioned as </w:t>
      </w:r>
      <w:r w:rsidR="00901B86">
        <w:t>a proposition</w:t>
      </w:r>
      <w:r w:rsidR="00037189">
        <w:t xml:space="preserve"> in I vii, it appears on stage very soon afterwards in II ii, only a short comic scene with Cloten later. </w:t>
      </w:r>
      <w:r w:rsidR="00BE1F70">
        <w:t>In I vii it was a home for the ‘plate of rare device, and jewels/ Of rich and exquisite form</w:t>
      </w:r>
      <w:r w:rsidR="00B56CA2">
        <w:t>’</w:t>
      </w:r>
      <w:r w:rsidR="007361C0">
        <w:t xml:space="preserve"> </w:t>
      </w:r>
      <w:r w:rsidR="00B56CA2">
        <w:t xml:space="preserve">(189-90) which is a present for the emperor, bought by Iachimo as ‘factor’ in France and now travelling through Britain on its way to Rome. This thing in motion is </w:t>
      </w:r>
      <w:r w:rsidR="00901B86">
        <w:t>a well-travelled</w:t>
      </w:r>
      <w:r w:rsidR="00B56CA2">
        <w:t xml:space="preserve"> element of political diplomacy, but it is substituted, in II ii, by his body</w:t>
      </w:r>
      <w:r w:rsidR="00901B86">
        <w:t xml:space="preserve"> as a deceitful opposite, a thing of underhand and illegitimate </w:t>
      </w:r>
      <w:r w:rsidR="007361C0">
        <w:t>peregrination</w:t>
      </w:r>
      <w:r w:rsidR="00B56CA2">
        <w:t xml:space="preserve">. </w:t>
      </w:r>
      <w:r w:rsidR="00505B95">
        <w:t xml:space="preserve">As the means of entry into Imogen’s chamber, the </w:t>
      </w:r>
      <w:r w:rsidR="00901B86">
        <w:t>trunk</w:t>
      </w:r>
      <w:r w:rsidR="00505B95">
        <w:t xml:space="preserve"> focuses the scene’s various nested spaces</w:t>
      </w:r>
      <w:r w:rsidR="007361C0">
        <w:t>:</w:t>
      </w:r>
      <w:r w:rsidR="00901B86">
        <w:t xml:space="preserve"> its microscosmic, materially-present interior giving narrative grounds for the generation of her macrocosmic chamber, which is woven before the audience’s imagination in Iachimo’s detailed description. The materiality of the trunk – its locatedness on stage – guarantees, underwrites what we take at this point to be a straightforward piece of materialising language – Shakespeare’s shorthand for environment which operates in a similar way to his establishment of</w:t>
      </w:r>
      <w:r w:rsidR="007361C0">
        <w:t xml:space="preserve"> straightforward environments such as</w:t>
      </w:r>
      <w:r w:rsidR="00901B86">
        <w:t xml:space="preserve"> stage darkness.</w:t>
      </w:r>
    </w:p>
    <w:p w:rsidR="00037189" w:rsidRDefault="00037189" w:rsidP="00D948D1">
      <w:pPr>
        <w:spacing w:line="360" w:lineRule="auto"/>
      </w:pPr>
      <w:r>
        <w:t xml:space="preserve">Whilst this scene represents the triumph of the play’s material creations, </w:t>
      </w:r>
      <w:r w:rsidR="00901B86">
        <w:t>then</w:t>
      </w:r>
      <w:r>
        <w:t xml:space="preserve">, the work the trunk </w:t>
      </w:r>
      <w:r w:rsidR="00505B95">
        <w:t>enables</w:t>
      </w:r>
      <w:r>
        <w:t xml:space="preserve"> is </w:t>
      </w:r>
      <w:r w:rsidR="00505B95">
        <w:t xml:space="preserve">not </w:t>
      </w:r>
      <w:r>
        <w:t xml:space="preserve">primarily as a physical presence but </w:t>
      </w:r>
      <w:r w:rsidR="00505B95">
        <w:t xml:space="preserve">rather </w:t>
      </w:r>
      <w:r>
        <w:t xml:space="preserve">as the story </w:t>
      </w:r>
      <w:r w:rsidR="00901B86">
        <w:t>which can be</w:t>
      </w:r>
      <w:r w:rsidR="007361C0">
        <w:t xml:space="preserve"> </w:t>
      </w:r>
      <w:r>
        <w:t xml:space="preserve">told </w:t>
      </w:r>
      <w:r w:rsidR="00505B95">
        <w:t xml:space="preserve">as a result </w:t>
      </w:r>
      <w:r>
        <w:t xml:space="preserve">of it by Iachimo in </w:t>
      </w:r>
      <w:r w:rsidR="00505B95">
        <w:t>II iv and again in the final scene</w:t>
      </w:r>
      <w:r w:rsidR="005C4775">
        <w:t>.</w:t>
      </w:r>
      <w:r w:rsidR="00583538">
        <w:rPr>
          <w:rStyle w:val="FootnoteReference"/>
        </w:rPr>
        <w:footnoteReference w:id="12"/>
      </w:r>
      <w:r w:rsidR="005C4775">
        <w:t xml:space="preserve"> In these</w:t>
      </w:r>
      <w:r w:rsidR="00505B95">
        <w:t xml:space="preserve"> stories</w:t>
      </w:r>
      <w:r w:rsidR="005C4775">
        <w:t>, however,</w:t>
      </w:r>
      <w:r w:rsidR="00505B95">
        <w:t xml:space="preserve"> the trunk itself is necessarily erased as </w:t>
      </w:r>
      <w:r w:rsidR="005C4775">
        <w:t xml:space="preserve">the </w:t>
      </w:r>
      <w:r w:rsidR="00505B95">
        <w:t>illegitimate vehicle</w:t>
      </w:r>
      <w:r w:rsidR="005C4775">
        <w:t xml:space="preserve"> which proves their falsehood</w:t>
      </w:r>
      <w:r w:rsidR="00505B95">
        <w:t>. The movement is from prop which permits the generation of a language of description of features which are not staged</w:t>
      </w:r>
      <w:r w:rsidR="007361C0">
        <w:t>,</w:t>
      </w:r>
      <w:r w:rsidR="00505B95">
        <w:t xml:space="preserve"> but are nevertheless presumed to form its material context, to powerful and compelling description which flo</w:t>
      </w:r>
      <w:r w:rsidR="00D3525B">
        <w:t>ats free of its material anchor</w:t>
      </w:r>
      <w:r w:rsidR="00901B86">
        <w:t>, and therefore of its guarantees of ‘</w:t>
      </w:r>
      <w:r w:rsidR="007361C0">
        <w:t xml:space="preserve">here and </w:t>
      </w:r>
      <w:r w:rsidR="00901B86">
        <w:t>nowness’, of honest reflection of the determining theatrical environment</w:t>
      </w:r>
      <w:r w:rsidR="00D3525B">
        <w:t xml:space="preserve">. </w:t>
      </w:r>
      <w:r w:rsidR="005C4775">
        <w:t>Such repetitions create</w:t>
      </w:r>
      <w:r w:rsidR="00505B95">
        <w:t xml:space="preserve"> a palimpsestic circularity in which material things provide a pattern, but not an exact echo – a repetition which calls veracity into question.</w:t>
      </w:r>
    </w:p>
    <w:p w:rsidR="007E6541" w:rsidRDefault="00901B86" w:rsidP="00D948D1">
      <w:pPr>
        <w:spacing w:line="360" w:lineRule="auto"/>
      </w:pPr>
      <w:r>
        <w:t>In addition to</w:t>
      </w:r>
      <w:r w:rsidR="005C4775">
        <w:t xml:space="preserve"> this set-piece ekphrastic speech</w:t>
      </w:r>
      <w:r>
        <w:t xml:space="preserve"> in II iv</w:t>
      </w:r>
      <w:r w:rsidR="005C4775">
        <w:t>,</w:t>
      </w:r>
      <w:r w:rsidR="00D3525B">
        <w:t xml:space="preserve"> lesser echoes also circle back to their origins in the trunk, aided by </w:t>
      </w:r>
      <w:r w:rsidR="007361C0">
        <w:t>Iachimo’s</w:t>
      </w:r>
      <w:r w:rsidR="00D3525B">
        <w:t xml:space="preserve"> classicised description of the chamber furnishings. Now quite convinced of Imogen’s infidelity, </w:t>
      </w:r>
      <w:r w:rsidR="00680827">
        <w:t xml:space="preserve">for instance, </w:t>
      </w:r>
      <w:r w:rsidR="00D3525B">
        <w:t xml:space="preserve">Posthumus </w:t>
      </w:r>
      <w:r w:rsidR="00680827">
        <w:t xml:space="preserve">goes on to examine his own mother’s morality: she </w:t>
      </w:r>
      <w:r w:rsidR="00680827" w:rsidRPr="0090140B">
        <w:t>‘seem’d/ The Di</w:t>
      </w:r>
      <w:r w:rsidR="000A25FA" w:rsidRPr="0090140B">
        <w:t>an of that time’ (II.iv.</w:t>
      </w:r>
      <w:r w:rsidR="00680827" w:rsidRPr="0090140B">
        <w:t>158-9), reminding us of the chimney piece; Pisano describes how the slander of her husband’s letter kills Imogen, and ‘outvenoms all the worms of Nile’ (III iv 36), and so</w:t>
      </w:r>
      <w:r w:rsidR="00680827">
        <w:t xml:space="preserve"> takes us back to the hangings. </w:t>
      </w:r>
      <w:r w:rsidR="004013A5">
        <w:t xml:space="preserve">The </w:t>
      </w:r>
      <w:r w:rsidR="007361C0">
        <w:t xml:space="preserve">details of the </w:t>
      </w:r>
      <w:r w:rsidR="004013A5">
        <w:t>materials of the chamber become epitomes of behaviour which mediate between aesthetics and morality.</w:t>
      </w:r>
      <w:r w:rsidR="00680827">
        <w:t xml:space="preserve"> </w:t>
      </w:r>
      <w:r w:rsidR="007361C0">
        <w:t>If, as has often been said, the late plays as a group exhibit a paucity of extended metaphors, then perhaps these have been replaced by prolonged meditations on things?</w:t>
      </w:r>
      <w:r w:rsidR="007361C0">
        <w:rPr>
          <w:rStyle w:val="FootnoteReference"/>
        </w:rPr>
        <w:footnoteReference w:id="13"/>
      </w:r>
      <w:r w:rsidR="00E05421">
        <w:t xml:space="preserve"> </w:t>
      </w:r>
      <w:r w:rsidR="00680827">
        <w:t xml:space="preserve">These insistent echoes show that we have </w:t>
      </w:r>
      <w:r w:rsidR="00D3525B">
        <w:t>to extend our sense of materiality to include the way words relate to objects and the way</w:t>
      </w:r>
      <w:r w:rsidR="004013A5">
        <w:t xml:space="preserve"> narrative</w:t>
      </w:r>
      <w:r w:rsidR="00D3525B">
        <w:t xml:space="preserve"> thought moves in and out of things and phrases. </w:t>
      </w:r>
      <w:r w:rsidR="005C4775">
        <w:t>We need to be able to plot the shape of these connections across the play, but also their hooks in deta</w:t>
      </w:r>
      <w:r w:rsidR="004013A5">
        <w:t>ils and words – the places where and ways in which</w:t>
      </w:r>
      <w:r w:rsidR="005C4775">
        <w:t xml:space="preserve"> material description adheres to or pulls away from things.</w:t>
      </w:r>
    </w:p>
    <w:p w:rsidR="00505B95" w:rsidRDefault="00D3525B" w:rsidP="00D948D1">
      <w:pPr>
        <w:spacing w:line="360" w:lineRule="auto"/>
      </w:pPr>
      <w:r>
        <w:t xml:space="preserve">We also need to investigate </w:t>
      </w:r>
      <w:r w:rsidR="00A46062">
        <w:t>the</w:t>
      </w:r>
      <w:r>
        <w:t xml:space="preserve"> broader contexts within </w:t>
      </w:r>
      <w:r w:rsidR="00A46062">
        <w:t xml:space="preserve">and through </w:t>
      </w:r>
      <w:r>
        <w:t>which these connections between language and things are made – the play’s</w:t>
      </w:r>
      <w:r w:rsidR="0061655F">
        <w:t xml:space="preserve"> </w:t>
      </w:r>
      <w:r>
        <w:t>economic</w:t>
      </w:r>
      <w:r w:rsidR="00625364">
        <w:t>,</w:t>
      </w:r>
      <w:r w:rsidR="00625364" w:rsidRPr="00625364">
        <w:t xml:space="preserve"> </w:t>
      </w:r>
      <w:r w:rsidR="00625364">
        <w:t>political</w:t>
      </w:r>
      <w:r w:rsidR="00A46062">
        <w:t xml:space="preserve"> and</w:t>
      </w:r>
      <w:r>
        <w:t xml:space="preserve"> geographic environments</w:t>
      </w:r>
      <w:r w:rsidR="00A46062">
        <w:t xml:space="preserve">. While there is obviously not space to undertake such an analysis here, it might involve, for instance, </w:t>
      </w:r>
      <w:r w:rsidR="0032314B">
        <w:t xml:space="preserve">taking further the important work on geographies of the late plays in order to </w:t>
      </w:r>
      <w:r w:rsidR="00E05421">
        <w:t xml:space="preserve">further </w:t>
      </w:r>
      <w:r w:rsidR="0032314B">
        <w:t>examine their influence on characterisation and plot: the way that the air of Britain enfeebles Posthumus in revenge when, as he thinks, he has killed its princess</w:t>
      </w:r>
      <w:r w:rsidR="004013A5">
        <w:t>, for instance</w:t>
      </w:r>
      <w:r w:rsidR="0032314B">
        <w:t>, or the success Cymbeline’s sons have in turning the day to their advantage in a ‘strait lane’ which was ‘ditch’d, and wall’d with turf’(V iii 7, 14), as their actions were ‘Ac</w:t>
      </w:r>
      <w:r w:rsidR="00E51E0F">
        <w:t>commodated by the place’ (V.iii.</w:t>
      </w:r>
      <w:r w:rsidR="0032314B">
        <w:t>32). Simultaneously we might follow</w:t>
      </w:r>
      <w:r w:rsidR="00A46062">
        <w:t xml:space="preserve"> the connections between props and the type of </w:t>
      </w:r>
      <w:r w:rsidR="00505B95">
        <w:t>complex, extended thinking through of different concepts of value</w:t>
      </w:r>
      <w:r w:rsidR="00A46062">
        <w:t xml:space="preserve"> which the ring and bracelet occasion in I v</w:t>
      </w:r>
      <w:r w:rsidR="00505B95">
        <w:t>: ‘I prais’d her as I rated her: so do I my stone’, Posthumus replies</w:t>
      </w:r>
      <w:r w:rsidR="004013A5">
        <w:t xml:space="preserve"> to Iachimo’s taunt</w:t>
      </w:r>
      <w:r w:rsidR="00505B95">
        <w:t>, getting the insistently monetary answer ‘What do you esteem it at?’</w:t>
      </w:r>
      <w:r w:rsidR="00E51E0F">
        <w:t xml:space="preserve"> </w:t>
      </w:r>
      <w:r w:rsidR="00505B95">
        <w:t xml:space="preserve">(75). In many ways this is a conventionally explicit early modern interweaving of monetary and </w:t>
      </w:r>
      <w:r w:rsidR="000D1711">
        <w:t>affective</w:t>
      </w:r>
      <w:r w:rsidR="00505B95">
        <w:t xml:space="preserve"> worth, familiar from the contrast between Shylock’s idiom and the young Venetians’ speech for instance. But the insistence with which it is developed in this scene, taking in ideas of sale, title to property, pawn, wager, the purchase of rare </w:t>
      </w:r>
      <w:r w:rsidR="00581D53">
        <w:t>stuffs from an apothecary, and the drawing of up covenants, articles and records ‘set down by lawful counsel’, all indicate a profound concern with the valuing of things and relationships</w:t>
      </w:r>
      <w:r w:rsidR="00A46062">
        <w:t>, and it is</w:t>
      </w:r>
      <w:r w:rsidR="00581D53">
        <w:t xml:space="preserve"> an interest which </w:t>
      </w:r>
      <w:r w:rsidR="00A46062">
        <w:t>we can follow</w:t>
      </w:r>
      <w:r w:rsidR="00581D53">
        <w:t xml:space="preserve"> </w:t>
      </w:r>
      <w:r w:rsidR="00A46062">
        <w:t xml:space="preserve">far </w:t>
      </w:r>
      <w:r w:rsidR="00581D53">
        <w:t>beyond explicit discussion of the jewellery too</w:t>
      </w:r>
      <w:r w:rsidR="00A46062">
        <w:t xml:space="preserve">, to </w:t>
      </w:r>
      <w:r w:rsidR="00BE1F70">
        <w:t>Iachimo</w:t>
      </w:r>
      <w:r w:rsidR="00A46062">
        <w:t xml:space="preserve">’s use of </w:t>
      </w:r>
      <w:r w:rsidR="00BE1F70">
        <w:t>the language of the inventory appraiser, a textual-material form familiar to all early modern audience members</w:t>
      </w:r>
      <w:r w:rsidR="00A46062">
        <w:t>, to questions of</w:t>
      </w:r>
      <w:r w:rsidR="008412AD">
        <w:t xml:space="preserve"> bribery</w:t>
      </w:r>
      <w:r w:rsidR="00A46062">
        <w:t>,</w:t>
      </w:r>
      <w:r w:rsidR="008412AD">
        <w:t xml:space="preserve"> service, reckoning, rewards and patronage</w:t>
      </w:r>
      <w:r w:rsidR="00A46062">
        <w:t xml:space="preserve">. </w:t>
      </w:r>
    </w:p>
    <w:p w:rsidR="00581D53" w:rsidRDefault="00EF7E6F" w:rsidP="00D948D1">
      <w:pPr>
        <w:spacing w:line="360" w:lineRule="auto"/>
      </w:pPr>
      <w:r w:rsidRPr="004F14A1">
        <w:t>An approach to materiality which respects the wider contexts of its circulations would be very much in keeping with developments in the analysis of non-theatrical material cultures</w:t>
      </w:r>
      <w:r w:rsidR="00924236" w:rsidRPr="004F14A1">
        <w:t>. These</w:t>
      </w:r>
      <w:r w:rsidR="00581D53" w:rsidRPr="004F14A1">
        <w:t xml:space="preserve"> have helped us to think beyond objects to environments, from things to ‘the large compass of materiality, the ephemeral, the imaginary, the biological, and the theoretical; all that which would have been external to the simple definition of an artifact’</w:t>
      </w:r>
      <w:r w:rsidR="004F14A1" w:rsidRPr="004F14A1">
        <w:t>, as Daniel Miller puts it</w:t>
      </w:r>
      <w:r w:rsidR="00581D53" w:rsidRPr="004F14A1">
        <w:t>.</w:t>
      </w:r>
      <w:r w:rsidR="004F14A1" w:rsidRPr="004F14A1">
        <w:rPr>
          <w:rStyle w:val="FootnoteReference"/>
        </w:rPr>
        <w:footnoteReference w:id="14"/>
      </w:r>
      <w:r w:rsidR="00581D53" w:rsidRPr="004F14A1">
        <w:t xml:space="preserve"> This type of anthropological understanding of </w:t>
      </w:r>
      <w:r w:rsidR="004013A5">
        <w:t>‘</w:t>
      </w:r>
      <w:r w:rsidR="00581D53" w:rsidRPr="004F14A1">
        <w:t>the material</w:t>
      </w:r>
      <w:r w:rsidR="004013A5">
        <w:t>’</w:t>
      </w:r>
      <w:r w:rsidR="00581D53" w:rsidRPr="004F14A1">
        <w:t xml:space="preserve"> as </w:t>
      </w:r>
      <w:r w:rsidR="00E05421">
        <w:t xml:space="preserve">the basis of </w:t>
      </w:r>
      <w:r w:rsidR="00581D53" w:rsidRPr="004F14A1">
        <w:t xml:space="preserve">an individual’s engagement with the world </w:t>
      </w:r>
      <w:r w:rsidR="004F14A1" w:rsidRPr="004F14A1">
        <w:t>suggests that we</w:t>
      </w:r>
      <w:r w:rsidR="00581D53" w:rsidRPr="004F14A1">
        <w:t xml:space="preserve"> explore the mutual processes </w:t>
      </w:r>
      <w:r w:rsidR="004F14A1">
        <w:t>by which</w:t>
      </w:r>
      <w:r w:rsidR="00581D53" w:rsidRPr="004F14A1">
        <w:t xml:space="preserve"> environments and events, actions and experiences</w:t>
      </w:r>
      <w:r w:rsidR="004F14A1">
        <w:t xml:space="preserve"> are constructed</w:t>
      </w:r>
      <w:r w:rsidR="00581D53" w:rsidRPr="004F14A1">
        <w:t>.</w:t>
      </w:r>
      <w:r w:rsidR="00E05421">
        <w:rPr>
          <w:rStyle w:val="FootnoteReference"/>
        </w:rPr>
        <w:footnoteReference w:id="15"/>
      </w:r>
      <w:r w:rsidR="00581D53" w:rsidRPr="004F14A1">
        <w:t xml:space="preserve"> </w:t>
      </w:r>
      <w:r w:rsidR="004013A5" w:rsidRPr="004F14A1">
        <w:t xml:space="preserve">The late plays have </w:t>
      </w:r>
      <w:r w:rsidR="004013A5">
        <w:t>much</w:t>
      </w:r>
      <w:r w:rsidR="004013A5" w:rsidRPr="004F14A1">
        <w:t xml:space="preserve"> to teach us about how we might think about ‘materiality’ as </w:t>
      </w:r>
      <w:r w:rsidR="00E05421">
        <w:t xml:space="preserve">a </w:t>
      </w:r>
      <w:r w:rsidR="004013A5" w:rsidRPr="004F14A1">
        <w:t xml:space="preserve">richer substitute for </w:t>
      </w:r>
      <w:r w:rsidR="00E05421">
        <w:t xml:space="preserve">‘the </w:t>
      </w:r>
      <w:r w:rsidR="004013A5" w:rsidRPr="004F14A1">
        <w:t xml:space="preserve">visual’ which tends to be set against the language of a play, but </w:t>
      </w:r>
      <w:r w:rsidR="004013A5">
        <w:t>lacks</w:t>
      </w:r>
      <w:r w:rsidR="004013A5" w:rsidRPr="004F14A1">
        <w:t xml:space="preserve"> this sense of </w:t>
      </w:r>
      <w:r w:rsidR="00E05421">
        <w:t xml:space="preserve">active and shaping </w:t>
      </w:r>
      <w:r w:rsidR="004013A5" w:rsidRPr="004F14A1">
        <w:t>environment.</w:t>
      </w:r>
      <w:r w:rsidR="004013A5" w:rsidRPr="00486219">
        <w:t xml:space="preserve"> </w:t>
      </w:r>
      <w:r w:rsidR="00581D53" w:rsidRPr="004F14A1">
        <w:t xml:space="preserve">In the theatre </w:t>
      </w:r>
      <w:r w:rsidR="00E1580D">
        <w:t>the fabrication of materiality</w:t>
      </w:r>
      <w:r w:rsidR="00581D53" w:rsidRPr="004F14A1">
        <w:t xml:space="preserve"> involves</w:t>
      </w:r>
      <w:r w:rsidR="004013A5">
        <w:t>, of course,</w:t>
      </w:r>
      <w:r w:rsidR="00581D53" w:rsidRPr="004F14A1">
        <w:t xml:space="preserve"> parallel processes of making within and outside the staged narrative, which suggests that the status of the type of representation – its investment in levels and forms of realism or otherwise – will govern the methods by which we might interrogate it. </w:t>
      </w:r>
    </w:p>
    <w:p w:rsidR="007D68E4" w:rsidRPr="009E01E1" w:rsidRDefault="00BB362F" w:rsidP="00D948D1">
      <w:pPr>
        <w:spacing w:line="360" w:lineRule="auto"/>
        <w:rPr>
          <w:rStyle w:val="apple-converted-space"/>
          <w:rFonts w:cs="Arial"/>
          <w:color w:val="000000"/>
          <w:shd w:val="clear" w:color="auto" w:fill="FFFFFF"/>
        </w:rPr>
      </w:pPr>
      <w:r w:rsidRPr="009E01E1">
        <w:t>Their romance roots make</w:t>
      </w:r>
      <w:r w:rsidR="009D70D0" w:rsidRPr="009E01E1">
        <w:t xml:space="preserve"> the late plays ‘tall stories’</w:t>
      </w:r>
      <w:r w:rsidRPr="009E01E1">
        <w:t xml:space="preserve">, and </w:t>
      </w:r>
      <w:r w:rsidR="00E672BD" w:rsidRPr="009E01E1">
        <w:t>Kiernan Ryan</w:t>
      </w:r>
      <w:r w:rsidR="00952AC9" w:rsidRPr="009E01E1">
        <w:t>, following Jonson’s lead,</w:t>
      </w:r>
      <w:r w:rsidR="007E0BC4" w:rsidRPr="009E01E1">
        <w:t xml:space="preserve"> </w:t>
      </w:r>
      <w:r w:rsidR="00551B97" w:rsidRPr="009E01E1">
        <w:t>describes their mode as</w:t>
      </w:r>
      <w:r w:rsidR="007E0BC4" w:rsidRPr="009E01E1">
        <w:t xml:space="preserve"> </w:t>
      </w:r>
      <w:r w:rsidR="00952AC9" w:rsidRPr="009E01E1">
        <w:t>anti-mimetic</w:t>
      </w:r>
      <w:r w:rsidR="007E0BC4" w:rsidRPr="009E01E1">
        <w:t xml:space="preserve">: </w:t>
      </w:r>
      <w:r w:rsidRPr="009E01E1">
        <w:t>‘</w:t>
      </w:r>
      <w:r w:rsidR="007E0BC4" w:rsidRPr="009E01E1">
        <w:t>a frontal assault on what counts as reality and</w:t>
      </w:r>
      <w:r w:rsidR="004A6FA3" w:rsidRPr="009E01E1">
        <w:t xml:space="preserve"> the tyranny of realism itself’</w:t>
      </w:r>
      <w:r w:rsidR="007E0BC4" w:rsidRPr="009E01E1">
        <w:t>.</w:t>
      </w:r>
      <w:r w:rsidR="004A6FA3" w:rsidRPr="009E01E1">
        <w:rPr>
          <w:rStyle w:val="FootnoteReference"/>
        </w:rPr>
        <w:footnoteReference w:id="16"/>
      </w:r>
      <w:r w:rsidR="007E0BC4" w:rsidRPr="009E01E1">
        <w:t xml:space="preserve"> </w:t>
      </w:r>
      <w:r w:rsidR="00DC3B8C" w:rsidRPr="009E01E1">
        <w:t>This artifice militates against one critical move of material culture studies, which explores the meaning of staged objects by gearing their narrative functions to their off-stage significance.</w:t>
      </w:r>
      <w:r w:rsidR="00DC3B8C" w:rsidRPr="009E01E1">
        <w:rPr>
          <w:rStyle w:val="FootnoteReference"/>
        </w:rPr>
        <w:footnoteReference w:id="17"/>
      </w:r>
      <w:r w:rsidR="00DC3B8C" w:rsidRPr="009E01E1">
        <w:t xml:space="preserve"> </w:t>
      </w:r>
      <w:r w:rsidRPr="009E01E1">
        <w:t>But i</w:t>
      </w:r>
      <w:r w:rsidR="00DC3B8C" w:rsidRPr="009E01E1">
        <w:t xml:space="preserve">f the late plays steer us away from that relationship between theatrical and everyday materiality, then they steer us towards their own narrative location in the romance tradition, and this provides another key context within which their materiality </w:t>
      </w:r>
      <w:r w:rsidR="009D70D0" w:rsidRPr="009E01E1">
        <w:t>needs to</w:t>
      </w:r>
      <w:r w:rsidR="00DC3B8C" w:rsidRPr="009E01E1">
        <w:t xml:space="preserve"> be understood.</w:t>
      </w:r>
      <w:r w:rsidR="008D7B88" w:rsidRPr="009E01E1">
        <w:rPr>
          <w:rStyle w:val="FootnoteReference"/>
        </w:rPr>
        <w:footnoteReference w:id="18"/>
      </w:r>
      <w:r w:rsidR="007D68E4" w:rsidRPr="009E01E1">
        <w:t xml:space="preserve"> </w:t>
      </w:r>
      <w:r w:rsidR="008E0C92" w:rsidRPr="009E01E1">
        <w:t xml:space="preserve">Although the majority of the critical discussion of genre has been about narrative and meaning, we </w:t>
      </w:r>
      <w:r w:rsidR="00551B97" w:rsidRPr="009E01E1">
        <w:t>also need to explore</w:t>
      </w:r>
      <w:r w:rsidR="008E0C92" w:rsidRPr="009E01E1">
        <w:t xml:space="preserve"> the role which materiality </w:t>
      </w:r>
      <w:r w:rsidR="001A3581" w:rsidRPr="009E01E1">
        <w:t>performs</w:t>
      </w:r>
      <w:r w:rsidR="008E0C92" w:rsidRPr="009E01E1">
        <w:t xml:space="preserve"> in the genres from which the plays draw</w:t>
      </w:r>
      <w:r w:rsidR="00551B97" w:rsidRPr="009E01E1">
        <w:t>,</w:t>
      </w:r>
      <w:r w:rsidR="008E0C92" w:rsidRPr="009E01E1">
        <w:t xml:space="preserve"> as</w:t>
      </w:r>
      <w:r w:rsidR="009D70D0" w:rsidRPr="009E01E1">
        <w:t xml:space="preserve"> its</w:t>
      </w:r>
      <w:r w:rsidR="008E0C92" w:rsidRPr="009E01E1">
        <w:t xml:space="preserve"> principles guide the function of the material environment</w:t>
      </w:r>
      <w:r w:rsidR="00601B26" w:rsidRPr="009E01E1">
        <w:t>s</w:t>
      </w:r>
      <w:r w:rsidR="008E0C92" w:rsidRPr="009E01E1">
        <w:t xml:space="preserve"> they produce. </w:t>
      </w:r>
      <w:r w:rsidR="009E01E1" w:rsidRPr="009E01E1">
        <w:t>R</w:t>
      </w:r>
      <w:r w:rsidR="007D68E4" w:rsidRPr="009E01E1">
        <w:t>omance brings to the plays the guidin</w:t>
      </w:r>
      <w:r w:rsidR="00601B26" w:rsidRPr="009E01E1">
        <w:t xml:space="preserve">g principle of luminous things – </w:t>
      </w:r>
      <w:r w:rsidR="007D68E4" w:rsidRPr="009E01E1">
        <w:t>objects</w:t>
      </w:r>
      <w:r w:rsidR="00601B26" w:rsidRPr="009E01E1">
        <w:t xml:space="preserve"> </w:t>
      </w:r>
      <w:r w:rsidR="007D68E4" w:rsidRPr="009E01E1">
        <w:t>of wonder and transfo</w:t>
      </w:r>
      <w:r w:rsidR="009D70D0" w:rsidRPr="009E01E1">
        <w:t>rmation –</w:t>
      </w:r>
      <w:r w:rsidR="007D68E4" w:rsidRPr="009E01E1">
        <w:t xml:space="preserve"> which punctuate and alter the plot. </w:t>
      </w:r>
      <w:r w:rsidR="00AF769F" w:rsidRPr="009E01E1">
        <w:t xml:space="preserve">In Gosson’s </w:t>
      </w:r>
      <w:r w:rsidR="000D1711" w:rsidRPr="009E01E1">
        <w:t>sarcastic</w:t>
      </w:r>
      <w:r w:rsidR="00AF769F" w:rsidRPr="009E01E1">
        <w:t xml:space="preserve"> take on the popular romance </w:t>
      </w:r>
      <w:r w:rsidR="009D70D0" w:rsidRPr="009E01E1">
        <w:t>tradition</w:t>
      </w:r>
      <w:r w:rsidR="00AF769F" w:rsidRPr="009E01E1">
        <w:t>, the knight returns ‘so wonderfully changed, that he cannot be known but by some posie in his tablet, or by a broken ring, or a handkircher</w:t>
      </w:r>
      <w:r w:rsidR="008F444B" w:rsidRPr="009E01E1">
        <w:t xml:space="preserve"> or a piece of a cockle shell’, making ‘the soul of your plays...mere trifles’.</w:t>
      </w:r>
      <w:r w:rsidR="008F444B" w:rsidRPr="009E01E1">
        <w:rPr>
          <w:rStyle w:val="FootnoteReference"/>
        </w:rPr>
        <w:footnoteReference w:id="19"/>
      </w:r>
      <w:r w:rsidR="008F444B" w:rsidRPr="009E01E1">
        <w:t xml:space="preserve"> </w:t>
      </w:r>
      <w:r w:rsidR="007D68E4" w:rsidRPr="009E01E1">
        <w:t xml:space="preserve">Helen Cooper’s </w:t>
      </w:r>
      <w:r w:rsidR="004F14A1" w:rsidRPr="009E01E1">
        <w:t>extensive</w:t>
      </w:r>
      <w:r w:rsidR="007D68E4" w:rsidRPr="009E01E1">
        <w:t xml:space="preserve"> study of </w:t>
      </w:r>
      <w:r w:rsidRPr="009E01E1">
        <w:t>the genre</w:t>
      </w:r>
      <w:r w:rsidR="007D68E4" w:rsidRPr="009E01E1">
        <w:t xml:space="preserve"> </w:t>
      </w:r>
      <w:r w:rsidR="009E01E1" w:rsidRPr="009E01E1">
        <w:t>gives</w:t>
      </w:r>
      <w:r w:rsidR="004F14A1" w:rsidRPr="009E01E1">
        <w:t xml:space="preserve"> evidence of various types of </w:t>
      </w:r>
      <w:r w:rsidR="009D70D0" w:rsidRPr="009E01E1">
        <w:t>trifles</w:t>
      </w:r>
      <w:r w:rsidR="004F14A1" w:rsidRPr="009E01E1">
        <w:t xml:space="preserve">: </w:t>
      </w:r>
      <w:r w:rsidR="007D68E4" w:rsidRPr="009E01E1">
        <w:t>rings which offer their wearers protection, rings given as tokens of recognition which reunite people after a space of time, and rings which turn pale if the beloved is in trouble.</w:t>
      </w:r>
      <w:r w:rsidR="00C65FDD" w:rsidRPr="009E01E1">
        <w:rPr>
          <w:rStyle w:val="FootnoteReference"/>
        </w:rPr>
        <w:footnoteReference w:id="20"/>
      </w:r>
      <w:r w:rsidR="00C65FDD" w:rsidRPr="009E01E1">
        <w:t xml:space="preserve"> In </w:t>
      </w:r>
      <w:r w:rsidR="004F14A1" w:rsidRPr="009E01E1">
        <w:rPr>
          <w:i/>
        </w:rPr>
        <w:t>King Horn</w:t>
      </w:r>
      <w:r w:rsidR="004F14A1" w:rsidRPr="009E01E1">
        <w:t xml:space="preserve">, </w:t>
      </w:r>
      <w:r w:rsidR="00C65FDD" w:rsidRPr="009E01E1">
        <w:t>fo</w:t>
      </w:r>
      <w:r w:rsidR="009D70D0" w:rsidRPr="009E01E1">
        <w:t xml:space="preserve">r instance, the king’s daughter </w:t>
      </w:r>
      <w:r w:rsidR="00C65FDD" w:rsidRPr="009E01E1">
        <w:t xml:space="preserve">falls in love with </w:t>
      </w:r>
      <w:r w:rsidR="004F14A1" w:rsidRPr="009E01E1">
        <w:t>an exile</w:t>
      </w:r>
      <w:r w:rsidR="00C65FDD" w:rsidRPr="009E01E1">
        <w:t xml:space="preserve"> </w:t>
      </w:r>
      <w:r w:rsidR="004F14A1" w:rsidRPr="009E01E1">
        <w:t>(</w:t>
      </w:r>
      <w:r w:rsidR="00C65FDD" w:rsidRPr="009E01E1">
        <w:t>Horn</w:t>
      </w:r>
      <w:r w:rsidR="004F14A1" w:rsidRPr="009E01E1">
        <w:t>)</w:t>
      </w:r>
      <w:r w:rsidR="00C65FDD" w:rsidRPr="009E01E1">
        <w:t xml:space="preserve"> who is offered refuge in her father’s court</w:t>
      </w:r>
      <w:r w:rsidR="004F14A1" w:rsidRPr="009E01E1">
        <w:t xml:space="preserve"> and </w:t>
      </w:r>
      <w:r w:rsidR="00C65FDD" w:rsidRPr="009E01E1">
        <w:t xml:space="preserve">gives him a ring to help him in </w:t>
      </w:r>
      <w:r w:rsidR="004F14A1" w:rsidRPr="009E01E1">
        <w:t>battle</w:t>
      </w:r>
      <w:r w:rsidR="00C65FDD" w:rsidRPr="009E01E1">
        <w:t xml:space="preserve">. </w:t>
      </w:r>
      <w:r w:rsidR="007D68E4" w:rsidRPr="009E01E1">
        <w:t xml:space="preserve">Such objects also have currency in Elizabethan courtly romances, as David Houston Wood shows in his analysis of Sidney’s </w:t>
      </w:r>
      <w:r w:rsidR="007D68E4" w:rsidRPr="009E01E1">
        <w:rPr>
          <w:i/>
        </w:rPr>
        <w:t>Old Arcadia</w:t>
      </w:r>
      <w:r w:rsidR="007D68E4" w:rsidRPr="009E01E1">
        <w:t xml:space="preserve">: </w:t>
      </w:r>
      <w:r w:rsidR="007D68E4" w:rsidRPr="009E01E1">
        <w:rPr>
          <w:rFonts w:cs="Arial"/>
          <w:color w:val="000000"/>
          <w:shd w:val="clear" w:color="auto" w:fill="FFFFFF"/>
        </w:rPr>
        <w:t>‘Sidney's romance demonstrates the ways in which strategically ambiguous material objects, such as the magical potion, can productively complicate a work of early modern fiction</w:t>
      </w:r>
      <w:r w:rsidR="00D62F1C" w:rsidRPr="009E01E1">
        <w:rPr>
          <w:rFonts w:cs="Arial"/>
          <w:color w:val="000000"/>
          <w:shd w:val="clear" w:color="auto" w:fill="FFFFFF"/>
        </w:rPr>
        <w:t>.</w:t>
      </w:r>
      <w:r w:rsidR="0073181F" w:rsidRPr="009E01E1">
        <w:rPr>
          <w:rFonts w:cs="Arial"/>
          <w:color w:val="000000"/>
          <w:shd w:val="clear" w:color="auto" w:fill="FFFFFF"/>
        </w:rPr>
        <w:t xml:space="preserve"> Reflecting its function back to the characterisation which is so notoriously absent in a textual sense from the late plays, he sees it</w:t>
      </w:r>
      <w:r w:rsidR="007D68E4" w:rsidRPr="009E01E1">
        <w:rPr>
          <w:rFonts w:cs="Arial"/>
          <w:color w:val="000000"/>
          <w:shd w:val="clear" w:color="auto" w:fill="FFFFFF"/>
        </w:rPr>
        <w:t xml:space="preserve"> </w:t>
      </w:r>
      <w:r w:rsidR="0073181F" w:rsidRPr="009E01E1">
        <w:rPr>
          <w:rFonts w:cs="Arial"/>
          <w:color w:val="000000"/>
          <w:shd w:val="clear" w:color="auto" w:fill="FFFFFF"/>
        </w:rPr>
        <w:t>‘</w:t>
      </w:r>
      <w:r w:rsidR="007D68E4" w:rsidRPr="009E01E1">
        <w:rPr>
          <w:rFonts w:cs="Arial"/>
          <w:color w:val="000000"/>
          <w:shd w:val="clear" w:color="auto" w:fill="FFFFFF"/>
        </w:rPr>
        <w:t>formulating for Gynecia a subjective identity and a selfhood consonant less with mere typing than the way in which, in its time and place, it approach</w:t>
      </w:r>
      <w:r w:rsidR="00E51E0F" w:rsidRPr="009E01E1">
        <w:rPr>
          <w:rFonts w:cs="Arial"/>
          <w:color w:val="000000"/>
          <w:shd w:val="clear" w:color="auto" w:fill="FFFFFF"/>
        </w:rPr>
        <w:t>es a form of novelistic realism</w:t>
      </w:r>
      <w:r w:rsidR="007D68E4" w:rsidRPr="009E01E1">
        <w:rPr>
          <w:rFonts w:cs="Arial"/>
          <w:color w:val="000000"/>
          <w:shd w:val="clear" w:color="auto" w:fill="FFFFFF"/>
        </w:rPr>
        <w:t>’</w:t>
      </w:r>
      <w:r w:rsidR="00E51E0F" w:rsidRPr="009E01E1">
        <w:rPr>
          <w:rFonts w:cs="Arial"/>
          <w:color w:val="000000"/>
          <w:shd w:val="clear" w:color="auto" w:fill="FFFFFF"/>
        </w:rPr>
        <w:t>.</w:t>
      </w:r>
      <w:r w:rsidR="007D68E4" w:rsidRPr="009E01E1">
        <w:rPr>
          <w:rStyle w:val="FootnoteReference"/>
          <w:rFonts w:cs="Arial"/>
          <w:color w:val="000000"/>
          <w:shd w:val="clear" w:color="auto" w:fill="FFFFFF"/>
        </w:rPr>
        <w:footnoteReference w:id="21"/>
      </w:r>
      <w:r w:rsidR="007D68E4" w:rsidRPr="009E01E1">
        <w:rPr>
          <w:rStyle w:val="apple-converted-space"/>
          <w:rFonts w:cs="Arial"/>
          <w:color w:val="000000"/>
          <w:shd w:val="clear" w:color="auto" w:fill="FFFFFF"/>
        </w:rPr>
        <w:t xml:space="preserve"> Romance </w:t>
      </w:r>
      <w:r w:rsidR="0073181F" w:rsidRPr="009E01E1">
        <w:rPr>
          <w:rStyle w:val="apple-converted-space"/>
          <w:rFonts w:cs="Arial"/>
          <w:color w:val="000000"/>
          <w:shd w:val="clear" w:color="auto" w:fill="FFFFFF"/>
        </w:rPr>
        <w:t xml:space="preserve">might bring </w:t>
      </w:r>
      <w:r w:rsidR="007D68E4" w:rsidRPr="009E01E1">
        <w:rPr>
          <w:rStyle w:val="apple-converted-space"/>
          <w:rFonts w:cs="Arial"/>
          <w:color w:val="000000"/>
          <w:shd w:val="clear" w:color="auto" w:fill="FFFFFF"/>
        </w:rPr>
        <w:t>to late materiality, then, not only the numinousness of plot shape, but also</w:t>
      </w:r>
      <w:r w:rsidR="00601B26" w:rsidRPr="009E01E1">
        <w:rPr>
          <w:rStyle w:val="apple-converted-space"/>
          <w:rFonts w:cs="Arial"/>
          <w:color w:val="000000"/>
          <w:shd w:val="clear" w:color="auto" w:fill="FFFFFF"/>
        </w:rPr>
        <w:t xml:space="preserve"> the value of personal objects; </w:t>
      </w:r>
      <w:r w:rsidRPr="009E01E1">
        <w:rPr>
          <w:rStyle w:val="apple-converted-space"/>
          <w:rFonts w:cs="Arial"/>
          <w:color w:val="000000"/>
          <w:shd w:val="clear" w:color="auto" w:fill="FFFFFF"/>
        </w:rPr>
        <w:t>props which are generically disposed to stand for the relationships between individuals</w:t>
      </w:r>
      <w:r w:rsidR="0073181F" w:rsidRPr="009E01E1">
        <w:rPr>
          <w:rStyle w:val="apple-converted-space"/>
          <w:rFonts w:cs="Arial"/>
          <w:color w:val="000000"/>
          <w:shd w:val="clear" w:color="auto" w:fill="FFFFFF"/>
        </w:rPr>
        <w:t xml:space="preserve"> and to draw out the qualities of their identities</w:t>
      </w:r>
      <w:r w:rsidRPr="009E01E1">
        <w:rPr>
          <w:rStyle w:val="apple-converted-space"/>
          <w:rFonts w:cs="Arial"/>
          <w:color w:val="000000"/>
          <w:shd w:val="clear" w:color="auto" w:fill="FFFFFF"/>
        </w:rPr>
        <w:t>.</w:t>
      </w:r>
      <w:r w:rsidR="009E01E1" w:rsidRPr="009E01E1">
        <w:t xml:space="preserve"> We might also want to think through the relationship between this ‘romance characterisation’ and materiality through the idea of affordances, where the physical properties of object solicit particular types of response and behaviour</w:t>
      </w:r>
      <w:r w:rsidR="009E01E1">
        <w:t>.</w:t>
      </w:r>
      <w:r w:rsidR="009E01E1">
        <w:rPr>
          <w:rStyle w:val="FootnoteReference"/>
        </w:rPr>
        <w:footnoteReference w:id="22"/>
      </w:r>
      <w:r w:rsidR="009E01E1" w:rsidRPr="009E01E1">
        <w:t xml:space="preserve"> </w:t>
      </w:r>
    </w:p>
    <w:p w:rsidR="00F361EB" w:rsidRPr="00470190" w:rsidRDefault="001D28B2" w:rsidP="00D948D1">
      <w:pPr>
        <w:spacing w:line="360" w:lineRule="auto"/>
        <w:rPr>
          <w:bCs/>
          <w:szCs w:val="38"/>
        </w:rPr>
      </w:pPr>
      <w:r>
        <w:rPr>
          <w:rStyle w:val="apple-converted-space"/>
          <w:rFonts w:cs="Arial"/>
          <w:color w:val="000000"/>
          <w:shd w:val="clear" w:color="auto" w:fill="FFFFFF"/>
        </w:rPr>
        <w:t>But the late plays</w:t>
      </w:r>
      <w:r w:rsidR="003160F6">
        <w:rPr>
          <w:rStyle w:val="apple-converted-space"/>
          <w:rFonts w:cs="Arial"/>
          <w:color w:val="000000"/>
          <w:shd w:val="clear" w:color="auto" w:fill="FFFFFF"/>
        </w:rPr>
        <w:t xml:space="preserve"> depend upon several theatrical forms</w:t>
      </w:r>
      <w:r w:rsidR="00180409">
        <w:rPr>
          <w:rStyle w:val="apple-converted-space"/>
          <w:rFonts w:cs="Arial"/>
          <w:color w:val="000000"/>
          <w:shd w:val="clear" w:color="auto" w:fill="FFFFFF"/>
        </w:rPr>
        <w:t xml:space="preserve"> in order to make their meaning</w:t>
      </w:r>
      <w:r w:rsidR="003160F6">
        <w:rPr>
          <w:rStyle w:val="apple-converted-space"/>
          <w:rFonts w:cs="Arial"/>
          <w:color w:val="000000"/>
          <w:shd w:val="clear" w:color="auto" w:fill="FFFFFF"/>
        </w:rPr>
        <w:t>.</w:t>
      </w:r>
      <w:r w:rsidR="0002563A">
        <w:rPr>
          <w:rStyle w:val="apple-converted-space"/>
          <w:rFonts w:cs="Arial"/>
          <w:color w:val="000000"/>
          <w:shd w:val="clear" w:color="auto" w:fill="FFFFFF"/>
        </w:rPr>
        <w:t xml:space="preserve"> The</w:t>
      </w:r>
      <w:r w:rsidR="00000301">
        <w:rPr>
          <w:rStyle w:val="apple-converted-space"/>
          <w:rFonts w:cs="Arial"/>
          <w:color w:val="000000"/>
          <w:shd w:val="clear" w:color="auto" w:fill="FFFFFF"/>
        </w:rPr>
        <w:t>ir elite credentials:</w:t>
      </w:r>
      <w:r w:rsidR="0002563A">
        <w:rPr>
          <w:rStyle w:val="apple-converted-space"/>
          <w:rFonts w:cs="Arial"/>
          <w:color w:val="000000"/>
          <w:shd w:val="clear" w:color="auto" w:fill="FFFFFF"/>
        </w:rPr>
        <w:t xml:space="preserve"> </w:t>
      </w:r>
      <w:r w:rsidR="00000301">
        <w:rPr>
          <w:rStyle w:val="apple-converted-space"/>
          <w:rFonts w:cs="Arial"/>
          <w:color w:val="000000"/>
          <w:shd w:val="clear" w:color="auto" w:fill="FFFFFF"/>
        </w:rPr>
        <w:t xml:space="preserve">the </w:t>
      </w:r>
      <w:r w:rsidR="0002563A">
        <w:rPr>
          <w:rStyle w:val="apple-converted-space"/>
          <w:rFonts w:cs="Arial"/>
          <w:color w:val="000000"/>
          <w:shd w:val="clear" w:color="auto" w:fill="FFFFFF"/>
        </w:rPr>
        <w:t>fact that some of them were performed at court, the King’s Men’s engagement with indoor theatre, and the representation of masque and masque-like features in particular</w:t>
      </w:r>
      <w:r w:rsidR="00000301">
        <w:rPr>
          <w:rStyle w:val="apple-converted-space"/>
          <w:rFonts w:cs="Arial"/>
          <w:color w:val="000000"/>
          <w:shd w:val="clear" w:color="auto" w:fill="FFFFFF"/>
        </w:rPr>
        <w:t>,</w:t>
      </w:r>
      <w:r w:rsidR="0002563A">
        <w:rPr>
          <w:rStyle w:val="apple-converted-space"/>
          <w:rFonts w:cs="Arial"/>
          <w:color w:val="000000"/>
          <w:shd w:val="clear" w:color="auto" w:fill="FFFFFF"/>
        </w:rPr>
        <w:t xml:space="preserve"> have formed what has until recently often seemed a polar opposite to their engagement with the culturally more open and diverse romance forms. </w:t>
      </w:r>
      <w:r w:rsidR="00601B26">
        <w:rPr>
          <w:rStyle w:val="apple-converted-space"/>
          <w:rFonts w:cs="Arial"/>
          <w:color w:val="000000"/>
          <w:shd w:val="clear" w:color="auto" w:fill="FFFFFF"/>
        </w:rPr>
        <w:t xml:space="preserve">David </w:t>
      </w:r>
      <w:r w:rsidR="00601B26" w:rsidRPr="00470190">
        <w:t>Bergeron defines the technology of spectacle as</w:t>
      </w:r>
      <w:r w:rsidR="009E01E1">
        <w:t xml:space="preserve"> the </w:t>
      </w:r>
      <w:r w:rsidR="00601B26" w:rsidRPr="00470190">
        <w:t>‘intersection of built structures, emblematic costuming, and allegorical purpose’.</w:t>
      </w:r>
      <w:r w:rsidR="009B7DF0">
        <w:rPr>
          <w:rStyle w:val="FootnoteReference"/>
        </w:rPr>
        <w:footnoteReference w:id="23"/>
      </w:r>
      <w:r w:rsidR="00601B26" w:rsidRPr="00470190">
        <w:t xml:space="preserve"> </w:t>
      </w:r>
      <w:r w:rsidR="00601B26">
        <w:t>These types of e</w:t>
      </w:r>
      <w:r w:rsidR="00075F1B" w:rsidRPr="00470190">
        <w:t xml:space="preserve">mblematic staging </w:t>
      </w:r>
      <w:r w:rsidR="00601B26">
        <w:t>offer a form of</w:t>
      </w:r>
      <w:r w:rsidR="00075F1B" w:rsidRPr="00470190">
        <w:t xml:space="preserve"> open showing which suggests a distinct temporality of looking. </w:t>
      </w:r>
      <w:r w:rsidR="009E01E1" w:rsidRPr="00470190">
        <w:t>The two-dimensionality of the emblem</w:t>
      </w:r>
      <w:r w:rsidR="009E01E1" w:rsidRPr="004B350E">
        <w:t xml:space="preserve"> suggests a different focus for information.</w:t>
      </w:r>
      <w:r w:rsidR="009E01E1" w:rsidRPr="00470190">
        <w:t xml:space="preserve"> Emblems are defined in the </w:t>
      </w:r>
      <w:r w:rsidR="009E01E1" w:rsidRPr="00470190">
        <w:rPr>
          <w:i/>
        </w:rPr>
        <w:t xml:space="preserve">OED </w:t>
      </w:r>
      <w:r w:rsidR="009E01E1" w:rsidRPr="00470190">
        <w:t>as drawings or pictures ‘</w:t>
      </w:r>
      <w:r w:rsidR="009E01E1" w:rsidRPr="00470190">
        <w:rPr>
          <w:bCs/>
          <w:szCs w:val="38"/>
        </w:rPr>
        <w:t xml:space="preserve">expressing a moral fable or allegory’, pictures or objects ‘serving as a symbolical representation of an abstract quality’, or symbols or people who personify, who ‘type’ virtues or qualities. </w:t>
      </w:r>
      <w:r w:rsidR="00075F1B" w:rsidRPr="00470190">
        <w:t>Slow</w:t>
      </w:r>
      <w:r w:rsidR="00601B26">
        <w:t>er</w:t>
      </w:r>
      <w:r w:rsidR="00075F1B" w:rsidRPr="00470190">
        <w:t xml:space="preserve"> and </w:t>
      </w:r>
      <w:r w:rsidR="00601B26">
        <w:t xml:space="preserve">more </w:t>
      </w:r>
      <w:r w:rsidR="00075F1B" w:rsidRPr="00470190">
        <w:t>durable</w:t>
      </w:r>
      <w:r w:rsidR="00601B26">
        <w:t xml:space="preserve"> than the nimble props of romance</w:t>
      </w:r>
      <w:r w:rsidR="00075F1B" w:rsidRPr="00470190">
        <w:t>, they invite the considered interpretative gaze.</w:t>
      </w:r>
      <w:r w:rsidR="00601B26">
        <w:rPr>
          <w:rStyle w:val="FootnoteReference"/>
        </w:rPr>
        <w:footnoteReference w:id="24"/>
      </w:r>
      <w:r w:rsidR="00601B26">
        <w:rPr>
          <w:rStyle w:val="apple-converted-space"/>
          <w:rFonts w:cs="Arial"/>
          <w:color w:val="000000"/>
          <w:shd w:val="clear" w:color="auto" w:fill="FFFFFF"/>
        </w:rPr>
        <w:t xml:space="preserve"> </w:t>
      </w:r>
      <w:r w:rsidR="00F361EB" w:rsidRPr="00470190">
        <w:rPr>
          <w:bCs/>
          <w:szCs w:val="38"/>
        </w:rPr>
        <w:t xml:space="preserve">Like the heraldic device which is one of their expressions, these figured things with particular iconographical meaning need to be puzzled out, a process which Thaisa goes through at length in </w:t>
      </w:r>
      <w:r w:rsidR="00F361EB" w:rsidRPr="00470190">
        <w:rPr>
          <w:bCs/>
          <w:i/>
          <w:szCs w:val="38"/>
        </w:rPr>
        <w:t>Pericles</w:t>
      </w:r>
      <w:r w:rsidR="00F361EB" w:rsidRPr="00470190">
        <w:rPr>
          <w:bCs/>
          <w:szCs w:val="38"/>
        </w:rPr>
        <w:t>.</w:t>
      </w:r>
      <w:r w:rsidR="00D02B17" w:rsidRPr="00470190">
        <w:rPr>
          <w:bCs/>
          <w:szCs w:val="38"/>
        </w:rPr>
        <w:t xml:space="preserve"> They are therefore epitomising figures which gather meaning into themselves, rather than </w:t>
      </w:r>
      <w:r w:rsidR="00000301">
        <w:rPr>
          <w:bCs/>
          <w:szCs w:val="38"/>
        </w:rPr>
        <w:t>flexible</w:t>
      </w:r>
      <w:r w:rsidR="00D02B17" w:rsidRPr="00470190">
        <w:rPr>
          <w:bCs/>
          <w:szCs w:val="38"/>
        </w:rPr>
        <w:t xml:space="preserve"> figures which collate the narrative around themselves like romance objects. </w:t>
      </w:r>
      <w:r w:rsidR="00B35176" w:rsidRPr="00470190">
        <w:t xml:space="preserve">These two </w:t>
      </w:r>
      <w:r w:rsidR="009E01E1">
        <w:t>fundamental</w:t>
      </w:r>
      <w:r w:rsidR="00B35176" w:rsidRPr="00470190">
        <w:t xml:space="preserve"> modes of presentation – the numinous objects of romance and the broad spectacles of pageant and masque – offer different types of focus, different </w:t>
      </w:r>
      <w:r w:rsidR="00B35176">
        <w:t xml:space="preserve">methods of reading, distinct </w:t>
      </w:r>
      <w:r w:rsidR="00B35176" w:rsidRPr="00470190">
        <w:t>lines of sight and different horizons of interest and attention for their audiences.</w:t>
      </w:r>
    </w:p>
    <w:p w:rsidR="00D02B17" w:rsidRDefault="00601B26" w:rsidP="00D948D1">
      <w:pPr>
        <w:spacing w:after="0" w:line="360" w:lineRule="auto"/>
      </w:pPr>
      <w:r>
        <w:t xml:space="preserve">Our understanding of the relationships between these two </w:t>
      </w:r>
      <w:r w:rsidR="00000301">
        <w:t>strands</w:t>
      </w:r>
      <w:r>
        <w:t xml:space="preserve"> in the plays casts interesting light on our sense of </w:t>
      </w:r>
      <w:r w:rsidR="00442796">
        <w:t>the ‘elite’ and ‘popular’ elements of material forms.</w:t>
      </w:r>
      <w:r w:rsidR="00E740D4">
        <w:t xml:space="preserve"> </w:t>
      </w:r>
      <w:r w:rsidR="00442796">
        <w:t xml:space="preserve">The plays </w:t>
      </w:r>
      <w:r w:rsidR="001D28B2">
        <w:rPr>
          <w:rStyle w:val="apple-converted-space"/>
          <w:rFonts w:cs="Arial"/>
          <w:color w:val="000000"/>
          <w:shd w:val="clear" w:color="auto" w:fill="FFFFFF"/>
        </w:rPr>
        <w:t>are insistently generically mixed, inherently flexible in th</w:t>
      </w:r>
      <w:r w:rsidR="00442796">
        <w:rPr>
          <w:rStyle w:val="apple-converted-space"/>
          <w:rFonts w:cs="Arial"/>
          <w:color w:val="000000"/>
          <w:shd w:val="clear" w:color="auto" w:fill="FFFFFF"/>
        </w:rPr>
        <w:t>eir style and playing locations.</w:t>
      </w:r>
      <w:r w:rsidR="001D28B2">
        <w:rPr>
          <w:rFonts w:ascii="Times New Roman" w:hAnsi="Times New Roman" w:cs="Times New Roman"/>
          <w:sz w:val="24"/>
          <w:szCs w:val="24"/>
          <w:lang w:eastAsia="en-GB"/>
        </w:rPr>
        <w:t xml:space="preserve"> </w:t>
      </w:r>
      <w:r w:rsidR="00D02B17">
        <w:t>David Bergeron has seen spectacle as related to romance as much as masque, for instance: ‘Spectacle does not equal romance, but it certainly contributes to and</w:t>
      </w:r>
      <w:r w:rsidR="000A25FA">
        <w:t xml:space="preserve"> resides in</w:t>
      </w:r>
      <w:r w:rsidR="00000301">
        <w:t xml:space="preserve">’ it, </w:t>
      </w:r>
      <w:r w:rsidR="000A25FA">
        <w:t>he says,</w:t>
      </w:r>
      <w:r w:rsidR="00442796">
        <w:t xml:space="preserve"> and f</w:t>
      </w:r>
      <w:r w:rsidR="00D02B17">
        <w:t>or him ‘Shakespeare’s decision to pursue romance opens his narratives to</w:t>
      </w:r>
      <w:r w:rsidR="00442796">
        <w:t xml:space="preserve"> the supernatural and spectacle</w:t>
      </w:r>
      <w:r w:rsidR="00D02B17">
        <w:t>’,</w:t>
      </w:r>
      <w:r w:rsidR="00442796">
        <w:t xml:space="preserve"> to which it is linked</w:t>
      </w:r>
      <w:r w:rsidR="00D02B17">
        <w:t xml:space="preserve"> through </w:t>
      </w:r>
      <w:r w:rsidR="00442796">
        <w:t xml:space="preserve">its </w:t>
      </w:r>
      <w:r w:rsidR="00D02B17">
        <w:t>‘frequent disregard for neat, unfolding narrative lines’.</w:t>
      </w:r>
      <w:r w:rsidR="000A25FA">
        <w:rPr>
          <w:rStyle w:val="FootnoteReference"/>
        </w:rPr>
        <w:footnoteReference w:id="25"/>
      </w:r>
      <w:r w:rsidR="00D02B17">
        <w:t xml:space="preserve"> James Knowles, on the other hand, points out that spectacle might not have its roots </w:t>
      </w:r>
      <w:r w:rsidR="00F21DEA">
        <w:t xml:space="preserve">solely </w:t>
      </w:r>
      <w:r w:rsidR="00D02B17">
        <w:t xml:space="preserve">in elite theatrical form: ‘The staging devices in the play, especially the use of descent or flight machinery, derive from the </w:t>
      </w:r>
      <w:r w:rsidR="00D02B17">
        <w:rPr>
          <w:i/>
        </w:rPr>
        <w:t>public</w:t>
      </w:r>
      <w:r w:rsidR="00D02B17">
        <w:t xml:space="preserve"> playhouse...the most elaborate Jacobean descents were mounted at the Red Bull, the most downmarket of amphitheatres.’ Juno’s ‘floating deity’ entry ‘particularly common-place in the private hall theatres, such as Blackfriars’.</w:t>
      </w:r>
      <w:r w:rsidR="00445D74">
        <w:rPr>
          <w:rStyle w:val="FootnoteReference"/>
        </w:rPr>
        <w:footnoteReference w:id="26"/>
      </w:r>
      <w:r w:rsidR="00583A75">
        <w:t xml:space="preserve"> </w:t>
      </w:r>
      <w:r w:rsidR="00442796">
        <w:t xml:space="preserve">Whilst these insights draw attention to the shape of the interpretive modes I outlined above, they also blur </w:t>
      </w:r>
      <w:r w:rsidR="00000301">
        <w:t>any neat</w:t>
      </w:r>
      <w:r w:rsidR="00442796">
        <w:t xml:space="preserve"> distinctions between the</w:t>
      </w:r>
      <w:r w:rsidR="00000301">
        <w:t>ir potential audiences of social effects</w:t>
      </w:r>
      <w:r w:rsidR="00442796">
        <w:t>.</w:t>
      </w:r>
    </w:p>
    <w:p w:rsidR="001D28B2" w:rsidRDefault="001D28B2" w:rsidP="00D948D1">
      <w:pPr>
        <w:spacing w:after="0" w:line="360" w:lineRule="auto"/>
      </w:pPr>
    </w:p>
    <w:p w:rsidR="0042759F" w:rsidRDefault="00583A75" w:rsidP="00D948D1">
      <w:pPr>
        <w:spacing w:line="360" w:lineRule="auto"/>
      </w:pPr>
      <w:r>
        <w:t xml:space="preserve">There are two aspects to this diversity of influence which are important to the way </w:t>
      </w:r>
      <w:r w:rsidR="0042759F">
        <w:t xml:space="preserve">audiences </w:t>
      </w:r>
      <w:r w:rsidR="00000301">
        <w:t xml:space="preserve">might </w:t>
      </w:r>
      <w:r w:rsidR="0042759F">
        <w:t xml:space="preserve">apprehend the </w:t>
      </w:r>
      <w:r>
        <w:t xml:space="preserve">materiality </w:t>
      </w:r>
      <w:r w:rsidR="00442796">
        <w:t>of the play</w:t>
      </w:r>
      <w:r w:rsidR="009E01E1">
        <w:t>s</w:t>
      </w:r>
      <w:r w:rsidR="0042759F">
        <w:t xml:space="preserve">. First, </w:t>
      </w:r>
      <w:r w:rsidR="009E01E1">
        <w:t>emblematic representation</w:t>
      </w:r>
      <w:r w:rsidR="00442796">
        <w:t xml:space="preserve"> is not inherently elite: there were also provincial and metropolitan, sacred and secular pageants of various kinds from which spectators could draw a sense of </w:t>
      </w:r>
      <w:r w:rsidR="000D1711">
        <w:t xml:space="preserve">familiarity with these forms. </w:t>
      </w:r>
      <w:r w:rsidR="00442796">
        <w:t>Knowles</w:t>
      </w:r>
      <w:r w:rsidR="000D1711">
        <w:t xml:space="preserve"> and Richards</w:t>
      </w:r>
      <w:r w:rsidR="00442796">
        <w:t xml:space="preserve"> therefore s</w:t>
      </w:r>
      <w:r w:rsidR="000D1711">
        <w:t>uggest</w:t>
      </w:r>
      <w:r w:rsidR="00442796">
        <w:t xml:space="preserve"> that, </w:t>
      </w:r>
      <w:r w:rsidR="00000301">
        <w:t>‘r</w:t>
      </w:r>
      <w:r w:rsidR="0042759F">
        <w:t xml:space="preserve">ather than simply seeing the spectacular staging as a sign of vapid courtly interests, we should recognise, as contemporaries did, that spectacle might operate in different ways, either </w:t>
      </w:r>
      <w:r w:rsidR="0042759F">
        <w:rPr>
          <w:i/>
        </w:rPr>
        <w:t>exclusively</w:t>
      </w:r>
      <w:r w:rsidR="0042759F">
        <w:t xml:space="preserve">, as in the Jonsonian masque, or more </w:t>
      </w:r>
      <w:r w:rsidR="0042759F">
        <w:rPr>
          <w:i/>
        </w:rPr>
        <w:t>inclusively</w:t>
      </w:r>
      <w:r w:rsidR="0042759F">
        <w:t>, as part of a wider public discourse which itself belonged to the emblematic and visual culture of the period’</w:t>
      </w:r>
      <w:r w:rsidR="00000301">
        <w:t>.</w:t>
      </w:r>
      <w:r w:rsidR="0042759F">
        <w:t xml:space="preserve"> Second,</w:t>
      </w:r>
      <w:r w:rsidR="00442796">
        <w:t xml:space="preserve"> then,</w:t>
      </w:r>
      <w:r w:rsidR="000D1711">
        <w:t xml:space="preserve"> </w:t>
      </w:r>
      <w:r w:rsidR="00D02B17">
        <w:t xml:space="preserve">mixed genres </w:t>
      </w:r>
      <w:r w:rsidR="000D1711">
        <w:t>‘</w:t>
      </w:r>
      <w:r w:rsidR="00D02B17">
        <w:t>attempt to represent ‘a collective vi</w:t>
      </w:r>
      <w:r w:rsidR="00000301">
        <w:t>sion’, and ‘culture as a whole’:</w:t>
      </w:r>
      <w:r w:rsidR="00D02B17">
        <w:t xml:space="preserve"> one characteristic of a mixed genre is </w:t>
      </w:r>
      <w:r w:rsidR="00000301">
        <w:t>‘</w:t>
      </w:r>
      <w:r w:rsidR="00D02B17">
        <w:t>its capacity for social ‘inclusion’’</w:t>
      </w:r>
      <w:r w:rsidR="0042759F">
        <w:t>.</w:t>
      </w:r>
      <w:r w:rsidR="000D1711">
        <w:rPr>
          <w:rStyle w:val="FootnoteReference"/>
        </w:rPr>
        <w:footnoteReference w:id="27"/>
      </w:r>
      <w:r w:rsidR="0042759F">
        <w:t xml:space="preserve"> Courtly romances and popular spectacles show that</w:t>
      </w:r>
      <w:r w:rsidR="00000301">
        <w:t>, because</w:t>
      </w:r>
      <w:r w:rsidR="0042759F">
        <w:t xml:space="preserve"> these presentational modes are not easily separated by audience status, their politics is not </w:t>
      </w:r>
      <w:r w:rsidR="00442796">
        <w:t>uncomplicated</w:t>
      </w:r>
      <w:r w:rsidR="0042759F">
        <w:t xml:space="preserve">. </w:t>
      </w:r>
      <w:r w:rsidR="00E740D4">
        <w:t xml:space="preserve">They can help us to understand the subtle </w:t>
      </w:r>
      <w:r w:rsidR="00000301">
        <w:t xml:space="preserve">representational </w:t>
      </w:r>
      <w:r w:rsidR="00E740D4">
        <w:t>methods of</w:t>
      </w:r>
      <w:r w:rsidR="00177438">
        <w:t xml:space="preserve"> </w:t>
      </w:r>
      <w:r w:rsidR="00E740D4">
        <w:t>popular culture</w:t>
      </w:r>
      <w:r w:rsidR="00601B26" w:rsidRPr="00601B26">
        <w:rPr>
          <w:rFonts w:eastAsia="Times New Roman" w:cs="Tahoma"/>
          <w:color w:val="000000"/>
          <w:lang w:eastAsia="en-GB"/>
        </w:rPr>
        <w:t xml:space="preserve"> </w:t>
      </w:r>
      <w:r w:rsidR="00601B26" w:rsidRPr="009E19A4">
        <w:rPr>
          <w:rFonts w:eastAsia="Times New Roman" w:cs="Tahoma"/>
          <w:color w:val="000000"/>
          <w:lang w:eastAsia="en-GB"/>
        </w:rPr>
        <w:t>by developing</w:t>
      </w:r>
      <w:r w:rsidR="00601B26">
        <w:rPr>
          <w:rFonts w:eastAsia="Times New Roman" w:cs="Tahoma"/>
          <w:b/>
          <w:color w:val="000000"/>
          <w:lang w:eastAsia="en-GB"/>
        </w:rPr>
        <w:t xml:space="preserve"> </w:t>
      </w:r>
      <w:r w:rsidR="00601B26" w:rsidRPr="009E19A4">
        <w:rPr>
          <w:rFonts w:eastAsia="Times New Roman" w:cs="Tahoma"/>
          <w:color w:val="000000"/>
          <w:lang w:eastAsia="en-GB"/>
        </w:rPr>
        <w:t xml:space="preserve">understanding </w:t>
      </w:r>
      <w:r w:rsidR="00601B26">
        <w:rPr>
          <w:rFonts w:eastAsia="Times New Roman" w:cs="Tahoma"/>
          <w:color w:val="000000"/>
          <w:lang w:eastAsia="en-GB"/>
        </w:rPr>
        <w:t xml:space="preserve">of </w:t>
      </w:r>
      <w:r w:rsidR="00601B26" w:rsidRPr="009E19A4">
        <w:rPr>
          <w:rFonts w:eastAsia="Times New Roman" w:cs="Tahoma"/>
          <w:color w:val="000000"/>
          <w:lang w:eastAsia="en-GB"/>
        </w:rPr>
        <w:t xml:space="preserve">the </w:t>
      </w:r>
      <w:r w:rsidR="00442796">
        <w:rPr>
          <w:rFonts w:eastAsia="Times New Roman" w:cs="Tahoma"/>
          <w:color w:val="000000"/>
          <w:lang w:eastAsia="en-GB"/>
        </w:rPr>
        <w:t xml:space="preserve">role of materiality in developing </w:t>
      </w:r>
      <w:r w:rsidR="00601B26" w:rsidRPr="009E19A4">
        <w:rPr>
          <w:rFonts w:eastAsia="Times New Roman" w:cs="Tahoma"/>
          <w:color w:val="000000"/>
          <w:lang w:eastAsia="en-GB"/>
        </w:rPr>
        <w:t>forms that sit somewhat problematically between traditional notions of ‘high’ and ‘low’ culture</w:t>
      </w:r>
      <w:r w:rsidR="00442796">
        <w:rPr>
          <w:rFonts w:eastAsia="Times New Roman" w:cs="Tahoma"/>
          <w:color w:val="000000"/>
          <w:lang w:eastAsia="en-GB"/>
        </w:rPr>
        <w:t>.</w:t>
      </w:r>
      <w:r w:rsidR="00E26E2A">
        <w:rPr>
          <w:rStyle w:val="FootnoteReference"/>
          <w:rFonts w:eastAsia="Times New Roman" w:cs="Tahoma"/>
          <w:color w:val="000000"/>
          <w:lang w:eastAsia="en-GB"/>
        </w:rPr>
        <w:footnoteReference w:id="28"/>
      </w:r>
    </w:p>
    <w:p w:rsidR="00E2729D" w:rsidRDefault="005461D7" w:rsidP="00D948D1">
      <w:pPr>
        <w:spacing w:line="360" w:lineRule="auto"/>
      </w:pPr>
      <w:r>
        <w:t xml:space="preserve">The final issue which </w:t>
      </w:r>
      <w:r w:rsidR="00F21DEA">
        <w:t>we might want to consider as governing</w:t>
      </w:r>
      <w:r>
        <w:t xml:space="preserve"> the operation of late materiality is </w:t>
      </w:r>
      <w:r w:rsidR="00F21DEA">
        <w:t xml:space="preserve">in many ways the most obvious one – the question of </w:t>
      </w:r>
      <w:r>
        <w:t>temporality</w:t>
      </w:r>
      <w:r w:rsidR="00F21DEA">
        <w:t xml:space="preserve"> which is instantly raised in </w:t>
      </w:r>
      <w:r w:rsidR="009E01E1">
        <w:t>the name which often binds the plays</w:t>
      </w:r>
      <w:r w:rsidR="00017716">
        <w:t xml:space="preserve"> together</w:t>
      </w:r>
      <w:r>
        <w:t>.</w:t>
      </w:r>
      <w:r w:rsidR="00C638FE">
        <w:t xml:space="preserve"> The </w:t>
      </w:r>
      <w:r w:rsidR="00F21DEA">
        <w:t>subject of lateness</w:t>
      </w:r>
      <w:r w:rsidR="00C638FE">
        <w:t xml:space="preserve"> has most obviously and fully been treated by Gordon McMullan, in </w:t>
      </w:r>
      <w:r w:rsidR="00C638FE">
        <w:rPr>
          <w:i/>
        </w:rPr>
        <w:t>Shakespeare and the Idea of Late Writing</w:t>
      </w:r>
      <w:r w:rsidR="00C638FE">
        <w:t xml:space="preserve">, where he lays bare criticism’s investment in </w:t>
      </w:r>
      <w:r w:rsidR="002A4775">
        <w:t>a post-Romantic view of the relationship between art works and biography.</w:t>
      </w:r>
      <w:r w:rsidR="00C638FE">
        <w:rPr>
          <w:rStyle w:val="FootnoteReference"/>
        </w:rPr>
        <w:footnoteReference w:id="29"/>
      </w:r>
      <w:r w:rsidR="002A4775">
        <w:t xml:space="preserve"> He points out the decades of tortuous argument in which the tensions between genre and chronology have been exposed, with critics finding refuge </w:t>
      </w:r>
      <w:r w:rsidR="00177438">
        <w:t xml:space="preserve">within the latter </w:t>
      </w:r>
      <w:r w:rsidR="002A4775">
        <w:t>from the need to define the former, and showing that ‘‘Late play’ is anything but a ‘neutral term</w:t>
      </w:r>
      <w:r w:rsidR="00E51E0F">
        <w:t>’’</w:t>
      </w:r>
      <w:r w:rsidR="00E2729D">
        <w:t>.</w:t>
      </w:r>
      <w:r w:rsidR="00E51E0F">
        <w:rPr>
          <w:rStyle w:val="FootnoteReference"/>
        </w:rPr>
        <w:footnoteReference w:id="30"/>
      </w:r>
      <w:r w:rsidR="00E2729D">
        <w:t xml:space="preserve"> McMullan’s argument goes a long way to explain both the attraction and repulsion of the plays’ distinctive temporality – for instance the appeal of the luminous futurity of the plays for </w:t>
      </w:r>
      <w:r w:rsidR="00177438">
        <w:t xml:space="preserve">Kiernan </w:t>
      </w:r>
      <w:r w:rsidR="00E2729D">
        <w:t>Ryan and the simultaneous abhorrence of a reading which situates them in their direct historical and political context. ‘The word ‘late’, McMullan points out, ‘itself locates the plays strictly in their relationship to a particular authoria</w:t>
      </w:r>
      <w:r w:rsidR="000A25FA">
        <w:t>l chronology, ignoring context’</w:t>
      </w:r>
      <w:r w:rsidR="00E2729D">
        <w:t>.</w:t>
      </w:r>
      <w:r w:rsidR="000A25FA">
        <w:rPr>
          <w:rStyle w:val="FootnoteReference"/>
        </w:rPr>
        <w:footnoteReference w:id="31"/>
      </w:r>
      <w:r w:rsidR="00F21DEA">
        <w:t xml:space="preserve"> It is, in other words, </w:t>
      </w:r>
      <w:r w:rsidR="00017716">
        <w:t xml:space="preserve">a vital </w:t>
      </w:r>
      <w:r w:rsidR="00F21DEA">
        <w:t>part of our getting to grips with how to gauge the import of their materiality.</w:t>
      </w:r>
    </w:p>
    <w:p w:rsidR="00177438" w:rsidRDefault="00E2729D" w:rsidP="00D948D1">
      <w:pPr>
        <w:spacing w:line="360" w:lineRule="auto"/>
      </w:pPr>
      <w:r>
        <w:t xml:space="preserve">Other recent work </w:t>
      </w:r>
      <w:r w:rsidR="00F21DEA">
        <w:t xml:space="preserve">on time and renaissance literature more generally </w:t>
      </w:r>
      <w:r>
        <w:t>suggests productive ways of bringing that context back into our understanding of the plays’ material temporalities.</w:t>
      </w:r>
      <w:r w:rsidR="00E672BD">
        <w:t xml:space="preserve"> </w:t>
      </w:r>
      <w:r>
        <w:t xml:space="preserve">Lucy Munro, for instance, reads </w:t>
      </w:r>
      <w:r w:rsidR="003F1FFB">
        <w:t xml:space="preserve">the archaism of </w:t>
      </w:r>
      <w:r>
        <w:t>a variety of early modern texts as ‘temporal</w:t>
      </w:r>
      <w:r w:rsidR="003F1FFB">
        <w:t xml:space="preserve"> instability...which challenges the stable division between past and present</w:t>
      </w:r>
      <w:r>
        <w:t xml:space="preserve">, exploring ways of </w:t>
      </w:r>
      <w:r w:rsidR="00F21DEA">
        <w:t>understanding</w:t>
      </w:r>
      <w:r>
        <w:t xml:space="preserve"> how works of art resist ‘both linear temporality and periodization’</w:t>
      </w:r>
      <w:r w:rsidR="00F3516B">
        <w:t xml:space="preserve">. Her consideration of the work of </w:t>
      </w:r>
      <w:r w:rsidR="00546347">
        <w:t>Annamarie Jagose</w:t>
      </w:r>
      <w:r w:rsidR="00F3516B">
        <w:t xml:space="preserve"> on the</w:t>
      </w:r>
      <w:r w:rsidR="00546347">
        <w:t xml:space="preserve"> ‘ways in which time might be conceived of as being not invariably linear but “cyclical, interrupted, multilayered, reversible, stalled”</w:t>
      </w:r>
      <w:r w:rsidR="009E01E1">
        <w:t>’</w:t>
      </w:r>
      <w:r w:rsidR="00F3516B">
        <w:t xml:space="preserve">, </w:t>
      </w:r>
      <w:r w:rsidR="009B7DF0">
        <w:t>offers</w:t>
      </w:r>
      <w:r w:rsidR="00F3516B">
        <w:t xml:space="preserve"> obvious parallels between a more complex understanding of temporality and the shape of romance.</w:t>
      </w:r>
      <w:r w:rsidR="009B7DF0">
        <w:rPr>
          <w:rStyle w:val="FootnoteReference"/>
        </w:rPr>
        <w:footnoteReference w:id="32"/>
      </w:r>
      <w:r w:rsidR="00F3516B">
        <w:t xml:space="preserve"> Munro’s analysis of the linguistic elements of archaism – in vocabulary, grammatical and metrical forms – sits interestingly alongside Jonathan Gil Harris’ materialist approach to what he calls ‘untimely matter’, or polytemporal ob</w:t>
      </w:r>
      <w:r w:rsidR="00F21DEA">
        <w:t>j</w:t>
      </w:r>
      <w:r w:rsidR="00F3516B">
        <w:t xml:space="preserve">ects. </w:t>
      </w:r>
      <w:r w:rsidR="00591EA3">
        <w:t>Using Serres</w:t>
      </w:r>
      <w:r w:rsidR="00F21DEA">
        <w:t>’</w:t>
      </w:r>
      <w:r w:rsidR="00591EA3">
        <w:t xml:space="preserve"> image of the </w:t>
      </w:r>
      <w:r w:rsidR="00F21DEA">
        <w:t>‘</w:t>
      </w:r>
      <w:r w:rsidR="00591EA3">
        <w:t>handkerchief of time</w:t>
      </w:r>
      <w:r w:rsidR="00F21DEA">
        <w:t>’</w:t>
      </w:r>
      <w:r w:rsidR="00591EA3">
        <w:t xml:space="preserve">, experienced as crumpled up in the hand of the user rather than flattened on the ironing board of </w:t>
      </w:r>
      <w:r w:rsidR="00017716">
        <w:t>measured</w:t>
      </w:r>
      <w:r w:rsidR="00591EA3">
        <w:t xml:space="preserve"> sequence, h</w:t>
      </w:r>
      <w:r w:rsidR="00F3516B">
        <w:t>e insists that the temporality of materiality renders each time ‘plural and active, without subordinating one to the other’</w:t>
      </w:r>
      <w:r w:rsidR="009E01E1">
        <w:t>,</w:t>
      </w:r>
      <w:r w:rsidR="00F3516B">
        <w:t xml:space="preserve"> chronologically remote times touch</w:t>
      </w:r>
      <w:r w:rsidR="00017716">
        <w:t>ing</w:t>
      </w:r>
      <w:r w:rsidR="00F3516B">
        <w:t xml:space="preserve"> one another through the object or practice under consideration.</w:t>
      </w:r>
      <w:r w:rsidR="00591EA3" w:rsidRPr="00591EA3">
        <w:t xml:space="preserve"> </w:t>
      </w:r>
      <w:r w:rsidR="009B7DF0">
        <w:t xml:space="preserve">His </w:t>
      </w:r>
      <w:r w:rsidR="00177438">
        <w:t>‘</w:t>
      </w:r>
      <w:r w:rsidR="009B7DF0">
        <w:t>i</w:t>
      </w:r>
      <w:r w:rsidR="00591EA3">
        <w:t>ntertheatricality</w:t>
      </w:r>
      <w:r w:rsidR="00177438">
        <w:t>’</w:t>
      </w:r>
      <w:r w:rsidR="00591EA3">
        <w:t xml:space="preserve"> is concerned with </w:t>
      </w:r>
      <w:r w:rsidR="00177438">
        <w:t>an explicit</w:t>
      </w:r>
      <w:r w:rsidR="00591EA3">
        <w:t xml:space="preserve"> working and reworking of theatrical matter, including the actor’s body and</w:t>
      </w:r>
      <w:r w:rsidR="00177438">
        <w:t>, for instance, the smell of theatrical effects</w:t>
      </w:r>
      <w:r w:rsidR="00591EA3">
        <w:t>.</w:t>
      </w:r>
      <w:r w:rsidR="00017716">
        <w:rPr>
          <w:rStyle w:val="FootnoteReference"/>
        </w:rPr>
        <w:footnoteReference w:id="33"/>
      </w:r>
      <w:r w:rsidR="00591EA3">
        <w:t xml:space="preserve"> </w:t>
      </w:r>
      <w:r w:rsidR="00177438">
        <w:t>Bringing Mu</w:t>
      </w:r>
      <w:r w:rsidR="00791A50">
        <w:t>n</w:t>
      </w:r>
      <w:r w:rsidR="00177438">
        <w:t xml:space="preserve">ro’s interest in language into conversation with </w:t>
      </w:r>
      <w:r w:rsidR="00591EA3">
        <w:t>Gil Harris</w:t>
      </w:r>
      <w:r w:rsidR="00177438">
        <w:t>’s concerns with performance practices allows us to consider the widest possible range of material temporalities</w:t>
      </w:r>
      <w:r w:rsidR="00017716">
        <w:t xml:space="preserve">, investigating how the late plays knit together their foregrounding of archaic mode in narrative choice and presentation (e.g. ancient Britain and Gower as presenter) and the onstage lives of their objects </w:t>
      </w:r>
      <w:r w:rsidR="009E01E1">
        <w:t xml:space="preserve">and practices </w:t>
      </w:r>
      <w:r w:rsidR="00017716">
        <w:t>as they unfold and shape narrative time</w:t>
      </w:r>
      <w:r w:rsidR="00791A50">
        <w:t>.</w:t>
      </w:r>
      <w:r w:rsidR="00791A50">
        <w:rPr>
          <w:rStyle w:val="FootnoteReference"/>
        </w:rPr>
        <w:footnoteReference w:id="34"/>
      </w:r>
      <w:r w:rsidR="00177438">
        <w:t xml:space="preserve"> </w:t>
      </w:r>
    </w:p>
    <w:p w:rsidR="00177438" w:rsidRDefault="003F7ADF" w:rsidP="00D948D1">
      <w:pPr>
        <w:spacing w:line="360" w:lineRule="auto"/>
      </w:pPr>
      <w:r>
        <w:t xml:space="preserve">We </w:t>
      </w:r>
      <w:r w:rsidR="00F21DEA">
        <w:t>might</w:t>
      </w:r>
      <w:r>
        <w:t xml:space="preserve"> aim, then, at a </w:t>
      </w:r>
      <w:r w:rsidR="00017716">
        <w:t xml:space="preserve">holistic </w:t>
      </w:r>
      <w:r w:rsidR="009E01E1">
        <w:t>temporality of this</w:t>
      </w:r>
      <w:r>
        <w:t xml:space="preserve"> fuller materiality </w:t>
      </w:r>
      <w:r w:rsidR="00177438">
        <w:t>of</w:t>
      </w:r>
      <w:r>
        <w:t xml:space="preserve"> the late plays. </w:t>
      </w:r>
      <w:r w:rsidR="00017716">
        <w:t>I have already touched on the distinct temporalities of masque and romance, and the shifting triangulation of verbal meaning and staged objects.</w:t>
      </w:r>
      <w:r w:rsidR="00DB0A53">
        <w:rPr>
          <w:rStyle w:val="FootnoteReference"/>
        </w:rPr>
        <w:footnoteReference w:id="35"/>
      </w:r>
      <w:r w:rsidR="00DB0A53">
        <w:t xml:space="preserve"> </w:t>
      </w:r>
      <w:r w:rsidR="00017716">
        <w:t>This could be extended</w:t>
      </w:r>
      <w:r w:rsidR="00A37A19">
        <w:t xml:space="preserve"> by paying attention to the origins which the narratives of th</w:t>
      </w:r>
      <w:r w:rsidR="00177438">
        <w:t>ese plays give to their objects:</w:t>
      </w:r>
      <w:r w:rsidR="00A37A19">
        <w:t xml:space="preserve"> </w:t>
      </w:r>
      <w:r w:rsidR="00177438">
        <w:t>‘</w:t>
      </w:r>
      <w:r w:rsidR="000F3D6B">
        <w:t>Look here, love’, Imogen says to Posthumus, ‘This diamond was my m</w:t>
      </w:r>
      <w:r w:rsidR="009B7DF0">
        <w:t>other’s; take it, heart’ (I.ii.</w:t>
      </w:r>
      <w:r w:rsidR="000F3D6B">
        <w:t xml:space="preserve">42-3). The object begins the new, distributed phase of their relationship, but it also takes us back to a time before the play starts, to Imogen’s origins and the institution of a very different kind of rule without the current queen or Cloten. We hark back, </w:t>
      </w:r>
      <w:r w:rsidR="00017716">
        <w:t>through</w:t>
      </w:r>
      <w:r w:rsidR="000F3D6B">
        <w:t xml:space="preserve"> this rare </w:t>
      </w:r>
      <w:r w:rsidR="00017716">
        <w:t>thing</w:t>
      </w:r>
      <w:r w:rsidR="000F3D6B">
        <w:t xml:space="preserve">, to a moment which </w:t>
      </w:r>
      <w:r w:rsidR="005166DD">
        <w:t xml:space="preserve">later </w:t>
      </w:r>
      <w:r w:rsidR="000F3D6B">
        <w:t xml:space="preserve">connects to the stolen sons </w:t>
      </w:r>
      <w:r w:rsidR="00952AC9">
        <w:t xml:space="preserve">whose stories </w:t>
      </w:r>
      <w:r w:rsidR="000F3D6B">
        <w:t xml:space="preserve">the Gentlemen of I i </w:t>
      </w:r>
      <w:r w:rsidR="009B7DF0">
        <w:t>tell</w:t>
      </w:r>
      <w:r w:rsidR="000F3D6B">
        <w:t xml:space="preserve">, </w:t>
      </w:r>
      <w:r w:rsidR="00861081">
        <w:t>who themselves bury the sleeping I</w:t>
      </w:r>
      <w:r w:rsidR="009B7DF0">
        <w:t>mogen by their supposed mother (s</w:t>
      </w:r>
      <w:r w:rsidR="00861081">
        <w:t>inging once more th</w:t>
      </w:r>
      <w:r w:rsidR="009B7DF0">
        <w:t xml:space="preserve">e </w:t>
      </w:r>
      <w:r w:rsidR="005166DD">
        <w:t xml:space="preserve">same </w:t>
      </w:r>
      <w:r w:rsidR="009B7DF0">
        <w:t>song they sang as her funeral)</w:t>
      </w:r>
      <w:r w:rsidR="005166DD">
        <w:t>,</w:t>
      </w:r>
      <w:r w:rsidR="00861081">
        <w:t xml:space="preserve"> </w:t>
      </w:r>
      <w:r w:rsidR="00017716">
        <w:t>bringing</w:t>
      </w:r>
      <w:r w:rsidR="000F3D6B">
        <w:t xml:space="preserve"> events which precede the ‘late marriage’ of the king </w:t>
      </w:r>
      <w:r w:rsidR="00017716">
        <w:t>into play as an implicit political texture whose material repet</w:t>
      </w:r>
      <w:r w:rsidR="005166DD">
        <w:t>itions of personal emotion make</w:t>
      </w:r>
      <w:r w:rsidR="00017716">
        <w:t xml:space="preserve"> political comment.</w:t>
      </w:r>
      <w:r w:rsidR="00952AC9">
        <w:t xml:space="preserve"> And</w:t>
      </w:r>
      <w:r w:rsidR="000F3D6B">
        <w:t xml:space="preserve"> </w:t>
      </w:r>
      <w:r w:rsidR="00DB0A53">
        <w:rPr>
          <w:i/>
        </w:rPr>
        <w:t xml:space="preserve">Cymbeline </w:t>
      </w:r>
      <w:r w:rsidR="00DB0A53">
        <w:t xml:space="preserve">also offers, of course, the ‘curious mantle’ (V.v.362) in which Arviragus was lapped, another object which gives a direct link to the queen his mother as it was made by her. </w:t>
      </w:r>
      <w:r w:rsidR="00873A08">
        <w:t>The mantle is a richly symbolic object</w:t>
      </w:r>
      <w:r w:rsidR="00E13A9A">
        <w:t>: a part of solemn procession and signifying high status,</w:t>
      </w:r>
      <w:r w:rsidR="00EE135F">
        <w:t xml:space="preserve"> it is associated with royalty and coronation, appearing </w:t>
      </w:r>
      <w:r w:rsidR="00E13A9A">
        <w:t xml:space="preserve">as the historical and political </w:t>
      </w:r>
      <w:r w:rsidR="00E13A9A" w:rsidRPr="00E13A9A">
        <w:t>zenith of</w:t>
      </w:r>
      <w:r w:rsidR="00E13A9A">
        <w:rPr>
          <w:i/>
        </w:rPr>
        <w:t xml:space="preserve"> </w:t>
      </w:r>
      <w:r w:rsidR="00873A08">
        <w:rPr>
          <w:i/>
        </w:rPr>
        <w:t>Henry VIII</w:t>
      </w:r>
      <w:r w:rsidR="00E13A9A">
        <w:t xml:space="preserve"> </w:t>
      </w:r>
      <w:r w:rsidR="00EE135F">
        <w:t>where it stands in</w:t>
      </w:r>
      <w:r w:rsidR="00E13A9A">
        <w:t xml:space="preserve"> visually for the new baby Elizabeth who is ‘richly habited in a mantle’</w:t>
      </w:r>
      <w:r w:rsidR="00EE135F">
        <w:t xml:space="preserve"> </w:t>
      </w:r>
      <w:r w:rsidR="00E13A9A">
        <w:t>(V iv, SD).</w:t>
      </w:r>
      <w:r w:rsidR="00E13A9A">
        <w:rPr>
          <w:i/>
        </w:rPr>
        <w:t xml:space="preserve"> </w:t>
      </w:r>
      <w:r w:rsidR="00EE135F">
        <w:t xml:space="preserve">Its ‘curiousness’ partly signifies its foreignness, as the form of a Celtic object which was popular in early modern England </w:t>
      </w:r>
      <w:r w:rsidR="001309DB">
        <w:t>but harked</w:t>
      </w:r>
      <w:r w:rsidR="00EE135F">
        <w:t xml:space="preserve"> back to </w:t>
      </w:r>
      <w:r w:rsidR="001309DB">
        <w:t>an</w:t>
      </w:r>
      <w:r w:rsidR="00EE135F">
        <w:t xml:space="preserve"> ancient British past.</w:t>
      </w:r>
      <w:r w:rsidR="00EE135F">
        <w:rPr>
          <w:rStyle w:val="FootnoteReference"/>
        </w:rPr>
        <w:footnoteReference w:id="36"/>
      </w:r>
      <w:r w:rsidR="00EE135F">
        <w:t xml:space="preserve"> But it is also curious because it is more directly out of time in the memories of the characters in this story, as part of a lost past of female labour and love which hints at the metaphorical meanings of mantle</w:t>
      </w:r>
      <w:r w:rsidR="005D0CC4">
        <w:t xml:space="preserve"> made a verb</w:t>
      </w:r>
      <w:r w:rsidR="001309DB">
        <w:t>:</w:t>
      </w:r>
      <w:r w:rsidR="005D0CC4">
        <w:t xml:space="preserve"> to cover, to protect and to preserve, all things which this cloth has done to the child’s identity</w:t>
      </w:r>
      <w:r w:rsidR="001309DB">
        <w:t>, continuing to mark and to guarantee his status as heir throughout his life outside the court</w:t>
      </w:r>
      <w:r w:rsidR="005D0CC4">
        <w:t>. The mantle is not staged. Belarius says that ‘for more probation’ he can ‘with ease produce’ it (V.v.363-4). Instead, the mole on his neck is apparently shown, making more explicit the way this discovery which lays bare so much of the play’s personal and political history overwrites Iachimo’s listing of Imogen’s bodily feature.</w:t>
      </w:r>
      <w:r w:rsidR="00EE135F">
        <w:t xml:space="preserve"> </w:t>
      </w:r>
      <w:r w:rsidR="005D0CC4">
        <w:t>In several senses though, the mantle’s status as a potential object looks forward to a future in which such personally and politically resonant things will be staged</w:t>
      </w:r>
      <w:r w:rsidR="001309DB">
        <w:t xml:space="preserve"> again in Cymbeline’s new political order</w:t>
      </w:r>
      <w:r w:rsidR="005D0CC4">
        <w:t xml:space="preserve">, so that they can retell their powerful stories of constancy and care. The mantle, as total covering, intricately wrought, </w:t>
      </w:r>
      <w:r w:rsidR="001309DB">
        <w:t xml:space="preserve">linked to other things and their rhetorical display, </w:t>
      </w:r>
      <w:r w:rsidR="005D0CC4">
        <w:t>offering a biography which is personal and dynastic and looking both backwards and forwards</w:t>
      </w:r>
      <w:r w:rsidR="001309DB">
        <w:t xml:space="preserve"> in time</w:t>
      </w:r>
      <w:r w:rsidR="005D0CC4">
        <w:t>, provides a</w:t>
      </w:r>
      <w:r w:rsidR="001309DB">
        <w:t>n apt</w:t>
      </w:r>
      <w:r w:rsidR="005D0CC4">
        <w:t xml:space="preserve"> metaphor for the power of Shakespeare’s late materiality</w:t>
      </w:r>
      <w:r w:rsidR="00861081">
        <w:t xml:space="preserve">. </w:t>
      </w:r>
    </w:p>
    <w:sectPr w:rsidR="00177438">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A9B" w:rsidRDefault="00B05A9B" w:rsidP="00EB482C">
      <w:pPr>
        <w:spacing w:after="0" w:line="240" w:lineRule="auto"/>
      </w:pPr>
      <w:r>
        <w:separator/>
      </w:r>
    </w:p>
  </w:endnote>
  <w:endnote w:type="continuationSeparator" w:id="0">
    <w:p w:rsidR="00B05A9B" w:rsidRDefault="00B05A9B" w:rsidP="00EB4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85486"/>
      <w:docPartObj>
        <w:docPartGallery w:val="Page Numbers (Bottom of Page)"/>
        <w:docPartUnique/>
      </w:docPartObj>
    </w:sdtPr>
    <w:sdtEndPr>
      <w:rPr>
        <w:noProof/>
      </w:rPr>
    </w:sdtEndPr>
    <w:sdtContent>
      <w:p w:rsidR="00EB0841" w:rsidRDefault="00EB0841">
        <w:pPr>
          <w:pStyle w:val="Footer"/>
          <w:jc w:val="right"/>
        </w:pPr>
        <w:r>
          <w:fldChar w:fldCharType="begin"/>
        </w:r>
        <w:r>
          <w:instrText xml:space="preserve"> PAGE   \* MERGEFORMAT </w:instrText>
        </w:r>
        <w:r>
          <w:fldChar w:fldCharType="separate"/>
        </w:r>
        <w:r w:rsidR="00A9017C">
          <w:rPr>
            <w:noProof/>
          </w:rPr>
          <w:t>1</w:t>
        </w:r>
        <w:r>
          <w:rPr>
            <w:noProof/>
          </w:rPr>
          <w:fldChar w:fldCharType="end"/>
        </w:r>
      </w:p>
    </w:sdtContent>
  </w:sdt>
  <w:p w:rsidR="00EB0841" w:rsidRDefault="00EB0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A9B" w:rsidRDefault="00B05A9B" w:rsidP="00EB482C">
      <w:pPr>
        <w:spacing w:after="0" w:line="240" w:lineRule="auto"/>
      </w:pPr>
      <w:r>
        <w:separator/>
      </w:r>
    </w:p>
  </w:footnote>
  <w:footnote w:type="continuationSeparator" w:id="0">
    <w:p w:rsidR="00B05A9B" w:rsidRDefault="00B05A9B" w:rsidP="00EB482C">
      <w:pPr>
        <w:spacing w:after="0" w:line="240" w:lineRule="auto"/>
      </w:pPr>
      <w:r>
        <w:continuationSeparator/>
      </w:r>
    </w:p>
  </w:footnote>
  <w:footnote w:id="1">
    <w:p w:rsidR="00EB0841" w:rsidRPr="00A3667E" w:rsidRDefault="00EB0841" w:rsidP="009B7DF0">
      <w:pPr>
        <w:spacing w:after="0" w:line="240" w:lineRule="auto"/>
        <w:rPr>
          <w:sz w:val="20"/>
          <w:szCs w:val="20"/>
        </w:rPr>
      </w:pPr>
      <w:r w:rsidRPr="00A3667E">
        <w:rPr>
          <w:rStyle w:val="FootnoteReference"/>
          <w:sz w:val="20"/>
          <w:szCs w:val="20"/>
        </w:rPr>
        <w:footnoteRef/>
      </w:r>
      <w:r w:rsidRPr="00A3667E">
        <w:rPr>
          <w:sz w:val="20"/>
          <w:szCs w:val="20"/>
        </w:rPr>
        <w:t xml:space="preserve"> Russ McDonald, </w:t>
      </w:r>
      <w:r w:rsidRPr="00A3667E">
        <w:rPr>
          <w:i/>
          <w:sz w:val="20"/>
          <w:szCs w:val="20"/>
        </w:rPr>
        <w:t>Shakespeare’s Late Style</w:t>
      </w:r>
      <w:r w:rsidRPr="00A3667E">
        <w:rPr>
          <w:sz w:val="20"/>
          <w:szCs w:val="20"/>
        </w:rPr>
        <w:t xml:space="preserve">, CUP 2006, p.13; for a summary of the plays’ critical reception see </w:t>
      </w:r>
      <w:r>
        <w:rPr>
          <w:sz w:val="20"/>
          <w:szCs w:val="20"/>
        </w:rPr>
        <w:t xml:space="preserve">Howard </w:t>
      </w:r>
      <w:r w:rsidRPr="00A3667E">
        <w:rPr>
          <w:sz w:val="20"/>
          <w:szCs w:val="20"/>
        </w:rPr>
        <w:t xml:space="preserve">Felperin, </w:t>
      </w:r>
      <w:r>
        <w:rPr>
          <w:sz w:val="20"/>
          <w:szCs w:val="20"/>
        </w:rPr>
        <w:t>‘</w:t>
      </w:r>
      <w:r w:rsidRPr="00A3667E">
        <w:rPr>
          <w:sz w:val="20"/>
          <w:szCs w:val="20"/>
        </w:rPr>
        <w:t>Appendix: The fortunes of romance</w:t>
      </w:r>
      <w:r>
        <w:rPr>
          <w:sz w:val="20"/>
          <w:szCs w:val="20"/>
        </w:rPr>
        <w:t xml:space="preserve">’, in his </w:t>
      </w:r>
      <w:r>
        <w:rPr>
          <w:i/>
          <w:sz w:val="20"/>
          <w:szCs w:val="20"/>
        </w:rPr>
        <w:t>Shakespearean Romance</w:t>
      </w:r>
      <w:r>
        <w:rPr>
          <w:sz w:val="20"/>
          <w:szCs w:val="20"/>
        </w:rPr>
        <w:t>, Princeton, 1972, pp.287-316</w:t>
      </w:r>
      <w:r w:rsidRPr="00A3667E">
        <w:rPr>
          <w:sz w:val="20"/>
          <w:szCs w:val="20"/>
        </w:rPr>
        <w:t>.</w:t>
      </w:r>
    </w:p>
  </w:footnote>
  <w:footnote w:id="2">
    <w:p w:rsidR="00EB0841" w:rsidRDefault="00EB0841" w:rsidP="009B7DF0">
      <w:pPr>
        <w:pStyle w:val="FootnoteText"/>
      </w:pPr>
      <w:r>
        <w:rPr>
          <w:rStyle w:val="FootnoteReference"/>
        </w:rPr>
        <w:footnoteRef/>
      </w:r>
      <w:r>
        <w:t xml:space="preserve"> McDonald, pp. 251, 3.</w:t>
      </w:r>
    </w:p>
  </w:footnote>
  <w:footnote w:id="3">
    <w:p w:rsidR="005313CA" w:rsidRPr="00B37EFE" w:rsidRDefault="005313CA" w:rsidP="005313CA">
      <w:pPr>
        <w:pStyle w:val="FootnoteText"/>
      </w:pPr>
      <w:r>
        <w:rPr>
          <w:rStyle w:val="FootnoteReference"/>
        </w:rPr>
        <w:footnoteRef/>
      </w:r>
      <w:r>
        <w:t xml:space="preserve"> See for example Peter Stallybrass and Ann Rosalind Jones’ analysis of Pericles armour in </w:t>
      </w:r>
      <w:r>
        <w:rPr>
          <w:i/>
        </w:rPr>
        <w:t>Renaissance Clothing and the Materials of Memory</w:t>
      </w:r>
      <w:r>
        <w:t xml:space="preserve">, CUP, 2000, pp.258-60 Susan Harlan, ‘’Certain condolements, certain vails’: Staging Rusty Armour in Shakespeare’s </w:t>
      </w:r>
      <w:r>
        <w:rPr>
          <w:i/>
        </w:rPr>
        <w:t>Pericles</w:t>
      </w:r>
      <w:r>
        <w:t xml:space="preserve">’, or Marion O’Connor, ‘”Imagine Me, Gentle Spectators”: Iconomachy and </w:t>
      </w:r>
      <w:r>
        <w:rPr>
          <w:i/>
        </w:rPr>
        <w:t>The Winter’s Tale</w:t>
      </w:r>
      <w:r>
        <w:t xml:space="preserve">, in Dutton and Howard eds., </w:t>
      </w:r>
      <w:r>
        <w:rPr>
          <w:i/>
        </w:rPr>
        <w:t>A Companion to Shakespeare’s Works Vol IV</w:t>
      </w:r>
      <w:r>
        <w:t xml:space="preserve">, Blackwell, 2003, pp.365-88. </w:t>
      </w:r>
    </w:p>
  </w:footnote>
  <w:footnote w:id="4">
    <w:p w:rsidR="00937B83" w:rsidRDefault="00937B83">
      <w:pPr>
        <w:pStyle w:val="FootnoteText"/>
      </w:pPr>
      <w:r>
        <w:rPr>
          <w:rStyle w:val="FootnoteReference"/>
        </w:rPr>
        <w:footnoteRef/>
      </w:r>
      <w:r>
        <w:t xml:space="preserve"> Douglas Brewster’s ‘The dramatic life of objects in the early modern theatre’ provides an essential quantitative basis for understanding the way genre shapes plays’ staging of hand props:</w:t>
      </w:r>
      <w:r w:rsidR="005313CA">
        <w:t xml:space="preserve"> in broad terms,</w:t>
      </w:r>
      <w:r>
        <w:t xml:space="preserve"> ‘tragedies tend to have the most props, histories the second greatest number, and comedies the least...The romances pose a special problem’, Harris and Korda eds., </w:t>
      </w:r>
      <w:r>
        <w:rPr>
          <w:i/>
        </w:rPr>
        <w:t>Staged Properties</w:t>
      </w:r>
      <w:r>
        <w:t>,</w:t>
      </w:r>
      <w:r>
        <w:rPr>
          <w:i/>
        </w:rPr>
        <w:t xml:space="preserve"> </w:t>
      </w:r>
      <w:r>
        <w:t>p.79.</w:t>
      </w:r>
    </w:p>
  </w:footnote>
  <w:footnote w:id="5">
    <w:p w:rsidR="0090140B" w:rsidRDefault="0090140B">
      <w:pPr>
        <w:pStyle w:val="FootnoteText"/>
      </w:pPr>
      <w:r>
        <w:rPr>
          <w:rStyle w:val="FootnoteReference"/>
        </w:rPr>
        <w:footnoteRef/>
      </w:r>
      <w:r>
        <w:t xml:space="preserve"> All quotations are from J.M. Nosworthy’s Arden edition of the play, 1997 (1955).</w:t>
      </w:r>
    </w:p>
  </w:footnote>
  <w:footnote w:id="6">
    <w:p w:rsidR="00EB0841" w:rsidRDefault="00EB0841" w:rsidP="009B7DF0">
      <w:pPr>
        <w:pStyle w:val="FootnoteText"/>
      </w:pPr>
      <w:r>
        <w:rPr>
          <w:rStyle w:val="FootnoteReference"/>
        </w:rPr>
        <w:footnoteRef/>
      </w:r>
      <w:r>
        <w:t xml:space="preserve"> </w:t>
      </w:r>
      <w:r w:rsidR="008D4F56">
        <w:t xml:space="preserve">Dr Johnson, quoted in Stanley Wells, ‘Shakespeare and Romance’, in </w:t>
      </w:r>
      <w:r w:rsidR="008D4F56">
        <w:rPr>
          <w:i/>
        </w:rPr>
        <w:t xml:space="preserve">Later Shakespeare </w:t>
      </w:r>
      <w:r w:rsidR="0072225A">
        <w:t>ed. John Russell Brow</w:t>
      </w:r>
      <w:r w:rsidR="008D4F56">
        <w:t>n and Bernard Harris, 1966, p.55.</w:t>
      </w:r>
    </w:p>
  </w:footnote>
  <w:footnote w:id="7">
    <w:p w:rsidR="00EB0841" w:rsidRDefault="00EB0841" w:rsidP="009B7DF0">
      <w:pPr>
        <w:pStyle w:val="FootnoteText"/>
      </w:pPr>
      <w:r>
        <w:rPr>
          <w:rStyle w:val="FootnoteReference"/>
        </w:rPr>
        <w:footnoteRef/>
      </w:r>
      <w:r>
        <w:t xml:space="preserve"> McDonald, p.</w:t>
      </w:r>
      <w:r w:rsidRPr="00EB67D8">
        <w:t>27</w:t>
      </w:r>
      <w:r>
        <w:t>.</w:t>
      </w:r>
    </w:p>
  </w:footnote>
  <w:footnote w:id="8">
    <w:p w:rsidR="00EB0841" w:rsidRDefault="00EB0841" w:rsidP="009B7DF0">
      <w:pPr>
        <w:pStyle w:val="FootnoteText"/>
      </w:pPr>
      <w:r>
        <w:rPr>
          <w:rStyle w:val="FootnoteReference"/>
        </w:rPr>
        <w:footnoteRef/>
      </w:r>
      <w:r>
        <w:t xml:space="preserve"> McDonald, p.</w:t>
      </w:r>
      <w:r w:rsidRPr="00EB67D8">
        <w:t>87</w:t>
      </w:r>
      <w:r>
        <w:t>.</w:t>
      </w:r>
    </w:p>
  </w:footnote>
  <w:footnote w:id="9">
    <w:p w:rsidR="00EB0841" w:rsidRPr="00A95749" w:rsidRDefault="00EB0841" w:rsidP="009B7DF0">
      <w:pPr>
        <w:pStyle w:val="FootnoteText"/>
      </w:pPr>
      <w:r>
        <w:rPr>
          <w:rStyle w:val="FootnoteReference"/>
        </w:rPr>
        <w:footnoteRef/>
      </w:r>
      <w:r>
        <w:t xml:space="preserve"> Cooper, </w:t>
      </w:r>
      <w:r>
        <w:rPr>
          <w:i/>
        </w:rPr>
        <w:t>The English Romance in Time</w:t>
      </w:r>
      <w:r>
        <w:t>, p.</w:t>
      </w:r>
      <w:r w:rsidRPr="00A95749">
        <w:t xml:space="preserve"> </w:t>
      </w:r>
      <w:r>
        <w:t>152.</w:t>
      </w:r>
    </w:p>
  </w:footnote>
  <w:footnote w:id="10">
    <w:p w:rsidR="00EB0841" w:rsidRPr="007361C0" w:rsidRDefault="00EB0841" w:rsidP="009B7DF0">
      <w:pPr>
        <w:spacing w:after="0" w:line="240" w:lineRule="auto"/>
        <w:rPr>
          <w:sz w:val="20"/>
          <w:szCs w:val="20"/>
        </w:rPr>
      </w:pPr>
      <w:r w:rsidRPr="007361C0">
        <w:rPr>
          <w:rStyle w:val="FootnoteReference"/>
          <w:sz w:val="20"/>
          <w:szCs w:val="20"/>
        </w:rPr>
        <w:footnoteRef/>
      </w:r>
      <w:r w:rsidRPr="007361C0">
        <w:rPr>
          <w:sz w:val="20"/>
          <w:szCs w:val="20"/>
        </w:rPr>
        <w:t xml:space="preserve"> McDonald argues that the audience are given ‘greater cognitive responsibility’ in the final scene of </w:t>
      </w:r>
      <w:r w:rsidRPr="007361C0">
        <w:rPr>
          <w:i/>
          <w:sz w:val="20"/>
          <w:szCs w:val="20"/>
        </w:rPr>
        <w:t>Cymbeline</w:t>
      </w:r>
      <w:r w:rsidRPr="007361C0">
        <w:rPr>
          <w:sz w:val="20"/>
          <w:szCs w:val="20"/>
        </w:rPr>
        <w:t>, for instance, p.94, because of the ellipsis. The level of thought which critics have suggested these plays require is also instr</w:t>
      </w:r>
      <w:r w:rsidR="0072225A" w:rsidRPr="007361C0">
        <w:rPr>
          <w:sz w:val="20"/>
          <w:szCs w:val="20"/>
        </w:rPr>
        <w:t>uctive. L</w:t>
      </w:r>
      <w:r w:rsidRPr="007361C0">
        <w:rPr>
          <w:sz w:val="20"/>
          <w:szCs w:val="20"/>
        </w:rPr>
        <w:t>istening hard involves types of judgement</w:t>
      </w:r>
      <w:r w:rsidR="0072225A" w:rsidRPr="007361C0">
        <w:rPr>
          <w:sz w:val="20"/>
          <w:szCs w:val="20"/>
        </w:rPr>
        <w:t>:</w:t>
      </w:r>
      <w:r w:rsidRPr="007361C0">
        <w:rPr>
          <w:sz w:val="20"/>
          <w:szCs w:val="20"/>
        </w:rPr>
        <w:t xml:space="preserve"> J.K. Barret argues, for instance, that ‘narrative possibilities (what </w:t>
      </w:r>
      <w:r w:rsidRPr="007361C0">
        <w:rPr>
          <w:i/>
          <w:sz w:val="20"/>
          <w:szCs w:val="20"/>
        </w:rPr>
        <w:t>might be</w:t>
      </w:r>
      <w:r w:rsidRPr="007361C0">
        <w:rPr>
          <w:sz w:val="20"/>
          <w:szCs w:val="20"/>
        </w:rPr>
        <w:t xml:space="preserve">), once discarded, exhibit a staying power as what </w:t>
      </w:r>
      <w:r w:rsidRPr="007361C0">
        <w:rPr>
          <w:i/>
          <w:sz w:val="20"/>
          <w:szCs w:val="20"/>
        </w:rPr>
        <w:t>might have been</w:t>
      </w:r>
      <w:r w:rsidRPr="007361C0">
        <w:rPr>
          <w:sz w:val="20"/>
          <w:szCs w:val="20"/>
        </w:rPr>
        <w:t xml:space="preserve">’, </w:t>
      </w:r>
      <w:r w:rsidR="007361C0" w:rsidRPr="007361C0">
        <w:rPr>
          <w:sz w:val="20"/>
          <w:szCs w:val="20"/>
        </w:rPr>
        <w:t xml:space="preserve">in </w:t>
      </w:r>
      <w:r w:rsidR="007361C0" w:rsidRPr="007361C0">
        <w:rPr>
          <w:i/>
          <w:sz w:val="20"/>
          <w:szCs w:val="20"/>
        </w:rPr>
        <w:t>Cymbeline</w:t>
      </w:r>
      <w:r w:rsidR="007361C0" w:rsidRPr="007361C0">
        <w:rPr>
          <w:sz w:val="20"/>
          <w:szCs w:val="20"/>
        </w:rPr>
        <w:t>, and that ‘the process of staging narrative as a kind of action by linking it to interpretation furnishes a meeting point for ethical and aesthetic considerations’,</w:t>
      </w:r>
      <w:r w:rsidR="007361C0" w:rsidRPr="007361C0">
        <w:rPr>
          <w:i/>
          <w:sz w:val="20"/>
          <w:szCs w:val="20"/>
        </w:rPr>
        <w:t xml:space="preserve"> </w:t>
      </w:r>
      <w:r w:rsidR="007361C0" w:rsidRPr="007361C0">
        <w:rPr>
          <w:sz w:val="20"/>
          <w:szCs w:val="20"/>
        </w:rPr>
        <w:t xml:space="preserve">‘The Crowd in Imogen’s Bedroom: Allusion and Ethics in </w:t>
      </w:r>
      <w:r w:rsidR="007361C0" w:rsidRPr="007361C0">
        <w:rPr>
          <w:i/>
          <w:sz w:val="20"/>
          <w:szCs w:val="20"/>
        </w:rPr>
        <w:t>Cymbeline</w:t>
      </w:r>
      <w:r w:rsidR="007361C0" w:rsidRPr="007361C0">
        <w:rPr>
          <w:sz w:val="20"/>
          <w:szCs w:val="20"/>
        </w:rPr>
        <w:t xml:space="preserve">’, </w:t>
      </w:r>
      <w:r w:rsidR="007361C0" w:rsidRPr="007361C0">
        <w:rPr>
          <w:i/>
          <w:sz w:val="20"/>
          <w:szCs w:val="20"/>
        </w:rPr>
        <w:t>Shakespeare Quarterly</w:t>
      </w:r>
      <w:r w:rsidR="007361C0" w:rsidRPr="007361C0">
        <w:rPr>
          <w:sz w:val="20"/>
          <w:szCs w:val="20"/>
        </w:rPr>
        <w:t xml:space="preserve"> 66:4 (2015), 440-62, </w:t>
      </w:r>
      <w:r w:rsidRPr="007361C0">
        <w:rPr>
          <w:sz w:val="20"/>
          <w:szCs w:val="20"/>
        </w:rPr>
        <w:t>441</w:t>
      </w:r>
      <w:r w:rsidR="007361C0" w:rsidRPr="007361C0">
        <w:rPr>
          <w:sz w:val="20"/>
          <w:szCs w:val="20"/>
        </w:rPr>
        <w:t>, 456</w:t>
      </w:r>
      <w:r w:rsidRPr="007361C0">
        <w:rPr>
          <w:sz w:val="20"/>
          <w:szCs w:val="20"/>
        </w:rPr>
        <w:t xml:space="preserve">. </w:t>
      </w:r>
    </w:p>
  </w:footnote>
  <w:footnote w:id="11">
    <w:p w:rsidR="00EB0841" w:rsidRPr="005331CB" w:rsidRDefault="00EB0841" w:rsidP="009B7DF0">
      <w:pPr>
        <w:pStyle w:val="FootnoteText"/>
      </w:pPr>
      <w:r>
        <w:rPr>
          <w:rStyle w:val="FootnoteReference"/>
        </w:rPr>
        <w:footnoteRef/>
      </w:r>
      <w:r>
        <w:t xml:space="preserve"> For a detailed investigation of such approaches see Keir Elam, </w:t>
      </w:r>
      <w:r>
        <w:rPr>
          <w:i/>
        </w:rPr>
        <w:t>The Semiotics of Theatre and Drama</w:t>
      </w:r>
      <w:r>
        <w:t xml:space="preserve"> (London, 1980, 2002); for their relation to other modes of analysis of theatrical props see Douglas Brewster, p.68.</w:t>
      </w:r>
    </w:p>
  </w:footnote>
  <w:footnote w:id="12">
    <w:p w:rsidR="00EB0841" w:rsidRPr="00583538" w:rsidRDefault="00EB0841" w:rsidP="009B7DF0">
      <w:pPr>
        <w:pStyle w:val="FootnoteText"/>
      </w:pPr>
      <w:r>
        <w:rPr>
          <w:rStyle w:val="FootnoteReference"/>
        </w:rPr>
        <w:footnoteRef/>
      </w:r>
      <w:r>
        <w:t xml:space="preserve"> For a though-provoking account of the relationships between these scenes and Shakespeare’s manipulation of ‘allusion’s ability to shape narrative time and to negotiate the complex temporalities that impact the interpretive choices it prompts’, see J.K.Barret, quote at 442.</w:t>
      </w:r>
    </w:p>
  </w:footnote>
  <w:footnote w:id="13">
    <w:p w:rsidR="007361C0" w:rsidRPr="0061655F" w:rsidRDefault="007361C0" w:rsidP="007361C0">
      <w:pPr>
        <w:pStyle w:val="FootnoteText"/>
      </w:pPr>
      <w:r>
        <w:rPr>
          <w:rStyle w:val="FootnoteReference"/>
        </w:rPr>
        <w:footnoteRef/>
      </w:r>
      <w:r>
        <w:t xml:space="preserve"> A.R.Braunmuller, in ‘Shakespeare’s Late Style’, identifies in Posthumus’ response to his vision ‘a meditation on the failure of analogical thinking and definition both staples of argument in Shakespeare’s earlier plays’, in Jonathan Post ed., </w:t>
      </w:r>
      <w:r>
        <w:rPr>
          <w:i/>
        </w:rPr>
        <w:t>The Oxford Handbook of Shakespeare’s Poetry</w:t>
      </w:r>
      <w:r>
        <w:t>, OUP, 2013, 43-61, quote at 48.</w:t>
      </w:r>
    </w:p>
  </w:footnote>
  <w:footnote w:id="14">
    <w:p w:rsidR="00EB0841" w:rsidRDefault="00EB0841" w:rsidP="009B7DF0">
      <w:pPr>
        <w:pStyle w:val="FootnoteText"/>
      </w:pPr>
      <w:r w:rsidRPr="004B350E">
        <w:rPr>
          <w:rStyle w:val="FootnoteReference"/>
        </w:rPr>
        <w:footnoteRef/>
      </w:r>
      <w:r>
        <w:t xml:space="preserve"> Daniel </w:t>
      </w:r>
      <w:r w:rsidRPr="004B350E">
        <w:t xml:space="preserve">Miller, ed. </w:t>
      </w:r>
      <w:r w:rsidRPr="008D6BFB">
        <w:rPr>
          <w:i/>
        </w:rPr>
        <w:t>Materiality</w:t>
      </w:r>
      <w:r>
        <w:t xml:space="preserve">, Duke University Press, </w:t>
      </w:r>
      <w:r w:rsidRPr="004B350E">
        <w:t xml:space="preserve">2005, </w:t>
      </w:r>
      <w:r>
        <w:t>p.4.</w:t>
      </w:r>
    </w:p>
  </w:footnote>
  <w:footnote w:id="15">
    <w:p w:rsidR="00E05421" w:rsidRPr="00E05421" w:rsidRDefault="00E05421">
      <w:pPr>
        <w:pStyle w:val="FootnoteText"/>
      </w:pPr>
      <w:r>
        <w:rPr>
          <w:rStyle w:val="FootnoteReference"/>
        </w:rPr>
        <w:footnoteRef/>
      </w:r>
      <w:r>
        <w:t xml:space="preserve"> For a summary of the importance of this kind of work for early modern studies, see Richardson, Hamling and Gaimster eds., </w:t>
      </w:r>
      <w:r>
        <w:rPr>
          <w:i/>
        </w:rPr>
        <w:t xml:space="preserve">The Routledge </w:t>
      </w:r>
      <w:r w:rsidR="001A3581">
        <w:rPr>
          <w:i/>
        </w:rPr>
        <w:t>Handbook of</w:t>
      </w:r>
      <w:r>
        <w:rPr>
          <w:i/>
        </w:rPr>
        <w:t xml:space="preserve"> Material Culture in Early Modern Europe</w:t>
      </w:r>
      <w:r>
        <w:t>, Routledge, 2016, especially Introduction and Section 1.</w:t>
      </w:r>
    </w:p>
  </w:footnote>
  <w:footnote w:id="16">
    <w:p w:rsidR="00EB0841" w:rsidRPr="004A6FA3" w:rsidRDefault="00EB0841" w:rsidP="009B7DF0">
      <w:pPr>
        <w:pStyle w:val="FootnoteText"/>
      </w:pPr>
      <w:r>
        <w:rPr>
          <w:rStyle w:val="FootnoteReference"/>
        </w:rPr>
        <w:footnoteRef/>
      </w:r>
      <w:r>
        <w:t xml:space="preserve"> </w:t>
      </w:r>
      <w:r w:rsidR="009D70D0">
        <w:t xml:space="preserve">Felperin. </w:t>
      </w:r>
      <w:r>
        <w:t xml:space="preserve">Ryan ed., 15; Adam Zucker states that ‘it is necessary to see the ludicrous as potentially luminous’, ‘Late Shakespeare’, in Arthur F. Kinney ed., </w:t>
      </w:r>
      <w:r>
        <w:rPr>
          <w:i/>
        </w:rPr>
        <w:t>The Oxford Handbook of Shakespeare</w:t>
      </w:r>
      <w:r>
        <w:t>, OUP, 2</w:t>
      </w:r>
      <w:r w:rsidR="00D62F1C">
        <w:t>011, pp.352-70, quote at p.362</w:t>
      </w:r>
      <w:r>
        <w:t>.</w:t>
      </w:r>
    </w:p>
  </w:footnote>
  <w:footnote w:id="17">
    <w:p w:rsidR="00EB0841" w:rsidRPr="00DC3B8C" w:rsidRDefault="00EB0841" w:rsidP="009B7DF0">
      <w:pPr>
        <w:pStyle w:val="FootnoteText"/>
      </w:pPr>
      <w:r>
        <w:rPr>
          <w:rStyle w:val="FootnoteReference"/>
        </w:rPr>
        <w:footnoteRef/>
      </w:r>
      <w:r>
        <w:t xml:space="preserve"> It problematises the connection between props’ ‘twin citizenship in a timeless world of formal illusion and a diachronic universe of material labour and transformation’ as, incidentally, does their progress through a theatrical narrative</w:t>
      </w:r>
      <w:r w:rsidR="00D62F1C">
        <w:t xml:space="preserve"> which is anything but ‘timeless’</w:t>
      </w:r>
      <w:r>
        <w:t xml:space="preserve">, Jonathan Gil Harris, ‘Shakespeare’s Hair: Staging the Object of Material Culture’, </w:t>
      </w:r>
      <w:r>
        <w:rPr>
          <w:i/>
        </w:rPr>
        <w:t xml:space="preserve">Shakespeare Quarterly </w:t>
      </w:r>
      <w:r>
        <w:t xml:space="preserve">52:4 (2001), 479-91. It is nevertheless the primary mode of much criticism of early modern drama, including my own </w:t>
      </w:r>
      <w:r>
        <w:rPr>
          <w:i/>
        </w:rPr>
        <w:t>Shakespeare and Material Culture</w:t>
      </w:r>
      <w:r>
        <w:t>, OUP, 2011.</w:t>
      </w:r>
    </w:p>
  </w:footnote>
  <w:footnote w:id="18">
    <w:p w:rsidR="00EB0841" w:rsidRPr="00AA5919" w:rsidRDefault="00EB0841" w:rsidP="009B7DF0">
      <w:pPr>
        <w:spacing w:after="0" w:line="240" w:lineRule="auto"/>
        <w:rPr>
          <w:sz w:val="20"/>
          <w:szCs w:val="20"/>
        </w:rPr>
      </w:pPr>
      <w:r w:rsidRPr="00470190">
        <w:rPr>
          <w:rStyle w:val="FootnoteReference"/>
          <w:sz w:val="20"/>
          <w:szCs w:val="20"/>
        </w:rPr>
        <w:footnoteRef/>
      </w:r>
      <w:r w:rsidRPr="00470190">
        <w:rPr>
          <w:sz w:val="20"/>
          <w:szCs w:val="20"/>
        </w:rPr>
        <w:t xml:space="preserve"> On the plays’ generic status see </w:t>
      </w:r>
      <w:r>
        <w:rPr>
          <w:rStyle w:val="apple-converted-space"/>
          <w:rFonts w:cs="Arial"/>
          <w:color w:val="000000"/>
          <w:sz w:val="20"/>
          <w:szCs w:val="20"/>
          <w:shd w:val="clear" w:color="auto" w:fill="FFFFFF"/>
        </w:rPr>
        <w:t>Barbara Mowat who,</w:t>
      </w:r>
      <w:r w:rsidRPr="00442796">
        <w:rPr>
          <w:rStyle w:val="apple-converted-space"/>
          <w:rFonts w:cs="Arial"/>
          <w:color w:val="000000"/>
          <w:sz w:val="20"/>
          <w:szCs w:val="20"/>
          <w:shd w:val="clear" w:color="auto" w:fill="FFFFFF"/>
        </w:rPr>
        <w:t xml:space="preserve"> at the end of a careful consideration, concludes that the </w:t>
      </w:r>
      <w:r w:rsidRPr="00442796">
        <w:rPr>
          <w:sz w:val="20"/>
          <w:szCs w:val="20"/>
        </w:rPr>
        <w:t>late plays ‘are part of a larger family of dramatized romances, that they “submerge us in romance”, and that they present highly sophisticated versions of an old form of tragicomedy with native rather than Italianate roots... deliberate transformations of very old forms that appear in new guises as part of the King’s Men’s repertory, in competition with the more Italianate, courtly forms produced by Sh</w:t>
      </w:r>
      <w:r>
        <w:rPr>
          <w:sz w:val="20"/>
          <w:szCs w:val="20"/>
        </w:rPr>
        <w:t>akespeare’s fellow playwrights’;</w:t>
      </w:r>
      <w:r w:rsidRPr="00442796">
        <w:rPr>
          <w:sz w:val="20"/>
          <w:szCs w:val="20"/>
        </w:rPr>
        <w:t xml:space="preserve"> she calls them tragicomic romances. Barbara A. Mowat, ‘”What’s in a Name?” Tragicomedy, Romance, or Late Comedy’, pp.129-149</w:t>
      </w:r>
      <w:r>
        <w:rPr>
          <w:sz w:val="20"/>
          <w:szCs w:val="20"/>
        </w:rPr>
        <w:t>, quote at p.</w:t>
      </w:r>
      <w:r w:rsidRPr="00AA5919">
        <w:rPr>
          <w:sz w:val="20"/>
          <w:szCs w:val="20"/>
        </w:rPr>
        <w:t xml:space="preserve"> </w:t>
      </w:r>
      <w:r w:rsidRPr="00442796">
        <w:rPr>
          <w:sz w:val="20"/>
          <w:szCs w:val="20"/>
        </w:rPr>
        <w:t xml:space="preserve">143. </w:t>
      </w:r>
    </w:p>
  </w:footnote>
  <w:footnote w:id="19">
    <w:p w:rsidR="00EB0841" w:rsidRPr="008F444B" w:rsidRDefault="00EB0841" w:rsidP="009B7DF0">
      <w:pPr>
        <w:pStyle w:val="FootnoteText"/>
      </w:pPr>
      <w:r>
        <w:rPr>
          <w:rStyle w:val="FootnoteReference"/>
        </w:rPr>
        <w:footnoteRef/>
      </w:r>
      <w:r>
        <w:t xml:space="preserve"> Stephen Gosson, </w:t>
      </w:r>
      <w:r>
        <w:rPr>
          <w:i/>
        </w:rPr>
        <w:t>Playes Confuted in Five Actions</w:t>
      </w:r>
      <w:r>
        <w:t>.</w:t>
      </w:r>
    </w:p>
  </w:footnote>
  <w:footnote w:id="20">
    <w:p w:rsidR="00EB0841" w:rsidRPr="00C65FDD" w:rsidRDefault="00EB0841" w:rsidP="009B7DF0">
      <w:pPr>
        <w:pStyle w:val="FootnoteText"/>
      </w:pPr>
      <w:r w:rsidRPr="00C65FDD">
        <w:rPr>
          <w:rStyle w:val="FootnoteReference"/>
        </w:rPr>
        <w:footnoteRef/>
      </w:r>
      <w:r w:rsidRPr="00C65FDD">
        <w:t xml:space="preserve"> Helen Cooper, </w:t>
      </w:r>
      <w:r w:rsidRPr="00C65FDD">
        <w:rPr>
          <w:i/>
        </w:rPr>
        <w:t>The English Romance in Time</w:t>
      </w:r>
      <w:r w:rsidRPr="00C65FDD">
        <w:t xml:space="preserve"> (Oxford and New York: Oxford University Press, 2004), especially chapter 3.</w:t>
      </w:r>
      <w:r w:rsidRPr="004F14A1">
        <w:t xml:space="preserve"> </w:t>
      </w:r>
      <w:r w:rsidRPr="00C65FDD">
        <w:t>As Cooper points out, these jewels are not magical in the technical sense: ‘[w]hat saves [the couple] is their total faithfulness and courtesy towards each other, and the ring does nothing except epitomize the absoluteness of their love’, pp.149-151.</w:t>
      </w:r>
    </w:p>
  </w:footnote>
  <w:footnote w:id="21">
    <w:p w:rsidR="00EB0841" w:rsidRPr="00E1580D" w:rsidRDefault="00EB0841" w:rsidP="009B7DF0">
      <w:pPr>
        <w:spacing w:after="0" w:line="240" w:lineRule="auto"/>
        <w:rPr>
          <w:sz w:val="20"/>
          <w:szCs w:val="20"/>
        </w:rPr>
      </w:pPr>
      <w:r w:rsidRPr="00E1580D">
        <w:rPr>
          <w:rStyle w:val="FootnoteReference"/>
          <w:sz w:val="20"/>
          <w:szCs w:val="20"/>
        </w:rPr>
        <w:footnoteRef/>
      </w:r>
      <w:r w:rsidRPr="00E1580D">
        <w:rPr>
          <w:sz w:val="20"/>
          <w:szCs w:val="20"/>
        </w:rPr>
        <w:t xml:space="preserve"> </w:t>
      </w:r>
      <w:r w:rsidRPr="00E1580D">
        <w:rPr>
          <w:rFonts w:cs="Arial"/>
          <w:sz w:val="20"/>
          <w:szCs w:val="20"/>
        </w:rPr>
        <w:t xml:space="preserve">David Houston Wood, ‘“[A] Deathful Suck”: </w:t>
      </w:r>
      <w:r w:rsidRPr="00E1580D">
        <w:rPr>
          <w:sz w:val="20"/>
          <w:szCs w:val="20"/>
        </w:rPr>
        <w:t>Passions, potions, and poisons in Sidney's</w:t>
      </w:r>
      <w:r w:rsidRPr="00E1580D">
        <w:rPr>
          <w:rStyle w:val="apple-converted-space"/>
          <w:sz w:val="20"/>
          <w:szCs w:val="20"/>
        </w:rPr>
        <w:t> </w:t>
      </w:r>
      <w:r w:rsidRPr="00E1580D">
        <w:rPr>
          <w:i/>
          <w:iCs/>
          <w:sz w:val="20"/>
          <w:szCs w:val="20"/>
        </w:rPr>
        <w:t>Old Arcadia</w:t>
      </w:r>
      <w:r w:rsidRPr="00E1580D">
        <w:rPr>
          <w:iCs/>
          <w:sz w:val="20"/>
          <w:szCs w:val="20"/>
        </w:rPr>
        <w:t xml:space="preserve">’, </w:t>
      </w:r>
      <w:r w:rsidRPr="00E1580D">
        <w:rPr>
          <w:i/>
          <w:sz w:val="20"/>
          <w:szCs w:val="20"/>
        </w:rPr>
        <w:t>Prose Studies: History, Theory, Criticism</w:t>
      </w:r>
      <w:r w:rsidRPr="00E1580D">
        <w:rPr>
          <w:sz w:val="20"/>
          <w:szCs w:val="20"/>
        </w:rPr>
        <w:t xml:space="preserve"> 28:2 (2006), 150-67.</w:t>
      </w:r>
      <w:r w:rsidR="00E1580D" w:rsidRPr="00E1580D">
        <w:rPr>
          <w:sz w:val="20"/>
          <w:szCs w:val="20"/>
        </w:rPr>
        <w:t xml:space="preserve">  </w:t>
      </w:r>
    </w:p>
  </w:footnote>
  <w:footnote w:id="22">
    <w:p w:rsidR="009E01E1" w:rsidRPr="009E01E1" w:rsidRDefault="009E01E1">
      <w:pPr>
        <w:pStyle w:val="FootnoteText"/>
      </w:pPr>
      <w:r w:rsidRPr="009E01E1">
        <w:rPr>
          <w:rStyle w:val="FootnoteReference"/>
        </w:rPr>
        <w:footnoteRef/>
      </w:r>
      <w:r w:rsidRPr="009E01E1">
        <w:t xml:space="preserve"> See for instance see Julka Almquist and Julia Lupton, ‘Affording Meaning: Design-Oriented Research for the Humanities and Social Sciences’, </w:t>
      </w:r>
      <w:r w:rsidRPr="009E01E1">
        <w:rPr>
          <w:i/>
        </w:rPr>
        <w:t>Design Issues</w:t>
      </w:r>
      <w:r w:rsidRPr="009E01E1">
        <w:t xml:space="preserve"> 26 (2010): 3-14.</w:t>
      </w:r>
    </w:p>
  </w:footnote>
  <w:footnote w:id="23">
    <w:p w:rsidR="00EB0841" w:rsidRDefault="00EB0841" w:rsidP="009B7DF0">
      <w:pPr>
        <w:pStyle w:val="FootnoteText"/>
      </w:pPr>
      <w:r>
        <w:rPr>
          <w:rStyle w:val="FootnoteReference"/>
        </w:rPr>
        <w:footnoteRef/>
      </w:r>
      <w:r>
        <w:t xml:space="preserve"> Bergeron, p.</w:t>
      </w:r>
      <w:r w:rsidRPr="00470190">
        <w:t>196</w:t>
      </w:r>
      <w:r>
        <w:t>.</w:t>
      </w:r>
    </w:p>
  </w:footnote>
  <w:footnote w:id="24">
    <w:p w:rsidR="00EB0841" w:rsidRPr="00442796" w:rsidRDefault="00EB0841" w:rsidP="009B7DF0">
      <w:pPr>
        <w:spacing w:after="0" w:line="240" w:lineRule="auto"/>
        <w:rPr>
          <w:sz w:val="20"/>
          <w:szCs w:val="20"/>
        </w:rPr>
      </w:pPr>
      <w:r w:rsidRPr="005A4A77">
        <w:rPr>
          <w:rStyle w:val="FootnoteReference"/>
          <w:sz w:val="20"/>
          <w:szCs w:val="20"/>
        </w:rPr>
        <w:footnoteRef/>
      </w:r>
      <w:r w:rsidRPr="005A4A77">
        <w:rPr>
          <w:sz w:val="20"/>
          <w:szCs w:val="20"/>
        </w:rPr>
        <w:t xml:space="preserve"> ‘As spectacle complements state and majesty in masques and pageants’, Bergeron concludes, ‘so it completes romance in Shakespeare’s last plays’, p.213. Others would argue with this notion of perfection and completeness, and with the univocal politics which appears to lie behind it: ‘the politics of the Stuart royal family permeates Shakespeare’s Romances’, he stated in 1985. </w:t>
      </w:r>
    </w:p>
  </w:footnote>
  <w:footnote w:id="25">
    <w:p w:rsidR="00EB0841" w:rsidRDefault="00EB0841">
      <w:pPr>
        <w:pStyle w:val="FootnoteText"/>
      </w:pPr>
      <w:r>
        <w:rPr>
          <w:rStyle w:val="FootnoteReference"/>
        </w:rPr>
        <w:footnoteRef/>
      </w:r>
      <w:r>
        <w:t xml:space="preserve"> Bergeron, p.195.</w:t>
      </w:r>
    </w:p>
  </w:footnote>
  <w:footnote w:id="26">
    <w:p w:rsidR="00EB0841" w:rsidRPr="00C65FDD" w:rsidRDefault="00EB0841" w:rsidP="009B7DF0">
      <w:pPr>
        <w:spacing w:after="0" w:line="240" w:lineRule="auto"/>
        <w:rPr>
          <w:sz w:val="20"/>
          <w:szCs w:val="20"/>
        </w:rPr>
      </w:pPr>
      <w:r w:rsidRPr="00445D74">
        <w:rPr>
          <w:rStyle w:val="FootnoteReference"/>
          <w:sz w:val="20"/>
          <w:szCs w:val="20"/>
        </w:rPr>
        <w:footnoteRef/>
      </w:r>
      <w:r w:rsidRPr="00445D74">
        <w:rPr>
          <w:sz w:val="20"/>
          <w:szCs w:val="20"/>
        </w:rPr>
        <w:t xml:space="preserve"> Knowles, ‘Insubstantial Pageants: </w:t>
      </w:r>
      <w:r w:rsidRPr="00445D74">
        <w:rPr>
          <w:i/>
          <w:sz w:val="20"/>
          <w:szCs w:val="20"/>
        </w:rPr>
        <w:t xml:space="preserve">The Tempest </w:t>
      </w:r>
      <w:r w:rsidRPr="00445D74">
        <w:rPr>
          <w:sz w:val="20"/>
          <w:szCs w:val="20"/>
        </w:rPr>
        <w:t>and</w:t>
      </w:r>
      <w:r>
        <w:rPr>
          <w:sz w:val="20"/>
          <w:szCs w:val="20"/>
        </w:rPr>
        <w:t xml:space="preserve"> masquing culture’, pp.108-125.</w:t>
      </w:r>
    </w:p>
  </w:footnote>
  <w:footnote w:id="27">
    <w:p w:rsidR="00EB0841" w:rsidRDefault="00EB0841" w:rsidP="009B7DF0">
      <w:pPr>
        <w:pStyle w:val="FootnoteText"/>
      </w:pPr>
      <w:r>
        <w:rPr>
          <w:rStyle w:val="FootnoteReference"/>
        </w:rPr>
        <w:footnoteRef/>
      </w:r>
      <w:r>
        <w:t xml:space="preserve"> Knowles and Richards, quoting Colie, p.9.</w:t>
      </w:r>
    </w:p>
  </w:footnote>
  <w:footnote w:id="28">
    <w:p w:rsidR="00EB0841" w:rsidRPr="00E26E2A" w:rsidRDefault="00EB0841" w:rsidP="009B7DF0">
      <w:pPr>
        <w:pStyle w:val="FootnoteText"/>
      </w:pPr>
      <w:r>
        <w:rPr>
          <w:rStyle w:val="FootnoteReference"/>
        </w:rPr>
        <w:footnoteRef/>
      </w:r>
      <w:r>
        <w:t xml:space="preserve"> For important recent work on high, low and middling cultures see </w:t>
      </w:r>
      <w:r>
        <w:rPr>
          <w:rFonts w:eastAsia="Times New Roman" w:cs="Tahoma"/>
          <w:color w:val="000000"/>
          <w:lang w:eastAsia="en-GB"/>
        </w:rPr>
        <w:t>Hadfield, Dimmock and Shinn eds., 2014</w:t>
      </w:r>
      <w:r w:rsidR="00000301">
        <w:rPr>
          <w:rFonts w:eastAsia="Times New Roman" w:cs="Tahoma"/>
          <w:color w:val="000000"/>
          <w:lang w:eastAsia="en-GB"/>
        </w:rPr>
        <w:t>, especially Intro and Chapter 5, Visual Culture</w:t>
      </w:r>
      <w:r>
        <w:rPr>
          <w:rFonts w:eastAsia="Times New Roman" w:cs="Tahoma"/>
          <w:color w:val="000000"/>
          <w:lang w:eastAsia="en-GB"/>
        </w:rPr>
        <w:t xml:space="preserve">. </w:t>
      </w:r>
      <w:r>
        <w:t>Felperin reminds us, for instance, that ‘</w:t>
      </w:r>
      <w:r>
        <w:rPr>
          <w:i/>
        </w:rPr>
        <w:t>Pericles</w:t>
      </w:r>
      <w:r>
        <w:t xml:space="preserve"> seems to have become a byword for box-office success’, p. 287.</w:t>
      </w:r>
    </w:p>
  </w:footnote>
  <w:footnote w:id="29">
    <w:p w:rsidR="00EB0841" w:rsidRDefault="00EB0841" w:rsidP="009B7DF0">
      <w:pPr>
        <w:pStyle w:val="FootnoteText"/>
      </w:pPr>
      <w:r>
        <w:rPr>
          <w:rStyle w:val="FootnoteReference"/>
        </w:rPr>
        <w:footnoteRef/>
      </w:r>
      <w:r>
        <w:t xml:space="preserve"> He states that, ‘prior to the latter years of the eighteenth century, the idea of late writing as we understand it now did not exist, that it was invented as a by-product of the emergence of the Romantic idea of individual stylistic development and thus of the newly reconstructed direct relationship between life and work’, McMullan, CUP 2007, p.192.</w:t>
      </w:r>
    </w:p>
  </w:footnote>
  <w:footnote w:id="30">
    <w:p w:rsidR="00EB0841" w:rsidRDefault="00EB0841">
      <w:pPr>
        <w:pStyle w:val="FootnoteText"/>
      </w:pPr>
      <w:r>
        <w:rPr>
          <w:rStyle w:val="FootnoteReference"/>
        </w:rPr>
        <w:footnoteRef/>
      </w:r>
      <w:r>
        <w:t xml:space="preserve"> McMullan, p.78.</w:t>
      </w:r>
    </w:p>
  </w:footnote>
  <w:footnote w:id="31">
    <w:p w:rsidR="00EB0841" w:rsidRDefault="00EB0841">
      <w:pPr>
        <w:pStyle w:val="FootnoteText"/>
      </w:pPr>
      <w:r>
        <w:rPr>
          <w:rStyle w:val="FootnoteReference"/>
        </w:rPr>
        <w:footnoteRef/>
      </w:r>
      <w:r>
        <w:t xml:space="preserve"> McMullan, p.8.</w:t>
      </w:r>
    </w:p>
  </w:footnote>
  <w:footnote w:id="32">
    <w:p w:rsidR="00EB0841" w:rsidRPr="00E2729D" w:rsidRDefault="00EB0841" w:rsidP="009B7DF0">
      <w:pPr>
        <w:spacing w:after="0" w:line="240" w:lineRule="auto"/>
        <w:rPr>
          <w:sz w:val="20"/>
          <w:szCs w:val="20"/>
        </w:rPr>
      </w:pPr>
      <w:r w:rsidRPr="00E2729D">
        <w:rPr>
          <w:rStyle w:val="FootnoteReference"/>
          <w:sz w:val="20"/>
          <w:szCs w:val="20"/>
        </w:rPr>
        <w:footnoteRef/>
      </w:r>
      <w:r w:rsidRPr="00E2729D">
        <w:rPr>
          <w:sz w:val="20"/>
          <w:szCs w:val="20"/>
        </w:rPr>
        <w:t xml:space="preserve"> Lucy Munro,</w:t>
      </w:r>
      <w:r w:rsidR="003F1FFB">
        <w:rPr>
          <w:i/>
          <w:sz w:val="20"/>
          <w:szCs w:val="20"/>
        </w:rPr>
        <w:t xml:space="preserve"> Archaic Style in English Literature 1590-1674</w:t>
      </w:r>
      <w:r w:rsidR="003F1FFB">
        <w:rPr>
          <w:sz w:val="20"/>
          <w:szCs w:val="20"/>
        </w:rPr>
        <w:t>, CUP, pp.13, 5;</w:t>
      </w:r>
      <w:r w:rsidRPr="00E2729D">
        <w:rPr>
          <w:sz w:val="20"/>
          <w:szCs w:val="20"/>
        </w:rPr>
        <w:t xml:space="preserve"> ‘Archaism, the “Middle Age” and the Morality Play in Shakespearean Drama’, </w:t>
      </w:r>
      <w:r w:rsidRPr="00E2729D">
        <w:rPr>
          <w:i/>
          <w:sz w:val="20"/>
          <w:szCs w:val="20"/>
        </w:rPr>
        <w:t>Shakespeare</w:t>
      </w:r>
      <w:r>
        <w:rPr>
          <w:sz w:val="20"/>
          <w:szCs w:val="20"/>
        </w:rPr>
        <w:t xml:space="preserve"> 8:4 (2012) 356-67, pp.</w:t>
      </w:r>
      <w:r w:rsidRPr="00E2729D">
        <w:rPr>
          <w:sz w:val="20"/>
          <w:szCs w:val="20"/>
        </w:rPr>
        <w:t>359</w:t>
      </w:r>
      <w:r>
        <w:rPr>
          <w:sz w:val="20"/>
          <w:szCs w:val="20"/>
        </w:rPr>
        <w:t>,</w:t>
      </w:r>
      <w:r w:rsidRPr="009B7DF0">
        <w:t xml:space="preserve"> </w:t>
      </w:r>
      <w:r w:rsidRPr="009B7DF0">
        <w:rPr>
          <w:sz w:val="20"/>
          <w:szCs w:val="20"/>
        </w:rPr>
        <w:t>358.</w:t>
      </w:r>
    </w:p>
  </w:footnote>
  <w:footnote w:id="33">
    <w:p w:rsidR="00017716" w:rsidRDefault="00017716" w:rsidP="003F1FFB">
      <w:pPr>
        <w:shd w:val="clear" w:color="auto" w:fill="FFFFFF"/>
        <w:spacing w:after="0" w:line="240" w:lineRule="auto"/>
      </w:pPr>
      <w:r w:rsidRPr="00017716">
        <w:rPr>
          <w:rStyle w:val="FootnoteReference"/>
          <w:sz w:val="20"/>
          <w:szCs w:val="20"/>
        </w:rPr>
        <w:footnoteRef/>
      </w:r>
      <w:r w:rsidRPr="00017716">
        <w:rPr>
          <w:sz w:val="20"/>
          <w:szCs w:val="20"/>
        </w:rPr>
        <w:t xml:space="preserve"> See Gil Harris, ‘The Smell of Macbeth’, </w:t>
      </w:r>
      <w:r w:rsidRPr="00017716">
        <w:rPr>
          <w:rFonts w:eastAsia="Times New Roman" w:cs="Arial"/>
          <w:i/>
          <w:iCs/>
          <w:sz w:val="20"/>
          <w:szCs w:val="20"/>
          <w:lang w:eastAsia="en-GB"/>
        </w:rPr>
        <w:t>Shakespeare Quarterly</w:t>
      </w:r>
      <w:r w:rsidRPr="00017716">
        <w:rPr>
          <w:rFonts w:eastAsia="Times New Roman" w:cs="Arial"/>
          <w:iCs/>
          <w:sz w:val="20"/>
          <w:szCs w:val="20"/>
          <w:lang w:eastAsia="en-GB"/>
        </w:rPr>
        <w:t xml:space="preserve"> 58:4 (2007)</w:t>
      </w:r>
      <w:r w:rsidRPr="00017716">
        <w:rPr>
          <w:rFonts w:eastAsia="Times New Roman" w:cs="Arial"/>
          <w:sz w:val="20"/>
          <w:szCs w:val="20"/>
          <w:lang w:eastAsia="en-GB"/>
        </w:rPr>
        <w:t xml:space="preserve"> 465-486</w:t>
      </w:r>
      <w:r>
        <w:rPr>
          <w:rFonts w:eastAsia="Times New Roman" w:cs="Arial"/>
          <w:sz w:val="20"/>
          <w:szCs w:val="20"/>
          <w:lang w:eastAsia="en-GB"/>
        </w:rPr>
        <w:t>.</w:t>
      </w:r>
    </w:p>
  </w:footnote>
  <w:footnote w:id="34">
    <w:p w:rsidR="00EB0841" w:rsidRPr="004F632F" w:rsidRDefault="00EB0841" w:rsidP="009B7DF0">
      <w:pPr>
        <w:pStyle w:val="FootnoteText"/>
      </w:pPr>
      <w:r>
        <w:rPr>
          <w:rStyle w:val="FootnoteReference"/>
        </w:rPr>
        <w:footnoteRef/>
      </w:r>
      <w:r>
        <w:t xml:space="preserve"> Other interesting responses to material temporality which should be part of such an enterprise include Chloe Porter’s </w:t>
      </w:r>
      <w:r>
        <w:rPr>
          <w:i/>
        </w:rPr>
        <w:t>Making and Unmaking in Early Modern English Drama</w:t>
      </w:r>
      <w:r>
        <w:t xml:space="preserve">, MUP, 2014, with its focus on construction, fragmentation and wholeness and its questioning of concepts of a finished object, Philip Schwyzer’s </w:t>
      </w:r>
      <w:r>
        <w:rPr>
          <w:i/>
        </w:rPr>
        <w:t>Shakespeare and the Remains of Richard III</w:t>
      </w:r>
      <w:r>
        <w:t>, OUP, 2013,</w:t>
      </w:r>
      <w:r>
        <w:rPr>
          <w:i/>
        </w:rPr>
        <w:t xml:space="preserve"> </w:t>
      </w:r>
      <w:r>
        <w:t xml:space="preserve">which traces the way material artefacts carried traces of the story of Richard III from his death to Shakespeare’s writing, and Lina Perkins Wilder’s </w:t>
      </w:r>
      <w:r>
        <w:rPr>
          <w:i/>
        </w:rPr>
        <w:t>Shakespeare’s Memory Theatre</w:t>
      </w:r>
      <w:r>
        <w:t>, CUP, 2010, which considers the way characters construct an often contested past, prompted by objects, from ‘theatrical materials’, thereby aligning themselves ‘with the social and professional world of the theatre as much as, if not more than, with the fictional world of the plays in which they take shape’, p.19.</w:t>
      </w:r>
    </w:p>
  </w:footnote>
  <w:footnote w:id="35">
    <w:p w:rsidR="00DB0A53" w:rsidRDefault="00DB0A53">
      <w:pPr>
        <w:pStyle w:val="FootnoteText"/>
      </w:pPr>
      <w:r>
        <w:rPr>
          <w:rStyle w:val="FootnoteReference"/>
        </w:rPr>
        <w:footnoteRef/>
      </w:r>
      <w:r>
        <w:t xml:space="preserve"> It would also have to take account of an ‘essential property of the late style that has not been accorded adequate notice: pace’, as McDonald sees it, not metrically but in terms of speed of thought. This is not, he says, ‘pace in the metrical sense...but rather speed of thought, the celerity with which our minds are expected to process multiple poetic effects and ideas...Shakespeare supplies fewer details about the metaphoric likeness he proposes and expects the audience to make the transference more rapidly’, p.36.</w:t>
      </w:r>
    </w:p>
  </w:footnote>
  <w:footnote w:id="36">
    <w:p w:rsidR="00EE135F" w:rsidRPr="00EE135F" w:rsidRDefault="00EE135F">
      <w:pPr>
        <w:pStyle w:val="FootnoteText"/>
      </w:pPr>
      <w:r>
        <w:rPr>
          <w:rStyle w:val="FootnoteReference"/>
        </w:rPr>
        <w:footnoteRef/>
      </w:r>
      <w:r>
        <w:t xml:space="preserve"> See Elizabeth Wincott Heckett, ‘Tomb Effigies and Archaic Dress in Sixteenth-Century Ireland’, in Richardson ed., </w:t>
      </w:r>
      <w:r>
        <w:rPr>
          <w:i/>
        </w:rPr>
        <w:t>Clothing Culture</w:t>
      </w:r>
      <w:r>
        <w:t>, Ashgate, 2004, pp. 63-76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76C"/>
    <w:rsid w:val="00000301"/>
    <w:rsid w:val="00012931"/>
    <w:rsid w:val="00017716"/>
    <w:rsid w:val="0002563A"/>
    <w:rsid w:val="00037189"/>
    <w:rsid w:val="00075F1B"/>
    <w:rsid w:val="000833EF"/>
    <w:rsid w:val="0009621F"/>
    <w:rsid w:val="000A25FA"/>
    <w:rsid w:val="000C0630"/>
    <w:rsid w:val="000C4832"/>
    <w:rsid w:val="000D1711"/>
    <w:rsid w:val="000F1272"/>
    <w:rsid w:val="000F3D6B"/>
    <w:rsid w:val="00112467"/>
    <w:rsid w:val="001309DB"/>
    <w:rsid w:val="00136531"/>
    <w:rsid w:val="00171D37"/>
    <w:rsid w:val="00177438"/>
    <w:rsid w:val="00180409"/>
    <w:rsid w:val="001A3581"/>
    <w:rsid w:val="001A6D03"/>
    <w:rsid w:val="001C41E2"/>
    <w:rsid w:val="001C5272"/>
    <w:rsid w:val="001D28B2"/>
    <w:rsid w:val="001F29DF"/>
    <w:rsid w:val="001F506E"/>
    <w:rsid w:val="00224DCD"/>
    <w:rsid w:val="00251C0B"/>
    <w:rsid w:val="002626DF"/>
    <w:rsid w:val="00262BD0"/>
    <w:rsid w:val="0027386B"/>
    <w:rsid w:val="002808EF"/>
    <w:rsid w:val="002918F2"/>
    <w:rsid w:val="002A4775"/>
    <w:rsid w:val="002A77B2"/>
    <w:rsid w:val="002B1425"/>
    <w:rsid w:val="003160F6"/>
    <w:rsid w:val="0032314B"/>
    <w:rsid w:val="00336EC2"/>
    <w:rsid w:val="0036443E"/>
    <w:rsid w:val="00380D59"/>
    <w:rsid w:val="00386E59"/>
    <w:rsid w:val="003D3D93"/>
    <w:rsid w:val="003F1991"/>
    <w:rsid w:val="003F1FFB"/>
    <w:rsid w:val="003F2763"/>
    <w:rsid w:val="003F7ADF"/>
    <w:rsid w:val="004013A5"/>
    <w:rsid w:val="0041648B"/>
    <w:rsid w:val="00422FF0"/>
    <w:rsid w:val="00423103"/>
    <w:rsid w:val="0042759F"/>
    <w:rsid w:val="00442796"/>
    <w:rsid w:val="0044579B"/>
    <w:rsid w:val="00445D74"/>
    <w:rsid w:val="00456878"/>
    <w:rsid w:val="00470190"/>
    <w:rsid w:val="00486044"/>
    <w:rsid w:val="00486219"/>
    <w:rsid w:val="004952CF"/>
    <w:rsid w:val="004A3A69"/>
    <w:rsid w:val="004A6FA3"/>
    <w:rsid w:val="004B350E"/>
    <w:rsid w:val="004F14A1"/>
    <w:rsid w:val="004F632F"/>
    <w:rsid w:val="00502CC2"/>
    <w:rsid w:val="00505B95"/>
    <w:rsid w:val="005166DD"/>
    <w:rsid w:val="005246F8"/>
    <w:rsid w:val="00525FE9"/>
    <w:rsid w:val="005313CA"/>
    <w:rsid w:val="005331CB"/>
    <w:rsid w:val="00534683"/>
    <w:rsid w:val="005461D7"/>
    <w:rsid w:val="00546347"/>
    <w:rsid w:val="00547790"/>
    <w:rsid w:val="005502D9"/>
    <w:rsid w:val="00551B97"/>
    <w:rsid w:val="0058143B"/>
    <w:rsid w:val="00581D53"/>
    <w:rsid w:val="00583538"/>
    <w:rsid w:val="00583A75"/>
    <w:rsid w:val="00591EA3"/>
    <w:rsid w:val="005A16CD"/>
    <w:rsid w:val="005A21CF"/>
    <w:rsid w:val="005A4A77"/>
    <w:rsid w:val="005A6CBC"/>
    <w:rsid w:val="005B666D"/>
    <w:rsid w:val="005B7745"/>
    <w:rsid w:val="005C4775"/>
    <w:rsid w:val="005C7D2A"/>
    <w:rsid w:val="005D0CC4"/>
    <w:rsid w:val="005D62FB"/>
    <w:rsid w:val="00601B26"/>
    <w:rsid w:val="00612E0E"/>
    <w:rsid w:val="0061655F"/>
    <w:rsid w:val="00625364"/>
    <w:rsid w:val="00632D2A"/>
    <w:rsid w:val="006352B5"/>
    <w:rsid w:val="0065323F"/>
    <w:rsid w:val="00680827"/>
    <w:rsid w:val="00694ED0"/>
    <w:rsid w:val="00697987"/>
    <w:rsid w:val="006A2B7E"/>
    <w:rsid w:val="006D018B"/>
    <w:rsid w:val="0072225A"/>
    <w:rsid w:val="0073181F"/>
    <w:rsid w:val="007361C0"/>
    <w:rsid w:val="0075451E"/>
    <w:rsid w:val="00786F61"/>
    <w:rsid w:val="00787F41"/>
    <w:rsid w:val="00791A50"/>
    <w:rsid w:val="00795DF0"/>
    <w:rsid w:val="007A5634"/>
    <w:rsid w:val="007A62C0"/>
    <w:rsid w:val="007A738F"/>
    <w:rsid w:val="007D3CC2"/>
    <w:rsid w:val="007D68E4"/>
    <w:rsid w:val="007E0BC4"/>
    <w:rsid w:val="007E6541"/>
    <w:rsid w:val="007F5D4C"/>
    <w:rsid w:val="008162D4"/>
    <w:rsid w:val="008412AD"/>
    <w:rsid w:val="00847F07"/>
    <w:rsid w:val="00861081"/>
    <w:rsid w:val="00862682"/>
    <w:rsid w:val="00873A08"/>
    <w:rsid w:val="00885799"/>
    <w:rsid w:val="00894168"/>
    <w:rsid w:val="00895D1A"/>
    <w:rsid w:val="008B1AEC"/>
    <w:rsid w:val="008D4F56"/>
    <w:rsid w:val="008D6BFB"/>
    <w:rsid w:val="008D7B88"/>
    <w:rsid w:val="008E0C92"/>
    <w:rsid w:val="008F444B"/>
    <w:rsid w:val="0090140B"/>
    <w:rsid w:val="00901B86"/>
    <w:rsid w:val="00920AFD"/>
    <w:rsid w:val="00924236"/>
    <w:rsid w:val="00937B83"/>
    <w:rsid w:val="00952AC9"/>
    <w:rsid w:val="00981935"/>
    <w:rsid w:val="009A73B8"/>
    <w:rsid w:val="009B7DF0"/>
    <w:rsid w:val="009D70D0"/>
    <w:rsid w:val="009E01E1"/>
    <w:rsid w:val="009E6756"/>
    <w:rsid w:val="00A3667E"/>
    <w:rsid w:val="00A37A19"/>
    <w:rsid w:val="00A46062"/>
    <w:rsid w:val="00A60067"/>
    <w:rsid w:val="00A611BD"/>
    <w:rsid w:val="00A663A2"/>
    <w:rsid w:val="00A67660"/>
    <w:rsid w:val="00A9017C"/>
    <w:rsid w:val="00A95749"/>
    <w:rsid w:val="00A976DE"/>
    <w:rsid w:val="00AA5919"/>
    <w:rsid w:val="00AB439E"/>
    <w:rsid w:val="00AC57CA"/>
    <w:rsid w:val="00AE0F92"/>
    <w:rsid w:val="00AF397C"/>
    <w:rsid w:val="00AF477E"/>
    <w:rsid w:val="00AF769F"/>
    <w:rsid w:val="00B05A9B"/>
    <w:rsid w:val="00B25768"/>
    <w:rsid w:val="00B35176"/>
    <w:rsid w:val="00B37EFE"/>
    <w:rsid w:val="00B41FA2"/>
    <w:rsid w:val="00B548F0"/>
    <w:rsid w:val="00B56CA2"/>
    <w:rsid w:val="00B67333"/>
    <w:rsid w:val="00B77730"/>
    <w:rsid w:val="00B874C5"/>
    <w:rsid w:val="00B9678F"/>
    <w:rsid w:val="00B96FAB"/>
    <w:rsid w:val="00BB362F"/>
    <w:rsid w:val="00BB7E38"/>
    <w:rsid w:val="00BE1F70"/>
    <w:rsid w:val="00C071A1"/>
    <w:rsid w:val="00C15FA3"/>
    <w:rsid w:val="00C638FE"/>
    <w:rsid w:val="00C65FDD"/>
    <w:rsid w:val="00C94B8D"/>
    <w:rsid w:val="00C97A2C"/>
    <w:rsid w:val="00CA5460"/>
    <w:rsid w:val="00CE1435"/>
    <w:rsid w:val="00CF23EB"/>
    <w:rsid w:val="00CF414C"/>
    <w:rsid w:val="00D02B17"/>
    <w:rsid w:val="00D164C4"/>
    <w:rsid w:val="00D254FA"/>
    <w:rsid w:val="00D3525B"/>
    <w:rsid w:val="00D62F1C"/>
    <w:rsid w:val="00D948D1"/>
    <w:rsid w:val="00DB0A53"/>
    <w:rsid w:val="00DC0BFB"/>
    <w:rsid w:val="00DC3B8C"/>
    <w:rsid w:val="00DD2FEB"/>
    <w:rsid w:val="00E01055"/>
    <w:rsid w:val="00E05421"/>
    <w:rsid w:val="00E13A9A"/>
    <w:rsid w:val="00E1580D"/>
    <w:rsid w:val="00E15F17"/>
    <w:rsid w:val="00E17E19"/>
    <w:rsid w:val="00E250F3"/>
    <w:rsid w:val="00E26E2A"/>
    <w:rsid w:val="00E2729D"/>
    <w:rsid w:val="00E51E0F"/>
    <w:rsid w:val="00E53D2D"/>
    <w:rsid w:val="00E55C0A"/>
    <w:rsid w:val="00E672BD"/>
    <w:rsid w:val="00E740D4"/>
    <w:rsid w:val="00E84A9A"/>
    <w:rsid w:val="00E9176C"/>
    <w:rsid w:val="00EB0841"/>
    <w:rsid w:val="00EB482C"/>
    <w:rsid w:val="00EB67D8"/>
    <w:rsid w:val="00EC329D"/>
    <w:rsid w:val="00EC3DE8"/>
    <w:rsid w:val="00ED034B"/>
    <w:rsid w:val="00EE135F"/>
    <w:rsid w:val="00EF0F6A"/>
    <w:rsid w:val="00EF7E6F"/>
    <w:rsid w:val="00F21DEA"/>
    <w:rsid w:val="00F3516B"/>
    <w:rsid w:val="00F361EB"/>
    <w:rsid w:val="00F375ED"/>
    <w:rsid w:val="00F41FE9"/>
    <w:rsid w:val="00F67415"/>
    <w:rsid w:val="00F96227"/>
    <w:rsid w:val="00FE07CF"/>
    <w:rsid w:val="00FE0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E9941-AB4D-4D54-85FA-9DE0C0F2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D3D9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1F29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29DF"/>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3D3D93"/>
    <w:rPr>
      <w:rFonts w:ascii="Times New Roman" w:eastAsia="Times New Roman" w:hAnsi="Times New Roman" w:cs="Times New Roman"/>
      <w:b/>
      <w:bCs/>
      <w:sz w:val="36"/>
      <w:szCs w:val="36"/>
      <w:lang w:eastAsia="en-GB"/>
    </w:rPr>
  </w:style>
  <w:style w:type="paragraph" w:styleId="FootnoteText">
    <w:name w:val="footnote text"/>
    <w:basedOn w:val="Normal"/>
    <w:link w:val="FootnoteTextChar"/>
    <w:uiPriority w:val="99"/>
    <w:semiHidden/>
    <w:unhideWhenUsed/>
    <w:rsid w:val="00EB48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482C"/>
    <w:rPr>
      <w:sz w:val="20"/>
      <w:szCs w:val="20"/>
    </w:rPr>
  </w:style>
  <w:style w:type="character" w:styleId="FootnoteReference">
    <w:name w:val="footnote reference"/>
    <w:basedOn w:val="DefaultParagraphFont"/>
    <w:uiPriority w:val="99"/>
    <w:semiHidden/>
    <w:unhideWhenUsed/>
    <w:rsid w:val="00EB482C"/>
    <w:rPr>
      <w:vertAlign w:val="superscript"/>
    </w:rPr>
  </w:style>
  <w:style w:type="paragraph" w:customStyle="1" w:styleId="size14px">
    <w:name w:val="size_14px"/>
    <w:basedOn w:val="Normal"/>
    <w:rsid w:val="00A663A2"/>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converted-space">
    <w:name w:val="apple-converted-space"/>
    <w:basedOn w:val="DefaultParagraphFont"/>
    <w:rsid w:val="00DC3B8C"/>
  </w:style>
  <w:style w:type="paragraph" w:styleId="EndnoteText">
    <w:name w:val="endnote text"/>
    <w:basedOn w:val="Normal"/>
    <w:link w:val="EndnoteTextChar"/>
    <w:semiHidden/>
    <w:rsid w:val="007D68E4"/>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7D68E4"/>
    <w:rPr>
      <w:rFonts w:ascii="Times New Roman" w:eastAsia="Times New Roman" w:hAnsi="Times New Roman" w:cs="Times New Roman"/>
      <w:sz w:val="20"/>
      <w:szCs w:val="20"/>
      <w:lang w:val="en-US"/>
    </w:rPr>
  </w:style>
  <w:style w:type="character" w:styleId="EndnoteReference">
    <w:name w:val="endnote reference"/>
    <w:semiHidden/>
    <w:rsid w:val="007D68E4"/>
    <w:rPr>
      <w:vertAlign w:val="superscript"/>
    </w:rPr>
  </w:style>
  <w:style w:type="paragraph" w:styleId="ListParagraph">
    <w:name w:val="List Paragraph"/>
    <w:basedOn w:val="Normal"/>
    <w:uiPriority w:val="34"/>
    <w:qFormat/>
    <w:rsid w:val="00AF397C"/>
    <w:pPr>
      <w:ind w:left="720"/>
      <w:contextualSpacing/>
    </w:pPr>
  </w:style>
  <w:style w:type="paragraph" w:styleId="BalloonText">
    <w:name w:val="Balloon Text"/>
    <w:basedOn w:val="Normal"/>
    <w:link w:val="BalloonTextChar"/>
    <w:uiPriority w:val="99"/>
    <w:semiHidden/>
    <w:unhideWhenUsed/>
    <w:rsid w:val="005C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D2A"/>
    <w:rPr>
      <w:rFonts w:ascii="Segoe UI" w:hAnsi="Segoe UI" w:cs="Segoe UI"/>
      <w:sz w:val="18"/>
      <w:szCs w:val="18"/>
    </w:rPr>
  </w:style>
  <w:style w:type="paragraph" w:styleId="Header">
    <w:name w:val="header"/>
    <w:basedOn w:val="Normal"/>
    <w:link w:val="HeaderChar"/>
    <w:uiPriority w:val="99"/>
    <w:unhideWhenUsed/>
    <w:rsid w:val="00862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682"/>
  </w:style>
  <w:style w:type="paragraph" w:styleId="Footer">
    <w:name w:val="footer"/>
    <w:basedOn w:val="Normal"/>
    <w:link w:val="FooterChar"/>
    <w:uiPriority w:val="99"/>
    <w:unhideWhenUsed/>
    <w:rsid w:val="00862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682"/>
  </w:style>
  <w:style w:type="character" w:styleId="HTMLCite">
    <w:name w:val="HTML Cite"/>
    <w:basedOn w:val="DefaultParagraphFont"/>
    <w:uiPriority w:val="99"/>
    <w:semiHidden/>
    <w:unhideWhenUsed/>
    <w:rsid w:val="00017716"/>
    <w:rPr>
      <w:i/>
      <w:iCs/>
    </w:rPr>
  </w:style>
  <w:style w:type="character" w:customStyle="1" w:styleId="noindent">
    <w:name w:val="noindent"/>
    <w:basedOn w:val="DefaultParagraphFont"/>
    <w:rsid w:val="005166DD"/>
  </w:style>
  <w:style w:type="character" w:customStyle="1" w:styleId="smallcaps">
    <w:name w:val="smallcaps"/>
    <w:basedOn w:val="DefaultParagraphFont"/>
    <w:rsid w:val="005166DD"/>
  </w:style>
  <w:style w:type="character" w:styleId="Emphasis">
    <w:name w:val="Emphasis"/>
    <w:basedOn w:val="DefaultParagraphFont"/>
    <w:uiPriority w:val="20"/>
    <w:qFormat/>
    <w:rsid w:val="005166DD"/>
    <w:rPr>
      <w:i/>
      <w:iCs/>
    </w:rPr>
  </w:style>
  <w:style w:type="character" w:customStyle="1" w:styleId="quotationkeyword">
    <w:name w:val="quotationkeyword"/>
    <w:basedOn w:val="DefaultParagraphFont"/>
    <w:rsid w:val="005166DD"/>
  </w:style>
  <w:style w:type="character" w:styleId="Hyperlink">
    <w:name w:val="Hyperlink"/>
    <w:basedOn w:val="DefaultParagraphFont"/>
    <w:uiPriority w:val="99"/>
    <w:semiHidden/>
    <w:unhideWhenUsed/>
    <w:rsid w:val="005166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6372">
      <w:bodyDiv w:val="1"/>
      <w:marLeft w:val="0"/>
      <w:marRight w:val="0"/>
      <w:marTop w:val="0"/>
      <w:marBottom w:val="0"/>
      <w:divBdr>
        <w:top w:val="none" w:sz="0" w:space="0" w:color="auto"/>
        <w:left w:val="none" w:sz="0" w:space="0" w:color="auto"/>
        <w:bottom w:val="none" w:sz="0" w:space="0" w:color="auto"/>
        <w:right w:val="none" w:sz="0" w:space="0" w:color="auto"/>
      </w:divBdr>
    </w:div>
    <w:div w:id="263389584">
      <w:bodyDiv w:val="1"/>
      <w:marLeft w:val="0"/>
      <w:marRight w:val="0"/>
      <w:marTop w:val="0"/>
      <w:marBottom w:val="0"/>
      <w:divBdr>
        <w:top w:val="none" w:sz="0" w:space="0" w:color="auto"/>
        <w:left w:val="none" w:sz="0" w:space="0" w:color="auto"/>
        <w:bottom w:val="none" w:sz="0" w:space="0" w:color="auto"/>
        <w:right w:val="none" w:sz="0" w:space="0" w:color="auto"/>
      </w:divBdr>
    </w:div>
    <w:div w:id="275256978">
      <w:bodyDiv w:val="1"/>
      <w:marLeft w:val="0"/>
      <w:marRight w:val="0"/>
      <w:marTop w:val="0"/>
      <w:marBottom w:val="0"/>
      <w:divBdr>
        <w:top w:val="none" w:sz="0" w:space="0" w:color="auto"/>
        <w:left w:val="none" w:sz="0" w:space="0" w:color="auto"/>
        <w:bottom w:val="none" w:sz="0" w:space="0" w:color="auto"/>
        <w:right w:val="none" w:sz="0" w:space="0" w:color="auto"/>
      </w:divBdr>
    </w:div>
    <w:div w:id="278031564">
      <w:bodyDiv w:val="1"/>
      <w:marLeft w:val="0"/>
      <w:marRight w:val="0"/>
      <w:marTop w:val="0"/>
      <w:marBottom w:val="0"/>
      <w:divBdr>
        <w:top w:val="none" w:sz="0" w:space="0" w:color="auto"/>
        <w:left w:val="none" w:sz="0" w:space="0" w:color="auto"/>
        <w:bottom w:val="none" w:sz="0" w:space="0" w:color="auto"/>
        <w:right w:val="none" w:sz="0" w:space="0" w:color="auto"/>
      </w:divBdr>
    </w:div>
    <w:div w:id="279840447">
      <w:bodyDiv w:val="1"/>
      <w:marLeft w:val="0"/>
      <w:marRight w:val="0"/>
      <w:marTop w:val="0"/>
      <w:marBottom w:val="0"/>
      <w:divBdr>
        <w:top w:val="none" w:sz="0" w:space="0" w:color="auto"/>
        <w:left w:val="none" w:sz="0" w:space="0" w:color="auto"/>
        <w:bottom w:val="none" w:sz="0" w:space="0" w:color="auto"/>
        <w:right w:val="none" w:sz="0" w:space="0" w:color="auto"/>
      </w:divBdr>
    </w:div>
    <w:div w:id="294453984">
      <w:bodyDiv w:val="1"/>
      <w:marLeft w:val="0"/>
      <w:marRight w:val="0"/>
      <w:marTop w:val="0"/>
      <w:marBottom w:val="0"/>
      <w:divBdr>
        <w:top w:val="none" w:sz="0" w:space="0" w:color="auto"/>
        <w:left w:val="none" w:sz="0" w:space="0" w:color="auto"/>
        <w:bottom w:val="none" w:sz="0" w:space="0" w:color="auto"/>
        <w:right w:val="none" w:sz="0" w:space="0" w:color="auto"/>
      </w:divBdr>
    </w:div>
    <w:div w:id="302126507">
      <w:bodyDiv w:val="1"/>
      <w:marLeft w:val="0"/>
      <w:marRight w:val="0"/>
      <w:marTop w:val="0"/>
      <w:marBottom w:val="0"/>
      <w:divBdr>
        <w:top w:val="none" w:sz="0" w:space="0" w:color="auto"/>
        <w:left w:val="none" w:sz="0" w:space="0" w:color="auto"/>
        <w:bottom w:val="none" w:sz="0" w:space="0" w:color="auto"/>
        <w:right w:val="none" w:sz="0" w:space="0" w:color="auto"/>
      </w:divBdr>
    </w:div>
    <w:div w:id="315767089">
      <w:bodyDiv w:val="1"/>
      <w:marLeft w:val="0"/>
      <w:marRight w:val="0"/>
      <w:marTop w:val="0"/>
      <w:marBottom w:val="0"/>
      <w:divBdr>
        <w:top w:val="none" w:sz="0" w:space="0" w:color="auto"/>
        <w:left w:val="none" w:sz="0" w:space="0" w:color="auto"/>
        <w:bottom w:val="none" w:sz="0" w:space="0" w:color="auto"/>
        <w:right w:val="none" w:sz="0" w:space="0" w:color="auto"/>
      </w:divBdr>
    </w:div>
    <w:div w:id="326326880">
      <w:bodyDiv w:val="1"/>
      <w:marLeft w:val="0"/>
      <w:marRight w:val="0"/>
      <w:marTop w:val="0"/>
      <w:marBottom w:val="0"/>
      <w:divBdr>
        <w:top w:val="none" w:sz="0" w:space="0" w:color="auto"/>
        <w:left w:val="none" w:sz="0" w:space="0" w:color="auto"/>
        <w:bottom w:val="none" w:sz="0" w:space="0" w:color="auto"/>
        <w:right w:val="none" w:sz="0" w:space="0" w:color="auto"/>
      </w:divBdr>
    </w:div>
    <w:div w:id="354353397">
      <w:bodyDiv w:val="1"/>
      <w:marLeft w:val="0"/>
      <w:marRight w:val="0"/>
      <w:marTop w:val="0"/>
      <w:marBottom w:val="0"/>
      <w:divBdr>
        <w:top w:val="none" w:sz="0" w:space="0" w:color="auto"/>
        <w:left w:val="none" w:sz="0" w:space="0" w:color="auto"/>
        <w:bottom w:val="none" w:sz="0" w:space="0" w:color="auto"/>
        <w:right w:val="none" w:sz="0" w:space="0" w:color="auto"/>
      </w:divBdr>
    </w:div>
    <w:div w:id="622231140">
      <w:bodyDiv w:val="1"/>
      <w:marLeft w:val="0"/>
      <w:marRight w:val="0"/>
      <w:marTop w:val="0"/>
      <w:marBottom w:val="0"/>
      <w:divBdr>
        <w:top w:val="none" w:sz="0" w:space="0" w:color="auto"/>
        <w:left w:val="none" w:sz="0" w:space="0" w:color="auto"/>
        <w:bottom w:val="none" w:sz="0" w:space="0" w:color="auto"/>
        <w:right w:val="none" w:sz="0" w:space="0" w:color="auto"/>
      </w:divBdr>
    </w:div>
    <w:div w:id="631861708">
      <w:bodyDiv w:val="1"/>
      <w:marLeft w:val="0"/>
      <w:marRight w:val="0"/>
      <w:marTop w:val="0"/>
      <w:marBottom w:val="0"/>
      <w:divBdr>
        <w:top w:val="none" w:sz="0" w:space="0" w:color="auto"/>
        <w:left w:val="none" w:sz="0" w:space="0" w:color="auto"/>
        <w:bottom w:val="none" w:sz="0" w:space="0" w:color="auto"/>
        <w:right w:val="none" w:sz="0" w:space="0" w:color="auto"/>
      </w:divBdr>
    </w:div>
    <w:div w:id="828401530">
      <w:bodyDiv w:val="1"/>
      <w:marLeft w:val="0"/>
      <w:marRight w:val="0"/>
      <w:marTop w:val="0"/>
      <w:marBottom w:val="0"/>
      <w:divBdr>
        <w:top w:val="none" w:sz="0" w:space="0" w:color="auto"/>
        <w:left w:val="none" w:sz="0" w:space="0" w:color="auto"/>
        <w:bottom w:val="none" w:sz="0" w:space="0" w:color="auto"/>
        <w:right w:val="none" w:sz="0" w:space="0" w:color="auto"/>
      </w:divBdr>
    </w:div>
    <w:div w:id="831989906">
      <w:bodyDiv w:val="1"/>
      <w:marLeft w:val="0"/>
      <w:marRight w:val="0"/>
      <w:marTop w:val="0"/>
      <w:marBottom w:val="0"/>
      <w:divBdr>
        <w:top w:val="none" w:sz="0" w:space="0" w:color="auto"/>
        <w:left w:val="none" w:sz="0" w:space="0" w:color="auto"/>
        <w:bottom w:val="none" w:sz="0" w:space="0" w:color="auto"/>
        <w:right w:val="none" w:sz="0" w:space="0" w:color="auto"/>
      </w:divBdr>
    </w:div>
    <w:div w:id="917448043">
      <w:bodyDiv w:val="1"/>
      <w:marLeft w:val="0"/>
      <w:marRight w:val="0"/>
      <w:marTop w:val="0"/>
      <w:marBottom w:val="0"/>
      <w:divBdr>
        <w:top w:val="none" w:sz="0" w:space="0" w:color="auto"/>
        <w:left w:val="none" w:sz="0" w:space="0" w:color="auto"/>
        <w:bottom w:val="none" w:sz="0" w:space="0" w:color="auto"/>
        <w:right w:val="none" w:sz="0" w:space="0" w:color="auto"/>
      </w:divBdr>
    </w:div>
    <w:div w:id="1043093013">
      <w:bodyDiv w:val="1"/>
      <w:marLeft w:val="0"/>
      <w:marRight w:val="0"/>
      <w:marTop w:val="0"/>
      <w:marBottom w:val="0"/>
      <w:divBdr>
        <w:top w:val="none" w:sz="0" w:space="0" w:color="auto"/>
        <w:left w:val="none" w:sz="0" w:space="0" w:color="auto"/>
        <w:bottom w:val="none" w:sz="0" w:space="0" w:color="auto"/>
        <w:right w:val="none" w:sz="0" w:space="0" w:color="auto"/>
      </w:divBdr>
    </w:div>
    <w:div w:id="1056465811">
      <w:bodyDiv w:val="1"/>
      <w:marLeft w:val="0"/>
      <w:marRight w:val="0"/>
      <w:marTop w:val="0"/>
      <w:marBottom w:val="0"/>
      <w:divBdr>
        <w:top w:val="none" w:sz="0" w:space="0" w:color="auto"/>
        <w:left w:val="none" w:sz="0" w:space="0" w:color="auto"/>
        <w:bottom w:val="none" w:sz="0" w:space="0" w:color="auto"/>
        <w:right w:val="none" w:sz="0" w:space="0" w:color="auto"/>
      </w:divBdr>
    </w:div>
    <w:div w:id="1176311908">
      <w:bodyDiv w:val="1"/>
      <w:marLeft w:val="0"/>
      <w:marRight w:val="0"/>
      <w:marTop w:val="0"/>
      <w:marBottom w:val="0"/>
      <w:divBdr>
        <w:top w:val="none" w:sz="0" w:space="0" w:color="auto"/>
        <w:left w:val="none" w:sz="0" w:space="0" w:color="auto"/>
        <w:bottom w:val="none" w:sz="0" w:space="0" w:color="auto"/>
        <w:right w:val="none" w:sz="0" w:space="0" w:color="auto"/>
      </w:divBdr>
    </w:div>
    <w:div w:id="1293361379">
      <w:bodyDiv w:val="1"/>
      <w:marLeft w:val="0"/>
      <w:marRight w:val="0"/>
      <w:marTop w:val="0"/>
      <w:marBottom w:val="0"/>
      <w:divBdr>
        <w:top w:val="none" w:sz="0" w:space="0" w:color="auto"/>
        <w:left w:val="none" w:sz="0" w:space="0" w:color="auto"/>
        <w:bottom w:val="none" w:sz="0" w:space="0" w:color="auto"/>
        <w:right w:val="none" w:sz="0" w:space="0" w:color="auto"/>
      </w:divBdr>
    </w:div>
    <w:div w:id="1329753476">
      <w:bodyDiv w:val="1"/>
      <w:marLeft w:val="0"/>
      <w:marRight w:val="0"/>
      <w:marTop w:val="0"/>
      <w:marBottom w:val="0"/>
      <w:divBdr>
        <w:top w:val="none" w:sz="0" w:space="0" w:color="auto"/>
        <w:left w:val="none" w:sz="0" w:space="0" w:color="auto"/>
        <w:bottom w:val="none" w:sz="0" w:space="0" w:color="auto"/>
        <w:right w:val="none" w:sz="0" w:space="0" w:color="auto"/>
      </w:divBdr>
    </w:div>
    <w:div w:id="1375614236">
      <w:bodyDiv w:val="1"/>
      <w:marLeft w:val="0"/>
      <w:marRight w:val="0"/>
      <w:marTop w:val="0"/>
      <w:marBottom w:val="0"/>
      <w:divBdr>
        <w:top w:val="none" w:sz="0" w:space="0" w:color="auto"/>
        <w:left w:val="none" w:sz="0" w:space="0" w:color="auto"/>
        <w:bottom w:val="none" w:sz="0" w:space="0" w:color="auto"/>
        <w:right w:val="none" w:sz="0" w:space="0" w:color="auto"/>
      </w:divBdr>
    </w:div>
    <w:div w:id="1382824827">
      <w:bodyDiv w:val="1"/>
      <w:marLeft w:val="0"/>
      <w:marRight w:val="0"/>
      <w:marTop w:val="0"/>
      <w:marBottom w:val="0"/>
      <w:divBdr>
        <w:top w:val="none" w:sz="0" w:space="0" w:color="auto"/>
        <w:left w:val="none" w:sz="0" w:space="0" w:color="auto"/>
        <w:bottom w:val="none" w:sz="0" w:space="0" w:color="auto"/>
        <w:right w:val="none" w:sz="0" w:space="0" w:color="auto"/>
      </w:divBdr>
    </w:div>
    <w:div w:id="1481774358">
      <w:bodyDiv w:val="1"/>
      <w:marLeft w:val="0"/>
      <w:marRight w:val="0"/>
      <w:marTop w:val="0"/>
      <w:marBottom w:val="0"/>
      <w:divBdr>
        <w:top w:val="none" w:sz="0" w:space="0" w:color="auto"/>
        <w:left w:val="none" w:sz="0" w:space="0" w:color="auto"/>
        <w:bottom w:val="none" w:sz="0" w:space="0" w:color="auto"/>
        <w:right w:val="none" w:sz="0" w:space="0" w:color="auto"/>
      </w:divBdr>
    </w:div>
    <w:div w:id="1637838280">
      <w:bodyDiv w:val="1"/>
      <w:marLeft w:val="0"/>
      <w:marRight w:val="0"/>
      <w:marTop w:val="0"/>
      <w:marBottom w:val="0"/>
      <w:divBdr>
        <w:top w:val="none" w:sz="0" w:space="0" w:color="auto"/>
        <w:left w:val="none" w:sz="0" w:space="0" w:color="auto"/>
        <w:bottom w:val="none" w:sz="0" w:space="0" w:color="auto"/>
        <w:right w:val="none" w:sz="0" w:space="0" w:color="auto"/>
      </w:divBdr>
    </w:div>
    <w:div w:id="1785541949">
      <w:bodyDiv w:val="1"/>
      <w:marLeft w:val="0"/>
      <w:marRight w:val="0"/>
      <w:marTop w:val="0"/>
      <w:marBottom w:val="0"/>
      <w:divBdr>
        <w:top w:val="none" w:sz="0" w:space="0" w:color="auto"/>
        <w:left w:val="none" w:sz="0" w:space="0" w:color="auto"/>
        <w:bottom w:val="none" w:sz="0" w:space="0" w:color="auto"/>
        <w:right w:val="none" w:sz="0" w:space="0" w:color="auto"/>
      </w:divBdr>
    </w:div>
    <w:div w:id="1829519137">
      <w:bodyDiv w:val="1"/>
      <w:marLeft w:val="0"/>
      <w:marRight w:val="0"/>
      <w:marTop w:val="0"/>
      <w:marBottom w:val="0"/>
      <w:divBdr>
        <w:top w:val="none" w:sz="0" w:space="0" w:color="auto"/>
        <w:left w:val="none" w:sz="0" w:space="0" w:color="auto"/>
        <w:bottom w:val="none" w:sz="0" w:space="0" w:color="auto"/>
        <w:right w:val="none" w:sz="0" w:space="0" w:color="auto"/>
      </w:divBdr>
      <w:divsChild>
        <w:div w:id="1665890740">
          <w:marLeft w:val="0"/>
          <w:marRight w:val="0"/>
          <w:marTop w:val="0"/>
          <w:marBottom w:val="0"/>
          <w:divBdr>
            <w:top w:val="none" w:sz="0" w:space="0" w:color="auto"/>
            <w:left w:val="none" w:sz="0" w:space="0" w:color="auto"/>
            <w:bottom w:val="none" w:sz="0" w:space="0" w:color="auto"/>
            <w:right w:val="none" w:sz="0" w:space="0" w:color="auto"/>
          </w:divBdr>
        </w:div>
        <w:div w:id="273363667">
          <w:marLeft w:val="0"/>
          <w:marRight w:val="0"/>
          <w:marTop w:val="0"/>
          <w:marBottom w:val="0"/>
          <w:divBdr>
            <w:top w:val="none" w:sz="0" w:space="0" w:color="auto"/>
            <w:left w:val="none" w:sz="0" w:space="0" w:color="auto"/>
            <w:bottom w:val="none" w:sz="0" w:space="0" w:color="auto"/>
            <w:right w:val="none" w:sz="0" w:space="0" w:color="auto"/>
          </w:divBdr>
        </w:div>
      </w:divsChild>
    </w:div>
    <w:div w:id="1838111097">
      <w:bodyDiv w:val="1"/>
      <w:marLeft w:val="0"/>
      <w:marRight w:val="0"/>
      <w:marTop w:val="0"/>
      <w:marBottom w:val="0"/>
      <w:divBdr>
        <w:top w:val="none" w:sz="0" w:space="0" w:color="auto"/>
        <w:left w:val="none" w:sz="0" w:space="0" w:color="auto"/>
        <w:bottom w:val="none" w:sz="0" w:space="0" w:color="auto"/>
        <w:right w:val="none" w:sz="0" w:space="0" w:color="auto"/>
      </w:divBdr>
    </w:div>
    <w:div w:id="1881817325">
      <w:bodyDiv w:val="1"/>
      <w:marLeft w:val="0"/>
      <w:marRight w:val="0"/>
      <w:marTop w:val="0"/>
      <w:marBottom w:val="0"/>
      <w:divBdr>
        <w:top w:val="none" w:sz="0" w:space="0" w:color="auto"/>
        <w:left w:val="none" w:sz="0" w:space="0" w:color="auto"/>
        <w:bottom w:val="none" w:sz="0" w:space="0" w:color="auto"/>
        <w:right w:val="none" w:sz="0" w:space="0" w:color="auto"/>
      </w:divBdr>
    </w:div>
    <w:div w:id="1905526950">
      <w:bodyDiv w:val="1"/>
      <w:marLeft w:val="0"/>
      <w:marRight w:val="0"/>
      <w:marTop w:val="0"/>
      <w:marBottom w:val="0"/>
      <w:divBdr>
        <w:top w:val="none" w:sz="0" w:space="0" w:color="auto"/>
        <w:left w:val="none" w:sz="0" w:space="0" w:color="auto"/>
        <w:bottom w:val="none" w:sz="0" w:space="0" w:color="auto"/>
        <w:right w:val="none" w:sz="0" w:space="0" w:color="auto"/>
      </w:divBdr>
    </w:div>
    <w:div w:id="2062090792">
      <w:bodyDiv w:val="1"/>
      <w:marLeft w:val="0"/>
      <w:marRight w:val="0"/>
      <w:marTop w:val="0"/>
      <w:marBottom w:val="0"/>
      <w:divBdr>
        <w:top w:val="none" w:sz="0" w:space="0" w:color="auto"/>
        <w:left w:val="none" w:sz="0" w:space="0" w:color="auto"/>
        <w:bottom w:val="none" w:sz="0" w:space="0" w:color="auto"/>
        <w:right w:val="none" w:sz="0" w:space="0" w:color="auto"/>
      </w:divBdr>
    </w:div>
    <w:div w:id="2074697924">
      <w:bodyDiv w:val="1"/>
      <w:marLeft w:val="0"/>
      <w:marRight w:val="0"/>
      <w:marTop w:val="0"/>
      <w:marBottom w:val="0"/>
      <w:divBdr>
        <w:top w:val="none" w:sz="0" w:space="0" w:color="auto"/>
        <w:left w:val="none" w:sz="0" w:space="0" w:color="auto"/>
        <w:bottom w:val="none" w:sz="0" w:space="0" w:color="auto"/>
        <w:right w:val="none" w:sz="0" w:space="0" w:color="auto"/>
      </w:divBdr>
    </w:div>
    <w:div w:id="213590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67BB6-A3F7-4B5E-9439-615CA8C3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5422</Words>
  <Characters>30908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Richardson</dc:creator>
  <cp:keywords/>
  <dc:description/>
  <cp:lastModifiedBy>Catherine Richardson</cp:lastModifiedBy>
  <cp:revision>2</cp:revision>
  <cp:lastPrinted>2016-07-14T07:19:00Z</cp:lastPrinted>
  <dcterms:created xsi:type="dcterms:W3CDTF">2018-09-01T09:04:00Z</dcterms:created>
  <dcterms:modified xsi:type="dcterms:W3CDTF">2018-09-01T09:04:00Z</dcterms:modified>
</cp:coreProperties>
</file>