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7FE" w:rsidRPr="008427FE" w:rsidRDefault="008427FE" w:rsidP="008427FE">
      <w:pPr>
        <w:jc w:val="center"/>
        <w:rPr>
          <w:b/>
          <w:bCs/>
        </w:rPr>
      </w:pPr>
      <w:r w:rsidRPr="008427FE">
        <w:rPr>
          <w:b/>
          <w:bCs/>
        </w:rPr>
        <w:t>The Strengths and Limitations of Enhanced Sentencing</w:t>
      </w:r>
      <w:r w:rsidR="007B4E3D">
        <w:rPr>
          <w:b/>
          <w:bCs/>
        </w:rPr>
        <w:t xml:space="preserve"> for Hate Crimes</w:t>
      </w:r>
    </w:p>
    <w:p w:rsidR="006E154E" w:rsidRDefault="006E154E" w:rsidP="00462BFF">
      <w:r>
        <w:t>By Marian Duggan</w:t>
      </w:r>
    </w:p>
    <w:p w:rsidR="008427FE" w:rsidRDefault="007B4E3D" w:rsidP="007061F5">
      <w:pPr>
        <w:rPr>
          <w:bCs/>
        </w:rPr>
      </w:pPr>
      <w:r>
        <w:rPr>
          <w:bCs/>
        </w:rPr>
        <w:t>B</w:t>
      </w:r>
      <w:r w:rsidR="00DF7585" w:rsidRPr="009E359B">
        <w:rPr>
          <w:bCs/>
        </w:rPr>
        <w:t>etween</w:t>
      </w:r>
      <w:r w:rsidR="00DF7585" w:rsidRPr="009E359B">
        <w:rPr>
          <w:b/>
          <w:bCs/>
        </w:rPr>
        <w:t xml:space="preserve"> </w:t>
      </w:r>
      <w:r>
        <w:rPr>
          <w:bCs/>
        </w:rPr>
        <w:t>June and September 2013</w:t>
      </w:r>
      <w:r w:rsidR="00DF7585" w:rsidRPr="009E359B">
        <w:rPr>
          <w:bCs/>
        </w:rPr>
        <w:t xml:space="preserve"> the UK </w:t>
      </w:r>
      <w:hyperlink r:id="rId6" w:history="1">
        <w:r w:rsidR="00DF7585" w:rsidRPr="007B4E3D">
          <w:rPr>
            <w:rStyle w:val="Hyperlink"/>
            <w:bCs/>
          </w:rPr>
          <w:t>Law Commission</w:t>
        </w:r>
      </w:hyperlink>
      <w:r w:rsidR="00DF7585" w:rsidRPr="009E359B">
        <w:rPr>
          <w:bCs/>
        </w:rPr>
        <w:t xml:space="preserve"> consulted with a range of community, voluntary, academic, statutory and lay </w:t>
      </w:r>
      <w:r>
        <w:rPr>
          <w:bCs/>
        </w:rPr>
        <w:t xml:space="preserve">representatives on </w:t>
      </w:r>
      <w:r w:rsidR="00DF7585" w:rsidRPr="009E359B">
        <w:rPr>
          <w:bCs/>
        </w:rPr>
        <w:t>Government proposals to alter parts of the</w:t>
      </w:r>
      <w:r>
        <w:rPr>
          <w:bCs/>
        </w:rPr>
        <w:t xml:space="preserve"> existing hate crime legislative framework in England and Wales. This followed the </w:t>
      </w:r>
      <w:r w:rsidR="00DF7585" w:rsidRPr="008427FE">
        <w:rPr>
          <w:bCs/>
        </w:rPr>
        <w:t>Coalition Government’s</w:t>
      </w:r>
      <w:r w:rsidR="003C2248">
        <w:rPr>
          <w:bCs/>
        </w:rPr>
        <w:t xml:space="preserve"> </w:t>
      </w:r>
      <w:r>
        <w:rPr>
          <w:bCs/>
        </w:rPr>
        <w:t xml:space="preserve">publication of </w:t>
      </w:r>
      <w:hyperlink r:id="rId7" w:history="1">
        <w:r w:rsidR="00DF7585" w:rsidRPr="003C2248">
          <w:rPr>
            <w:rStyle w:val="Hyperlink"/>
            <w:bCs/>
            <w:i/>
          </w:rPr>
          <w:t xml:space="preserve">Challenge It, Report It, </w:t>
        </w:r>
        <w:proofErr w:type="gramStart"/>
        <w:r w:rsidR="00DF7585" w:rsidRPr="003C2248">
          <w:rPr>
            <w:rStyle w:val="Hyperlink"/>
            <w:bCs/>
            <w:i/>
          </w:rPr>
          <w:t>Stop</w:t>
        </w:r>
        <w:proofErr w:type="gramEnd"/>
        <w:r w:rsidR="00DF7585" w:rsidRPr="003C2248">
          <w:rPr>
            <w:rStyle w:val="Hyperlink"/>
            <w:bCs/>
            <w:i/>
          </w:rPr>
          <w:t xml:space="preserve"> It: The Government’s Plan to Tackle Hate Crime</w:t>
        </w:r>
      </w:hyperlink>
      <w:r w:rsidR="00DF7585" w:rsidRPr="008427FE">
        <w:rPr>
          <w:bCs/>
        </w:rPr>
        <w:t xml:space="preserve">. In May 2014, the Law Commission published </w:t>
      </w:r>
      <w:hyperlink r:id="rId8" w:history="1">
        <w:r>
          <w:rPr>
            <w:rStyle w:val="Hyperlink"/>
            <w:bCs/>
            <w:i/>
          </w:rPr>
          <w:t>Hate Crime: should the current offences be extended?</w:t>
        </w:r>
      </w:hyperlink>
      <w:r>
        <w:rPr>
          <w:bCs/>
          <w:i/>
        </w:rPr>
        <w:t xml:space="preserve"> </w:t>
      </w:r>
      <w:proofErr w:type="gramStart"/>
      <w:r w:rsidRPr="007B4E3D">
        <w:rPr>
          <w:bCs/>
        </w:rPr>
        <w:t>in</w:t>
      </w:r>
      <w:proofErr w:type="gramEnd"/>
      <w:r w:rsidRPr="007B4E3D">
        <w:rPr>
          <w:bCs/>
        </w:rPr>
        <w:t xml:space="preserve"> which</w:t>
      </w:r>
      <w:r>
        <w:rPr>
          <w:bCs/>
        </w:rPr>
        <w:t xml:space="preserve"> they detailed their findings</w:t>
      </w:r>
      <w:r w:rsidRPr="00220F7E">
        <w:rPr>
          <w:bCs/>
        </w:rPr>
        <w:t xml:space="preserve">. </w:t>
      </w:r>
      <w:r w:rsidR="00220F7E" w:rsidRPr="00220F7E">
        <w:rPr>
          <w:bCs/>
        </w:rPr>
        <w:t>This blog focus</w:t>
      </w:r>
      <w:r w:rsidR="00220F7E">
        <w:rPr>
          <w:bCs/>
        </w:rPr>
        <w:t>es</w:t>
      </w:r>
      <w:r w:rsidR="00220F7E" w:rsidRPr="00220F7E">
        <w:rPr>
          <w:bCs/>
        </w:rPr>
        <w:t xml:space="preserve"> on one aspect</w:t>
      </w:r>
      <w:r w:rsidR="00220F7E">
        <w:rPr>
          <w:bCs/>
        </w:rPr>
        <w:t xml:space="preserve"> of the report</w:t>
      </w:r>
      <w:r w:rsidR="00220F7E" w:rsidRPr="00220F7E">
        <w:rPr>
          <w:bCs/>
        </w:rPr>
        <w:t>: whether existing measures to enhance sentences for hate crime offenders may be the stymieing factor in rendering ‘hate crime’ legislation effective.</w:t>
      </w:r>
    </w:p>
    <w:p w:rsidR="00220F7E" w:rsidRPr="00220F7E" w:rsidRDefault="00220F7E" w:rsidP="007061F5">
      <w:pPr>
        <w:rPr>
          <w:b/>
          <w:bCs/>
        </w:rPr>
      </w:pPr>
      <w:r>
        <w:rPr>
          <w:b/>
          <w:bCs/>
        </w:rPr>
        <w:t xml:space="preserve">Reasons and Rationales for </w:t>
      </w:r>
      <w:r w:rsidRPr="00220F7E">
        <w:rPr>
          <w:b/>
          <w:bCs/>
        </w:rPr>
        <w:t xml:space="preserve">Enhanced Penalties </w:t>
      </w:r>
    </w:p>
    <w:p w:rsidR="00220F7E" w:rsidRPr="008427FE" w:rsidRDefault="00220F7E" w:rsidP="00220F7E">
      <w:pPr>
        <w:rPr>
          <w:bCs/>
        </w:rPr>
      </w:pPr>
      <w:r>
        <w:rPr>
          <w:bCs/>
        </w:rPr>
        <w:t>‘Enhanced sentencing’</w:t>
      </w:r>
      <w:r w:rsidRPr="00C57CFF">
        <w:rPr>
          <w:bCs/>
        </w:rPr>
        <w:t xml:space="preserve"> </w:t>
      </w:r>
      <w:r>
        <w:rPr>
          <w:bCs/>
        </w:rPr>
        <w:t xml:space="preserve">is </w:t>
      </w:r>
      <w:r w:rsidRPr="00C57CFF">
        <w:rPr>
          <w:bCs/>
        </w:rPr>
        <w:t xml:space="preserve">applicable </w:t>
      </w:r>
      <w:r>
        <w:rPr>
          <w:bCs/>
        </w:rPr>
        <w:t xml:space="preserve">in </w:t>
      </w:r>
      <w:r w:rsidRPr="00C57CFF">
        <w:rPr>
          <w:bCs/>
        </w:rPr>
        <w:t>cases where</w:t>
      </w:r>
      <w:r>
        <w:rPr>
          <w:bCs/>
        </w:rPr>
        <w:t>by hostility has been</w:t>
      </w:r>
      <w:r w:rsidRPr="00C57CFF">
        <w:rPr>
          <w:bCs/>
        </w:rPr>
        <w:t xml:space="preserve"> </w:t>
      </w:r>
      <w:r>
        <w:rPr>
          <w:bCs/>
        </w:rPr>
        <w:t>successfully established by the prosecution. This provision currently</w:t>
      </w:r>
      <w:r w:rsidRPr="00C57CFF">
        <w:rPr>
          <w:bCs/>
        </w:rPr>
        <w:t xml:space="preserve"> applies to all five </w:t>
      </w:r>
      <w:r>
        <w:rPr>
          <w:bCs/>
        </w:rPr>
        <w:t xml:space="preserve">recognised </w:t>
      </w:r>
      <w:r w:rsidRPr="00C57CFF">
        <w:rPr>
          <w:bCs/>
        </w:rPr>
        <w:t xml:space="preserve">characteristics </w:t>
      </w:r>
      <w:r>
        <w:rPr>
          <w:bCs/>
        </w:rPr>
        <w:t xml:space="preserve">under sections </w:t>
      </w:r>
      <w:r w:rsidRPr="002C2336">
        <w:rPr>
          <w:bCs/>
        </w:rPr>
        <w:t xml:space="preserve">145-146 </w:t>
      </w:r>
      <w:r>
        <w:rPr>
          <w:bCs/>
        </w:rPr>
        <w:t xml:space="preserve">of the </w:t>
      </w:r>
      <w:hyperlink r:id="rId9" w:history="1">
        <w:r w:rsidRPr="003C2248">
          <w:rPr>
            <w:rStyle w:val="Hyperlink"/>
            <w:bCs/>
          </w:rPr>
          <w:t>Criminal Justice Act 2003</w:t>
        </w:r>
      </w:hyperlink>
      <w:r w:rsidRPr="002C2336">
        <w:rPr>
          <w:bCs/>
        </w:rPr>
        <w:t xml:space="preserve"> </w:t>
      </w:r>
      <w:r>
        <w:rPr>
          <w:bCs/>
        </w:rPr>
        <w:t xml:space="preserve">(race, religion, disability, sexual orientation and gender identity) where the issue is </w:t>
      </w:r>
      <w:r>
        <w:rPr>
          <w:bCs/>
          <w:i/>
        </w:rPr>
        <w:t>motivations</w:t>
      </w:r>
      <w:r>
        <w:rPr>
          <w:bCs/>
        </w:rPr>
        <w:t xml:space="preserve"> or </w:t>
      </w:r>
      <w:r w:rsidRPr="002C2336">
        <w:rPr>
          <w:bCs/>
          <w:i/>
        </w:rPr>
        <w:t>demonstrations</w:t>
      </w:r>
      <w:r>
        <w:rPr>
          <w:bCs/>
        </w:rPr>
        <w:t xml:space="preserve"> of hostility in offences</w:t>
      </w:r>
      <w:r>
        <w:rPr>
          <w:bCs/>
        </w:rPr>
        <w:t>,</w:t>
      </w:r>
      <w:r>
        <w:rPr>
          <w:bCs/>
        </w:rPr>
        <w:t xml:space="preserve"> but </w:t>
      </w:r>
      <w:r>
        <w:rPr>
          <w:bCs/>
        </w:rPr>
        <w:t xml:space="preserve">the </w:t>
      </w:r>
      <w:r>
        <w:rPr>
          <w:bCs/>
        </w:rPr>
        <w:t>implementation of this provision has been questionable</w:t>
      </w:r>
      <w:r w:rsidRPr="00C57CFF">
        <w:rPr>
          <w:bCs/>
        </w:rPr>
        <w:t>.</w:t>
      </w:r>
      <w:r>
        <w:rPr>
          <w:bCs/>
        </w:rPr>
        <w:t xml:space="preserve"> Furthermore, the eventual conviction will not necessarily indicate the prejudicial motivator on the offender’s record or anywhere else. </w:t>
      </w:r>
    </w:p>
    <w:p w:rsidR="008427FE" w:rsidRDefault="00220F7E" w:rsidP="008427FE">
      <w:r>
        <w:rPr>
          <w:bCs/>
        </w:rPr>
        <w:t xml:space="preserve">By contrast, </w:t>
      </w:r>
      <w:r w:rsidRPr="00C57CFF">
        <w:rPr>
          <w:bCs/>
        </w:rPr>
        <w:t xml:space="preserve">the </w:t>
      </w:r>
      <w:hyperlink r:id="rId10" w:history="1">
        <w:r w:rsidRPr="003C2248">
          <w:rPr>
            <w:rStyle w:val="Hyperlink"/>
            <w:bCs/>
          </w:rPr>
          <w:t>Crime and Disorder Act 1998</w:t>
        </w:r>
      </w:hyperlink>
      <w:r w:rsidRPr="00C57CFF">
        <w:rPr>
          <w:bCs/>
        </w:rPr>
        <w:t xml:space="preserve"> </w:t>
      </w:r>
      <w:r>
        <w:rPr>
          <w:bCs/>
        </w:rPr>
        <w:t xml:space="preserve">recognises </w:t>
      </w:r>
      <w:r w:rsidRPr="00220F7E">
        <w:rPr>
          <w:bCs/>
        </w:rPr>
        <w:t xml:space="preserve">offences </w:t>
      </w:r>
      <w:r w:rsidRPr="00220F7E">
        <w:rPr>
          <w:bCs/>
          <w:i/>
        </w:rPr>
        <w:t xml:space="preserve">aggravated </w:t>
      </w:r>
      <w:r>
        <w:rPr>
          <w:bCs/>
        </w:rPr>
        <w:t>by hostility, but only for racial or religious offences.</w:t>
      </w:r>
      <w:r w:rsidRPr="00220F7E">
        <w:rPr>
          <w:bCs/>
        </w:rPr>
        <w:t xml:space="preserve"> </w:t>
      </w:r>
      <w:r w:rsidR="008427FE">
        <w:rPr>
          <w:bCs/>
        </w:rPr>
        <w:t xml:space="preserve">The Commission assessed the scope of </w:t>
      </w:r>
      <w:r w:rsidR="003B1B02">
        <w:rPr>
          <w:bCs/>
        </w:rPr>
        <w:t>extending</w:t>
      </w:r>
      <w:r w:rsidR="003B1B02" w:rsidRPr="00C57CFF">
        <w:rPr>
          <w:bCs/>
        </w:rPr>
        <w:t xml:space="preserve"> the </w:t>
      </w:r>
      <w:r>
        <w:rPr>
          <w:bCs/>
        </w:rPr>
        <w:t xml:space="preserve">1998 Act </w:t>
      </w:r>
      <w:r w:rsidR="003B1B02" w:rsidRPr="00C57CFF">
        <w:rPr>
          <w:bCs/>
        </w:rPr>
        <w:t xml:space="preserve">to apply equally to all five </w:t>
      </w:r>
      <w:r w:rsidR="008427FE">
        <w:rPr>
          <w:bCs/>
        </w:rPr>
        <w:t>currently</w:t>
      </w:r>
      <w:r w:rsidR="000C2F7F">
        <w:rPr>
          <w:bCs/>
        </w:rPr>
        <w:t xml:space="preserve"> </w:t>
      </w:r>
      <w:r w:rsidR="003B1B02" w:rsidRPr="00C57CFF">
        <w:rPr>
          <w:bCs/>
        </w:rPr>
        <w:t>protected characte</w:t>
      </w:r>
      <w:r w:rsidR="003B1B02">
        <w:rPr>
          <w:bCs/>
        </w:rPr>
        <w:t>ristics (thus being amended to include sexual orientation, disability and gender identity). The</w:t>
      </w:r>
      <w:r w:rsidR="008427FE">
        <w:rPr>
          <w:bCs/>
        </w:rPr>
        <w:t>y</w:t>
      </w:r>
      <w:r w:rsidR="003B1B02">
        <w:rPr>
          <w:bCs/>
        </w:rPr>
        <w:t xml:space="preserve"> suggested that in principle this would be a good idea to enhance equality, but noted that a </w:t>
      </w:r>
      <w:r w:rsidR="003B1B02" w:rsidRPr="00F0456F">
        <w:t xml:space="preserve">full-scale review </w:t>
      </w:r>
      <w:r w:rsidR="003B1B02">
        <w:t>of how</w:t>
      </w:r>
      <w:r>
        <w:t xml:space="preserve"> both</w:t>
      </w:r>
      <w:r w:rsidR="003B1B02">
        <w:t xml:space="preserve"> the 1998 </w:t>
      </w:r>
      <w:r>
        <w:t xml:space="preserve">and 2003 </w:t>
      </w:r>
      <w:r w:rsidR="003B1B02">
        <w:t>Act</w:t>
      </w:r>
      <w:r>
        <w:t>s</w:t>
      </w:r>
      <w:r w:rsidR="003B1B02">
        <w:t xml:space="preserve"> works in practice </w:t>
      </w:r>
      <w:r>
        <w:t xml:space="preserve">to assess </w:t>
      </w:r>
      <w:r w:rsidR="003B1B02" w:rsidRPr="00F0456F">
        <w:t>whether the enhanced sentencing system</w:t>
      </w:r>
      <w:r>
        <w:t>s</w:t>
      </w:r>
      <w:r w:rsidR="003B1B02" w:rsidRPr="00F0456F">
        <w:t xml:space="preserve"> </w:t>
      </w:r>
      <w:r>
        <w:t xml:space="preserve">are </w:t>
      </w:r>
      <w:r w:rsidR="003B1B02">
        <w:t>fit for purpose or in need of amendment</w:t>
      </w:r>
      <w:r>
        <w:t xml:space="preserve"> and/or equalising</w:t>
      </w:r>
      <w:r w:rsidR="003B1B02">
        <w:t xml:space="preserve">. </w:t>
      </w:r>
    </w:p>
    <w:p w:rsidR="003B1B02" w:rsidRDefault="00C80C77" w:rsidP="00F76353">
      <w:r>
        <w:t>In its recommendations, t</w:t>
      </w:r>
      <w:r w:rsidR="00F76353" w:rsidRPr="00F76353">
        <w:t xml:space="preserve">he </w:t>
      </w:r>
      <w:r>
        <w:t xml:space="preserve">Law Commission recognised that the provision for </w:t>
      </w:r>
      <w:r w:rsidR="00F76353" w:rsidRPr="00F76353">
        <w:t xml:space="preserve">enhanced sentencing </w:t>
      </w:r>
      <w:r>
        <w:t xml:space="preserve">provides </w:t>
      </w:r>
      <w:r w:rsidR="00F76353" w:rsidRPr="00F76353">
        <w:t xml:space="preserve">a </w:t>
      </w:r>
      <w:r>
        <w:t>‘</w:t>
      </w:r>
      <w:r w:rsidR="00F76353" w:rsidRPr="00F76353">
        <w:t>potentially powerful weapon in the fight against hate crime</w:t>
      </w:r>
      <w:r>
        <w:t>’</w:t>
      </w:r>
      <w:r w:rsidR="00F76353" w:rsidRPr="00F76353">
        <w:t xml:space="preserve">. </w:t>
      </w:r>
      <w:r w:rsidR="003B1B02">
        <w:t xml:space="preserve">This has also been noted in the hate crime literature. Prominent hate crime scholars such as </w:t>
      </w:r>
      <w:hyperlink r:id="rId11" w:history="1">
        <w:r w:rsidR="003B1B02" w:rsidRPr="007B4E3D">
          <w:rPr>
            <w:rStyle w:val="Hyperlink"/>
          </w:rPr>
          <w:t>Joanna Perry (2014),</w:t>
        </w:r>
      </w:hyperlink>
      <w:r w:rsidR="003B1B02" w:rsidRPr="007B4E3D">
        <w:t xml:space="preserve"> </w:t>
      </w:r>
      <w:hyperlink r:id="rId12" w:history="1">
        <w:r w:rsidR="003B1B02" w:rsidRPr="007B4E3D">
          <w:rPr>
            <w:rStyle w:val="Hyperlink"/>
          </w:rPr>
          <w:t>Mark Walters (2014),</w:t>
        </w:r>
      </w:hyperlink>
      <w:r w:rsidR="003B1B02" w:rsidRPr="007B4E3D">
        <w:t xml:space="preserve"> and </w:t>
      </w:r>
      <w:hyperlink r:id="rId13" w:history="1">
        <w:r w:rsidR="003B1B02" w:rsidRPr="007B4E3D">
          <w:rPr>
            <w:rStyle w:val="Hyperlink"/>
          </w:rPr>
          <w:t xml:space="preserve">Paul </w:t>
        </w:r>
        <w:proofErr w:type="spellStart"/>
        <w:r w:rsidR="003B1B02" w:rsidRPr="007B4E3D">
          <w:rPr>
            <w:rStyle w:val="Hyperlink"/>
          </w:rPr>
          <w:t>Iganski</w:t>
        </w:r>
        <w:proofErr w:type="spellEnd"/>
        <w:r w:rsidR="003B1B02" w:rsidRPr="007B4E3D">
          <w:rPr>
            <w:rStyle w:val="Hyperlink"/>
          </w:rPr>
          <w:t xml:space="preserve"> (2014)</w:t>
        </w:r>
      </w:hyperlink>
      <w:r w:rsidR="003B1B02">
        <w:t xml:space="preserve"> who expand on </w:t>
      </w:r>
      <w:hyperlink r:id="rId14" w:history="1">
        <w:r w:rsidR="003B1B02" w:rsidRPr="003C2248">
          <w:rPr>
            <w:rStyle w:val="Hyperlink"/>
          </w:rPr>
          <w:t xml:space="preserve">Gregory </w:t>
        </w:r>
        <w:proofErr w:type="spellStart"/>
        <w:r w:rsidR="003B1B02" w:rsidRPr="003C2248">
          <w:rPr>
            <w:rStyle w:val="Hyperlink"/>
          </w:rPr>
          <w:t>Herek</w:t>
        </w:r>
        <w:proofErr w:type="spellEnd"/>
        <w:r w:rsidR="006E154E" w:rsidRPr="003C2248">
          <w:rPr>
            <w:rStyle w:val="Hyperlink"/>
          </w:rPr>
          <w:t xml:space="preserve"> and others’</w:t>
        </w:r>
        <w:r w:rsidR="003B1B02" w:rsidRPr="003C2248">
          <w:rPr>
            <w:rStyle w:val="Hyperlink"/>
          </w:rPr>
          <w:t xml:space="preserve"> (1998)</w:t>
        </w:r>
      </w:hyperlink>
      <w:r w:rsidR="003B1B02">
        <w:t xml:space="preserve"> early research that the emotional impact of hate crime ‘hurts’ victims more, illustrate that the enhanced sentencing aspect of hate crime legislation symbolically addresses this additional layer of harm. However, the limitations of the Criminal Justice System are vast and the resulting impact on victims can mean that their engagement with it as a person affected by hate crime has the potential to do more damage. </w:t>
      </w:r>
    </w:p>
    <w:p w:rsidR="0086610B" w:rsidRDefault="003B1B02" w:rsidP="00126EAA">
      <w:r>
        <w:t>For example, t</w:t>
      </w:r>
      <w:r w:rsidR="00C80C77">
        <w:t xml:space="preserve">his ‘weapon’, </w:t>
      </w:r>
      <w:r>
        <w:t>as outlined by the Commission</w:t>
      </w:r>
      <w:r w:rsidR="002962BD">
        <w:t>, has its shortcomings</w:t>
      </w:r>
      <w:r w:rsidR="00C80C77">
        <w:t xml:space="preserve">. </w:t>
      </w:r>
      <w:r w:rsidR="0034457C">
        <w:t>I</w:t>
      </w:r>
      <w:r>
        <w:t>n cases brought under the 2003 Act</w:t>
      </w:r>
      <w:r w:rsidR="0034457C">
        <w:t>,</w:t>
      </w:r>
      <w:r>
        <w:t xml:space="preserve"> </w:t>
      </w:r>
      <w:r w:rsidR="00C80C77">
        <w:t>the judge is required to declare to the court that the sentence has been e</w:t>
      </w:r>
      <w:r w:rsidR="0034457C">
        <w:t>nhanced due to the hate element. However,</w:t>
      </w:r>
      <w:r w:rsidR="00C80C77">
        <w:t xml:space="preserve"> it is rarely</w:t>
      </w:r>
      <w:r w:rsidR="0034457C">
        <w:t xml:space="preserve"> – if ever – recorded elsewhere, thus</w:t>
      </w:r>
      <w:r w:rsidR="00C80C77">
        <w:t xml:space="preserve"> </w:t>
      </w:r>
      <w:r w:rsidR="0034457C">
        <w:t>f</w:t>
      </w:r>
      <w:r w:rsidR="003C701C">
        <w:t xml:space="preserve">or researchers seeking to assess the prevalence and efficacy of this sentencing provision, little data are available for review. </w:t>
      </w:r>
      <w:r w:rsidR="0034457C">
        <w:t>S</w:t>
      </w:r>
      <w:r w:rsidR="003C701C">
        <w:t xml:space="preserve">peculation </w:t>
      </w:r>
      <w:r w:rsidR="0034457C">
        <w:t xml:space="preserve">also </w:t>
      </w:r>
      <w:r w:rsidR="003C701C">
        <w:t xml:space="preserve">abounds </w:t>
      </w:r>
      <w:r w:rsidR="0034457C">
        <w:t xml:space="preserve">whether </w:t>
      </w:r>
      <w:r w:rsidR="003C701C">
        <w:t>this provision is being under</w:t>
      </w:r>
      <w:r>
        <w:t xml:space="preserve">-used </w:t>
      </w:r>
      <w:r w:rsidR="0086610B">
        <w:t xml:space="preserve">due to several factors such as </w:t>
      </w:r>
      <w:r w:rsidR="003C701C">
        <w:t>the motivation or hostility element be</w:t>
      </w:r>
      <w:r w:rsidR="0086610B">
        <w:t xml:space="preserve">ing difficult to prove; </w:t>
      </w:r>
      <w:r w:rsidR="003C701C">
        <w:t>the current</w:t>
      </w:r>
      <w:r w:rsidR="0086610B">
        <w:t xml:space="preserve"> system of plea-bargaining making </w:t>
      </w:r>
      <w:r w:rsidR="003C701C">
        <w:t xml:space="preserve">the </w:t>
      </w:r>
      <w:r w:rsidR="0086610B">
        <w:t>‘</w:t>
      </w:r>
      <w:r w:rsidR="003C701C" w:rsidRPr="003B1B02">
        <w:t>standard</w:t>
      </w:r>
      <w:r w:rsidR="0086610B">
        <w:t>’</w:t>
      </w:r>
      <w:r w:rsidR="003C701C">
        <w:t xml:space="preserve"> sentence look </w:t>
      </w:r>
      <w:r w:rsidR="003C701C" w:rsidRPr="002962BD">
        <w:t>more favourable</w:t>
      </w:r>
      <w:r w:rsidR="00126EAA">
        <w:t xml:space="preserve"> </w:t>
      </w:r>
      <w:r w:rsidR="0086610B">
        <w:t xml:space="preserve">than the enhanced version; or the absence of a </w:t>
      </w:r>
      <w:r w:rsidR="003C701C">
        <w:t xml:space="preserve">stigmatic labelling if the enhanced </w:t>
      </w:r>
      <w:r w:rsidR="003C701C">
        <w:lastRenderedPageBreak/>
        <w:t>element is dropped in return for a guilty plea</w:t>
      </w:r>
      <w:r w:rsidR="00126EAA">
        <w:t xml:space="preserve"> to the base offence</w:t>
      </w:r>
      <w:r w:rsidR="003C701C">
        <w:t xml:space="preserve">. </w:t>
      </w:r>
      <w:r w:rsidR="002962BD">
        <w:t>T</w:t>
      </w:r>
      <w:r w:rsidR="0086610B">
        <w:t>his latter point is important as to be an assailant is one thing, but</w:t>
      </w:r>
      <w:r w:rsidR="002962BD">
        <w:t xml:space="preserve"> a racist assailant quite another. </w:t>
      </w:r>
    </w:p>
    <w:p w:rsidR="00126EAA" w:rsidRDefault="00126EAA" w:rsidP="00126EAA">
      <w:r w:rsidRPr="00126EAA">
        <w:t xml:space="preserve">In effect, such a ‘weapon’ is largely tokenistic if it is being deployed in the manner for which it was designed. </w:t>
      </w:r>
      <w:r>
        <w:t xml:space="preserve">However, symbolism is important – especially to victims. </w:t>
      </w:r>
      <w:r w:rsidR="0038185D">
        <w:t>O</w:t>
      </w:r>
      <w:r w:rsidRPr="00126EAA">
        <w:t xml:space="preserve">ffering victims an </w:t>
      </w:r>
      <w:r w:rsidRPr="00126EAA">
        <w:rPr>
          <w:i/>
        </w:rPr>
        <w:t>additional</w:t>
      </w:r>
      <w:r w:rsidRPr="00126EAA">
        <w:t xml:space="preserve"> level of recognition </w:t>
      </w:r>
      <w:r w:rsidR="0038185D">
        <w:t>though</w:t>
      </w:r>
      <w:r>
        <w:t xml:space="preserve"> </w:t>
      </w:r>
      <w:r w:rsidRPr="00126EAA">
        <w:t>sentence uplift</w:t>
      </w:r>
      <w:r w:rsidR="0038185D">
        <w:t>s that are</w:t>
      </w:r>
      <w:r w:rsidRPr="00126EAA">
        <w:t xml:space="preserve"> subsequently </w:t>
      </w:r>
      <w:r w:rsidRPr="00126EAA">
        <w:rPr>
          <w:i/>
        </w:rPr>
        <w:t>unlikely</w:t>
      </w:r>
      <w:r w:rsidRPr="00126EAA">
        <w:t xml:space="preserve"> to be implemented suggests that </w:t>
      </w:r>
      <w:r w:rsidR="0038185D">
        <w:t xml:space="preserve">the system </w:t>
      </w:r>
      <w:r w:rsidRPr="00126EAA">
        <w:t xml:space="preserve">is not working in the victim’s interests when it matters. If it is (criminal) justice that a victim wants, then in many cases a successful conviction may provide this. However, if this is at the cost of recognising and </w:t>
      </w:r>
      <w:r w:rsidRPr="00126EAA">
        <w:rPr>
          <w:i/>
        </w:rPr>
        <w:t>then rejecting</w:t>
      </w:r>
      <w:r w:rsidRPr="00126EAA">
        <w:t xml:space="preserve"> the existence of the targeted or hostile element there is a danger that the victim may well be left in a worse emotional state exiting the criminal justice process than when they entered. </w:t>
      </w:r>
    </w:p>
    <w:p w:rsidR="002962BD" w:rsidRPr="002962BD" w:rsidRDefault="002962BD" w:rsidP="00126EAA">
      <w:pPr>
        <w:rPr>
          <w:b/>
        </w:rPr>
      </w:pPr>
      <w:r w:rsidRPr="002962BD">
        <w:rPr>
          <w:b/>
        </w:rPr>
        <w:t xml:space="preserve">Enhancement </w:t>
      </w:r>
      <w:r>
        <w:rPr>
          <w:b/>
        </w:rPr>
        <w:t>Provisions: Improve or Remove?</w:t>
      </w:r>
    </w:p>
    <w:p w:rsidR="002962BD" w:rsidRDefault="0038185D" w:rsidP="00F76353">
      <w:r>
        <w:t>T</w:t>
      </w:r>
      <w:r w:rsidR="00126EAA">
        <w:t>he Law Commission suggested that n</w:t>
      </w:r>
      <w:r w:rsidR="00126EAA" w:rsidRPr="00F76353">
        <w:t xml:space="preserve">ew </w:t>
      </w:r>
      <w:r w:rsidRPr="0038185D">
        <w:t xml:space="preserve">sentencing approach </w:t>
      </w:r>
      <w:r w:rsidR="00126EAA" w:rsidRPr="00F76353">
        <w:t xml:space="preserve">guidance from the </w:t>
      </w:r>
      <w:hyperlink r:id="rId15" w:history="1">
        <w:r w:rsidR="00126EAA" w:rsidRPr="003C2248">
          <w:rPr>
            <w:rStyle w:val="Hyperlink"/>
          </w:rPr>
          <w:t xml:space="preserve">Sentencing Council </w:t>
        </w:r>
      </w:hyperlink>
      <w:r w:rsidR="00126EAA">
        <w:t xml:space="preserve"> coupled with a more robust recording practice </w:t>
      </w:r>
      <w:r>
        <w:t xml:space="preserve">of </w:t>
      </w:r>
      <w:r w:rsidR="00126EAA" w:rsidRPr="00F76353">
        <w:t xml:space="preserve">enhanced sentencing </w:t>
      </w:r>
      <w:r>
        <w:t xml:space="preserve">cases </w:t>
      </w:r>
      <w:r w:rsidR="00126EAA">
        <w:t xml:space="preserve">would address the provision’s shortcoming. </w:t>
      </w:r>
      <w:r>
        <w:t xml:space="preserve">If adopted, </w:t>
      </w:r>
      <w:r w:rsidR="00126EAA">
        <w:t xml:space="preserve">the </w:t>
      </w:r>
      <w:r w:rsidR="002962BD">
        <w:t>Police National Computer</w:t>
      </w:r>
      <w:r w:rsidR="00126EAA" w:rsidRPr="00F76353">
        <w:t xml:space="preserve"> record will </w:t>
      </w:r>
      <w:r>
        <w:t xml:space="preserve">begin to </w:t>
      </w:r>
      <w:r w:rsidR="00126EAA" w:rsidRPr="00F76353">
        <w:t xml:space="preserve">show </w:t>
      </w:r>
      <w:r w:rsidR="00126EAA">
        <w:t xml:space="preserve">an offence prosecuted under the 2003 Act </w:t>
      </w:r>
      <w:r>
        <w:t xml:space="preserve">as being </w:t>
      </w:r>
      <w:r w:rsidR="00126EAA">
        <w:t xml:space="preserve">motivated </w:t>
      </w:r>
      <w:r w:rsidR="00126EAA" w:rsidRPr="00F76353">
        <w:t>by hostility, just as it would show a convict</w:t>
      </w:r>
      <w:r w:rsidR="00126EAA">
        <w:t xml:space="preserve">ion for an </w:t>
      </w:r>
      <w:r w:rsidR="00126EAA" w:rsidRPr="00126EAA">
        <w:t>aggravated offence</w:t>
      </w:r>
      <w:r w:rsidR="00126EAA">
        <w:t xml:space="preserve"> prosecuted under the 1998 Act. </w:t>
      </w:r>
      <w:r>
        <w:t xml:space="preserve">These </w:t>
      </w:r>
      <w:r w:rsidR="00126EAA" w:rsidRPr="00F76353">
        <w:t xml:space="preserve">reforms </w:t>
      </w:r>
      <w:r>
        <w:t xml:space="preserve">have been proposed regardless of </w:t>
      </w:r>
      <w:r w:rsidR="00126EAA" w:rsidRPr="00F76353">
        <w:t xml:space="preserve">whether </w:t>
      </w:r>
      <w:r w:rsidR="00126EAA">
        <w:t>the 1998 Act is</w:t>
      </w:r>
      <w:r w:rsidR="00126EAA" w:rsidRPr="00F76353">
        <w:t xml:space="preserve"> </w:t>
      </w:r>
      <w:r>
        <w:t>amended</w:t>
      </w:r>
      <w:r w:rsidR="00126EAA" w:rsidRPr="00F76353">
        <w:t>.</w:t>
      </w:r>
      <w:r w:rsidR="00126EAA">
        <w:t xml:space="preserve"> However, this requires keeping the enhanced sentence provision. </w:t>
      </w:r>
    </w:p>
    <w:p w:rsidR="00126EAA" w:rsidRDefault="002962BD" w:rsidP="00F76353">
      <w:r>
        <w:t>On the other hand, i</w:t>
      </w:r>
      <w:r w:rsidR="00126EAA">
        <w:t xml:space="preserve">f </w:t>
      </w:r>
      <w:r>
        <w:t>the uplift were to be removed</w:t>
      </w:r>
      <w:r w:rsidR="00126EAA">
        <w:t xml:space="preserve"> but the charge (and subsequent conviction) were to </w:t>
      </w:r>
      <w:r>
        <w:t>state that it was</w:t>
      </w:r>
      <w:r w:rsidR="00126EAA">
        <w:t xml:space="preserve"> for a ‘hate crime’, the recognition </w:t>
      </w:r>
      <w:r>
        <w:t xml:space="preserve">of the harm faced by the victim </w:t>
      </w:r>
      <w:r w:rsidR="00126EAA">
        <w:t xml:space="preserve">would still be there (and, if recording practices changed, </w:t>
      </w:r>
      <w:r>
        <w:t xml:space="preserve">it would also </w:t>
      </w:r>
      <w:r w:rsidR="00126EAA">
        <w:t xml:space="preserve">be on the offender’s record) thus the symbolism would still be in place for </w:t>
      </w:r>
      <w:r>
        <w:t>those in whose favour it works</w:t>
      </w:r>
      <w:r w:rsidR="00126EAA">
        <w:t>. Better data would be available for researchers and offenders would be more easily identified for programmes seeking to address hostility and prejudice with a view to</w:t>
      </w:r>
      <w:r w:rsidR="003C2248">
        <w:t xml:space="preserve"> preventing reoffending (see </w:t>
      </w:r>
      <w:r w:rsidR="003C2248" w:rsidRPr="003C2248">
        <w:t>Northern Ireland</w:t>
      </w:r>
      <w:r w:rsidR="003C2248">
        <w:t>’s</w:t>
      </w:r>
      <w:r w:rsidR="00126EAA">
        <w:t xml:space="preserve"> </w:t>
      </w:r>
      <w:hyperlink r:id="rId16" w:history="1">
        <w:r w:rsidR="00126EAA" w:rsidRPr="003C2248">
          <w:rPr>
            <w:rStyle w:val="Hyperlink"/>
            <w:i/>
          </w:rPr>
          <w:t>C</w:t>
        </w:r>
        <w:r w:rsidR="003C2248" w:rsidRPr="003C2248">
          <w:rPr>
            <w:rStyle w:val="Hyperlink"/>
            <w:i/>
          </w:rPr>
          <w:t>hallenge Hate Crimes project</w:t>
        </w:r>
      </w:hyperlink>
      <w:r w:rsidR="00126EAA">
        <w:t xml:space="preserve">).  </w:t>
      </w:r>
    </w:p>
    <w:p w:rsidR="00BA0061" w:rsidRDefault="008427FE">
      <w:r>
        <w:t xml:space="preserve">Is </w:t>
      </w:r>
      <w:r w:rsidR="00126EAA">
        <w:t>enhanced sentencing is proving more reductive than prod</w:t>
      </w:r>
      <w:r>
        <w:t>uctive in addressing hate crime?</w:t>
      </w:r>
      <w:r w:rsidR="00126EAA">
        <w:t xml:space="preserve"> In t</w:t>
      </w:r>
      <w:r w:rsidR="00BA0061">
        <w:t xml:space="preserve">he Republic of </w:t>
      </w:r>
      <w:r w:rsidR="005608A0">
        <w:t xml:space="preserve">Ireland, consultations are currently ongoing with a number of statutory, </w:t>
      </w:r>
      <w:proofErr w:type="gramStart"/>
      <w:r w:rsidR="005608A0">
        <w:t>community</w:t>
      </w:r>
      <w:proofErr w:type="gramEnd"/>
      <w:r w:rsidR="000C2F7F">
        <w:t>,</w:t>
      </w:r>
      <w:r w:rsidR="005608A0">
        <w:t xml:space="preserve"> voluntary and academic organisations regarding the establishm</w:t>
      </w:r>
      <w:r w:rsidR="00BA0061">
        <w:t>ent of hate crime legislation. Therefore, the country is in a strategic position to learn from comparable areas what work</w:t>
      </w:r>
      <w:r>
        <w:t>s</w:t>
      </w:r>
      <w:r w:rsidR="00BA0061">
        <w:t xml:space="preserve"> when it comes to effective and impactful hate crime </w:t>
      </w:r>
      <w:r w:rsidR="00422971">
        <w:t>laws</w:t>
      </w:r>
      <w:r w:rsidR="00BA0061">
        <w:t xml:space="preserve">. </w:t>
      </w:r>
      <w:r w:rsidR="001D73D2">
        <w:t xml:space="preserve">Having </w:t>
      </w:r>
      <w:proofErr w:type="gramStart"/>
      <w:r w:rsidR="00422971">
        <w:t>them</w:t>
      </w:r>
      <w:proofErr w:type="gramEnd"/>
      <w:r w:rsidR="00422971">
        <w:t xml:space="preserve"> </w:t>
      </w:r>
      <w:r w:rsidR="001D73D2">
        <w:t xml:space="preserve">sends a symbolic message both that a particular form of hostility exists in a society and those in positions of power tasked with governance of that society are committed to addressing it. However, </w:t>
      </w:r>
      <w:r w:rsidR="00C87AEE">
        <w:t xml:space="preserve">such laws will remain merely symbolic if the desire </w:t>
      </w:r>
      <w:r w:rsidR="00422971">
        <w:t xml:space="preserve">– or ability – </w:t>
      </w:r>
      <w:r w:rsidR="00C87AEE">
        <w:t xml:space="preserve">to </w:t>
      </w:r>
      <w:r w:rsidR="00422971">
        <w:t xml:space="preserve">fully </w:t>
      </w:r>
      <w:r w:rsidR="00C87AEE">
        <w:t xml:space="preserve">implement them is absent. </w:t>
      </w:r>
    </w:p>
    <w:p w:rsidR="006E154E" w:rsidRDefault="006E154E"/>
    <w:p w:rsidR="006E154E" w:rsidRDefault="006E154E"/>
    <w:p w:rsidR="006E154E" w:rsidRPr="006E154E" w:rsidRDefault="006E154E">
      <w:pPr>
        <w:rPr>
          <w:b/>
        </w:rPr>
      </w:pPr>
      <w:r w:rsidRPr="006E154E">
        <w:rPr>
          <w:b/>
        </w:rPr>
        <w:t>References</w:t>
      </w:r>
    </w:p>
    <w:p w:rsidR="006E154E" w:rsidRDefault="006E154E" w:rsidP="006E154E">
      <w:pPr>
        <w:rPr>
          <w:lang w:val="en-US"/>
        </w:rPr>
      </w:pPr>
      <w:bookmarkStart w:id="0" w:name="_GoBack"/>
      <w:bookmarkEnd w:id="0"/>
      <w:proofErr w:type="spellStart"/>
      <w:r>
        <w:rPr>
          <w:lang w:val="en-US"/>
        </w:rPr>
        <w:t>Herek</w:t>
      </w:r>
      <w:proofErr w:type="spellEnd"/>
      <w:r>
        <w:rPr>
          <w:lang w:val="en-US"/>
        </w:rPr>
        <w:t xml:space="preserve">, G., Gillis, J., and Cogan, J. (1999) ‘Psychological </w:t>
      </w:r>
      <w:proofErr w:type="spellStart"/>
      <w:r>
        <w:rPr>
          <w:lang w:val="en-US"/>
        </w:rPr>
        <w:t>Sequelae</w:t>
      </w:r>
      <w:proofErr w:type="spellEnd"/>
      <w:r>
        <w:rPr>
          <w:lang w:val="en-US"/>
        </w:rPr>
        <w:t xml:space="preserve"> of Hate-Crime Victimization among Lesbian, Gay, and Bisexual Adults’, Journal of Consulting and Clinical Psychology, 67 (6):945-51.  </w:t>
      </w:r>
    </w:p>
    <w:p w:rsidR="006E154E" w:rsidRDefault="006E154E" w:rsidP="006E154E">
      <w:pPr>
        <w:rPr>
          <w:lang w:val="en-US"/>
        </w:rPr>
      </w:pPr>
      <w:r>
        <w:rPr>
          <w:lang w:val="en-US"/>
        </w:rPr>
        <w:lastRenderedPageBreak/>
        <w:t xml:space="preserve">Iganski, P., Ainsworth, K, </w:t>
      </w:r>
      <w:proofErr w:type="spellStart"/>
      <w:r>
        <w:rPr>
          <w:lang w:val="en-US"/>
        </w:rPr>
        <w:t>Geraghty</w:t>
      </w:r>
      <w:proofErr w:type="spellEnd"/>
      <w:r>
        <w:rPr>
          <w:lang w:val="en-US"/>
        </w:rPr>
        <w:t xml:space="preserve">, L., </w:t>
      </w:r>
      <w:proofErr w:type="spellStart"/>
      <w:r>
        <w:rPr>
          <w:lang w:val="en-US"/>
        </w:rPr>
        <w:t>Lagou</w:t>
      </w:r>
      <w:proofErr w:type="spellEnd"/>
      <w:r>
        <w:rPr>
          <w:lang w:val="en-US"/>
        </w:rPr>
        <w:t xml:space="preserve">, S. and Patel, N. (2014) Understanding how ‘hate’ hurts; a case study of working with offenders and potential offenders’, in </w:t>
      </w:r>
      <w:r w:rsidRPr="006E154E">
        <w:rPr>
          <w:lang w:val="en-US"/>
        </w:rPr>
        <w:t xml:space="preserve">N. Chakraborti and J. Garland (Eds.) </w:t>
      </w:r>
      <w:r w:rsidRPr="006E154E">
        <w:rPr>
          <w:i/>
          <w:lang w:val="en-US"/>
        </w:rPr>
        <w:t>Responding to Hate Crime: The Case for Connecting Policy and Research.</w:t>
      </w:r>
      <w:r w:rsidRPr="006E154E">
        <w:rPr>
          <w:lang w:val="en-US"/>
        </w:rPr>
        <w:t xml:space="preserve"> Bristol: The Policy Press</w:t>
      </w:r>
      <w:r>
        <w:rPr>
          <w:lang w:val="en-US"/>
        </w:rPr>
        <w:t>.</w:t>
      </w:r>
    </w:p>
    <w:p w:rsidR="006E154E" w:rsidRDefault="006E154E" w:rsidP="006E154E">
      <w:pPr>
        <w:rPr>
          <w:lang w:val="en-US"/>
        </w:rPr>
      </w:pPr>
      <w:r>
        <w:rPr>
          <w:lang w:val="en-US"/>
        </w:rPr>
        <w:t xml:space="preserve">Perry, J. (2014) ‘Evidencing the case for hate crime’, in N. Chakraborti and J. Garland (Eds.) </w:t>
      </w:r>
      <w:r w:rsidRPr="006E154E">
        <w:rPr>
          <w:i/>
          <w:lang w:val="en-US"/>
        </w:rPr>
        <w:t>Responding to Hate Crime: The Case for Connecting Policy and Research.</w:t>
      </w:r>
      <w:r>
        <w:rPr>
          <w:lang w:val="en-US"/>
        </w:rPr>
        <w:t xml:space="preserve"> Bristol: The Policy Press. </w:t>
      </w:r>
    </w:p>
    <w:p w:rsidR="006E154E" w:rsidRDefault="006E154E" w:rsidP="006E154E">
      <w:pPr>
        <w:rPr>
          <w:lang w:val="en-US"/>
        </w:rPr>
      </w:pPr>
      <w:r>
        <w:rPr>
          <w:lang w:val="en-US"/>
        </w:rPr>
        <w:t xml:space="preserve">Walters, M. A. (2014) ‘Restorative approaches to working with hate crime offenders’, in </w:t>
      </w:r>
      <w:r w:rsidRPr="006E154E">
        <w:rPr>
          <w:lang w:val="en-US"/>
        </w:rPr>
        <w:t xml:space="preserve">N. Chakraborti and J. Garland (Eds.) </w:t>
      </w:r>
      <w:r w:rsidRPr="006E154E">
        <w:rPr>
          <w:i/>
          <w:lang w:val="en-US"/>
        </w:rPr>
        <w:t>Responding to Hate Crime: The Case for Connecting Policy and Research.</w:t>
      </w:r>
      <w:r w:rsidRPr="006E154E">
        <w:rPr>
          <w:lang w:val="en-US"/>
        </w:rPr>
        <w:t xml:space="preserve"> Bristol: The Policy Press</w:t>
      </w:r>
      <w:r>
        <w:rPr>
          <w:lang w:val="en-US"/>
        </w:rPr>
        <w:t>.</w:t>
      </w:r>
    </w:p>
    <w:p w:rsidR="006E154E" w:rsidRPr="006E154E" w:rsidRDefault="006E154E" w:rsidP="006E154E">
      <w:pPr>
        <w:rPr>
          <w:i/>
          <w:lang w:val="en-US"/>
        </w:rPr>
      </w:pPr>
    </w:p>
    <w:p w:rsidR="006E154E" w:rsidRDefault="006E154E"/>
    <w:sectPr w:rsidR="006E15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B30CB"/>
    <w:multiLevelType w:val="hybridMultilevel"/>
    <w:tmpl w:val="0D0E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EE6483D"/>
    <w:multiLevelType w:val="multilevel"/>
    <w:tmpl w:val="1BF6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39B105E"/>
    <w:multiLevelType w:val="multilevel"/>
    <w:tmpl w:val="51C0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136"/>
    <w:rsid w:val="00000281"/>
    <w:rsid w:val="00023975"/>
    <w:rsid w:val="00023A03"/>
    <w:rsid w:val="00030075"/>
    <w:rsid w:val="00035D78"/>
    <w:rsid w:val="00041E9F"/>
    <w:rsid w:val="00042A7B"/>
    <w:rsid w:val="000432B4"/>
    <w:rsid w:val="00043D75"/>
    <w:rsid w:val="000507A6"/>
    <w:rsid w:val="0005309C"/>
    <w:rsid w:val="00056E0F"/>
    <w:rsid w:val="000656F8"/>
    <w:rsid w:val="0006617A"/>
    <w:rsid w:val="00070832"/>
    <w:rsid w:val="00077F65"/>
    <w:rsid w:val="000814CF"/>
    <w:rsid w:val="00084458"/>
    <w:rsid w:val="00087B80"/>
    <w:rsid w:val="00090872"/>
    <w:rsid w:val="000964AB"/>
    <w:rsid w:val="00097ECA"/>
    <w:rsid w:val="000A2B7C"/>
    <w:rsid w:val="000A5DDB"/>
    <w:rsid w:val="000A789C"/>
    <w:rsid w:val="000B1AD6"/>
    <w:rsid w:val="000B3693"/>
    <w:rsid w:val="000B5F49"/>
    <w:rsid w:val="000B5F80"/>
    <w:rsid w:val="000B7C12"/>
    <w:rsid w:val="000C28E8"/>
    <w:rsid w:val="000C29F3"/>
    <w:rsid w:val="000C2F7F"/>
    <w:rsid w:val="000C778B"/>
    <w:rsid w:val="000E0D32"/>
    <w:rsid w:val="000F7C45"/>
    <w:rsid w:val="00105F3A"/>
    <w:rsid w:val="00117809"/>
    <w:rsid w:val="00120B97"/>
    <w:rsid w:val="001259AB"/>
    <w:rsid w:val="00126075"/>
    <w:rsid w:val="00126EAA"/>
    <w:rsid w:val="00134559"/>
    <w:rsid w:val="0013463E"/>
    <w:rsid w:val="0015462D"/>
    <w:rsid w:val="001667CC"/>
    <w:rsid w:val="00172125"/>
    <w:rsid w:val="00181E87"/>
    <w:rsid w:val="001846B6"/>
    <w:rsid w:val="00184D6C"/>
    <w:rsid w:val="001856F0"/>
    <w:rsid w:val="00192486"/>
    <w:rsid w:val="001A0DC4"/>
    <w:rsid w:val="001A46AB"/>
    <w:rsid w:val="001A4928"/>
    <w:rsid w:val="001A677F"/>
    <w:rsid w:val="001C1006"/>
    <w:rsid w:val="001C389C"/>
    <w:rsid w:val="001D2F65"/>
    <w:rsid w:val="001D4B26"/>
    <w:rsid w:val="001D5E8F"/>
    <w:rsid w:val="001D73D2"/>
    <w:rsid w:val="001E13B4"/>
    <w:rsid w:val="001E1767"/>
    <w:rsid w:val="001F0F72"/>
    <w:rsid w:val="0020546B"/>
    <w:rsid w:val="002070CC"/>
    <w:rsid w:val="002077A5"/>
    <w:rsid w:val="00214C5A"/>
    <w:rsid w:val="0021720C"/>
    <w:rsid w:val="00220F7E"/>
    <w:rsid w:val="00225098"/>
    <w:rsid w:val="00231033"/>
    <w:rsid w:val="00237389"/>
    <w:rsid w:val="002460FD"/>
    <w:rsid w:val="00253099"/>
    <w:rsid w:val="00255DAA"/>
    <w:rsid w:val="00255F31"/>
    <w:rsid w:val="002712A1"/>
    <w:rsid w:val="00274D1F"/>
    <w:rsid w:val="00283D81"/>
    <w:rsid w:val="00286A99"/>
    <w:rsid w:val="002907CF"/>
    <w:rsid w:val="002952EC"/>
    <w:rsid w:val="00296039"/>
    <w:rsid w:val="002962BD"/>
    <w:rsid w:val="002A0DAB"/>
    <w:rsid w:val="002A3753"/>
    <w:rsid w:val="002A67CB"/>
    <w:rsid w:val="002C2336"/>
    <w:rsid w:val="002D0FE0"/>
    <w:rsid w:val="002D190F"/>
    <w:rsid w:val="002E640E"/>
    <w:rsid w:val="002F2A35"/>
    <w:rsid w:val="002F40DD"/>
    <w:rsid w:val="002F5CE4"/>
    <w:rsid w:val="003015D5"/>
    <w:rsid w:val="003065B2"/>
    <w:rsid w:val="00320461"/>
    <w:rsid w:val="00320B9F"/>
    <w:rsid w:val="003240DB"/>
    <w:rsid w:val="00325E26"/>
    <w:rsid w:val="00333FB1"/>
    <w:rsid w:val="00337274"/>
    <w:rsid w:val="0034186F"/>
    <w:rsid w:val="00344340"/>
    <w:rsid w:val="0034457C"/>
    <w:rsid w:val="003455A1"/>
    <w:rsid w:val="00360558"/>
    <w:rsid w:val="00363F7D"/>
    <w:rsid w:val="003703EB"/>
    <w:rsid w:val="0038185D"/>
    <w:rsid w:val="00386163"/>
    <w:rsid w:val="00390018"/>
    <w:rsid w:val="003A5794"/>
    <w:rsid w:val="003B1B02"/>
    <w:rsid w:val="003C2248"/>
    <w:rsid w:val="003C640A"/>
    <w:rsid w:val="003C701C"/>
    <w:rsid w:val="003E5362"/>
    <w:rsid w:val="003E6596"/>
    <w:rsid w:val="003E6B41"/>
    <w:rsid w:val="003F38E3"/>
    <w:rsid w:val="003F3C18"/>
    <w:rsid w:val="003F4A63"/>
    <w:rsid w:val="00400D17"/>
    <w:rsid w:val="004172E9"/>
    <w:rsid w:val="00422971"/>
    <w:rsid w:val="00422DC2"/>
    <w:rsid w:val="00442850"/>
    <w:rsid w:val="0044489B"/>
    <w:rsid w:val="0044749B"/>
    <w:rsid w:val="00447968"/>
    <w:rsid w:val="00456724"/>
    <w:rsid w:val="00462BFF"/>
    <w:rsid w:val="00485213"/>
    <w:rsid w:val="004A7EA2"/>
    <w:rsid w:val="004B21C1"/>
    <w:rsid w:val="004C0DCB"/>
    <w:rsid w:val="004C14B8"/>
    <w:rsid w:val="004C18D4"/>
    <w:rsid w:val="004C289F"/>
    <w:rsid w:val="004E73C6"/>
    <w:rsid w:val="004F073B"/>
    <w:rsid w:val="005212F1"/>
    <w:rsid w:val="00521B62"/>
    <w:rsid w:val="00547C8F"/>
    <w:rsid w:val="00550F5E"/>
    <w:rsid w:val="00551762"/>
    <w:rsid w:val="00551A18"/>
    <w:rsid w:val="00555426"/>
    <w:rsid w:val="005608A0"/>
    <w:rsid w:val="00561D0A"/>
    <w:rsid w:val="0057085A"/>
    <w:rsid w:val="00570B2E"/>
    <w:rsid w:val="005744F7"/>
    <w:rsid w:val="00582ECD"/>
    <w:rsid w:val="00583038"/>
    <w:rsid w:val="00593F9D"/>
    <w:rsid w:val="0059783A"/>
    <w:rsid w:val="005A0042"/>
    <w:rsid w:val="005A20E5"/>
    <w:rsid w:val="005A4310"/>
    <w:rsid w:val="005C61AC"/>
    <w:rsid w:val="005D2B16"/>
    <w:rsid w:val="005D42CD"/>
    <w:rsid w:val="005D70BD"/>
    <w:rsid w:val="005E1C73"/>
    <w:rsid w:val="005F37C7"/>
    <w:rsid w:val="00623FB3"/>
    <w:rsid w:val="00624A2F"/>
    <w:rsid w:val="0062713C"/>
    <w:rsid w:val="00637228"/>
    <w:rsid w:val="006427EA"/>
    <w:rsid w:val="00646C6F"/>
    <w:rsid w:val="006527DE"/>
    <w:rsid w:val="00657395"/>
    <w:rsid w:val="0068587F"/>
    <w:rsid w:val="006945ED"/>
    <w:rsid w:val="006A3167"/>
    <w:rsid w:val="006A5F6F"/>
    <w:rsid w:val="006A628C"/>
    <w:rsid w:val="006B0546"/>
    <w:rsid w:val="006C23A0"/>
    <w:rsid w:val="006D069F"/>
    <w:rsid w:val="006D48E7"/>
    <w:rsid w:val="006D57A1"/>
    <w:rsid w:val="006D63C2"/>
    <w:rsid w:val="006D7420"/>
    <w:rsid w:val="006E0FDA"/>
    <w:rsid w:val="006E154E"/>
    <w:rsid w:val="006E155C"/>
    <w:rsid w:val="006F6D5F"/>
    <w:rsid w:val="00702F5E"/>
    <w:rsid w:val="007061F5"/>
    <w:rsid w:val="0070666B"/>
    <w:rsid w:val="00706DA4"/>
    <w:rsid w:val="00711E3C"/>
    <w:rsid w:val="00720D38"/>
    <w:rsid w:val="00724BEA"/>
    <w:rsid w:val="00732C98"/>
    <w:rsid w:val="00734136"/>
    <w:rsid w:val="007372C4"/>
    <w:rsid w:val="00741644"/>
    <w:rsid w:val="00752BF7"/>
    <w:rsid w:val="0075735A"/>
    <w:rsid w:val="0076533B"/>
    <w:rsid w:val="007802F0"/>
    <w:rsid w:val="00785286"/>
    <w:rsid w:val="00785DB4"/>
    <w:rsid w:val="00791606"/>
    <w:rsid w:val="00795FF2"/>
    <w:rsid w:val="0079781E"/>
    <w:rsid w:val="007B4E3D"/>
    <w:rsid w:val="007D6AC3"/>
    <w:rsid w:val="007E496B"/>
    <w:rsid w:val="007E630A"/>
    <w:rsid w:val="007F4F72"/>
    <w:rsid w:val="007F6719"/>
    <w:rsid w:val="00803899"/>
    <w:rsid w:val="00804996"/>
    <w:rsid w:val="008264A5"/>
    <w:rsid w:val="0082695A"/>
    <w:rsid w:val="00832BF6"/>
    <w:rsid w:val="008358E2"/>
    <w:rsid w:val="008361D1"/>
    <w:rsid w:val="008427FE"/>
    <w:rsid w:val="008437B2"/>
    <w:rsid w:val="0084788E"/>
    <w:rsid w:val="008551EF"/>
    <w:rsid w:val="008575AA"/>
    <w:rsid w:val="00864965"/>
    <w:rsid w:val="0086610B"/>
    <w:rsid w:val="0087398B"/>
    <w:rsid w:val="00873C9E"/>
    <w:rsid w:val="00874EAC"/>
    <w:rsid w:val="0088213B"/>
    <w:rsid w:val="008833E4"/>
    <w:rsid w:val="00895B0B"/>
    <w:rsid w:val="00896B58"/>
    <w:rsid w:val="008A3760"/>
    <w:rsid w:val="008B0C08"/>
    <w:rsid w:val="008B2174"/>
    <w:rsid w:val="008B44F8"/>
    <w:rsid w:val="008C3925"/>
    <w:rsid w:val="008C5BE4"/>
    <w:rsid w:val="008C78E9"/>
    <w:rsid w:val="008D6A7C"/>
    <w:rsid w:val="008D7583"/>
    <w:rsid w:val="008D7884"/>
    <w:rsid w:val="008E503E"/>
    <w:rsid w:val="008E61A4"/>
    <w:rsid w:val="008E7EBA"/>
    <w:rsid w:val="008F58D4"/>
    <w:rsid w:val="009010D8"/>
    <w:rsid w:val="00901EDE"/>
    <w:rsid w:val="00902371"/>
    <w:rsid w:val="00903EAA"/>
    <w:rsid w:val="00906AEB"/>
    <w:rsid w:val="00911A79"/>
    <w:rsid w:val="00923081"/>
    <w:rsid w:val="0092378D"/>
    <w:rsid w:val="0092630F"/>
    <w:rsid w:val="00926883"/>
    <w:rsid w:val="00931B59"/>
    <w:rsid w:val="00960051"/>
    <w:rsid w:val="00964814"/>
    <w:rsid w:val="009676F7"/>
    <w:rsid w:val="009702E1"/>
    <w:rsid w:val="00970875"/>
    <w:rsid w:val="00973AF1"/>
    <w:rsid w:val="00980CDB"/>
    <w:rsid w:val="0098404C"/>
    <w:rsid w:val="00987840"/>
    <w:rsid w:val="00990C75"/>
    <w:rsid w:val="00994DB2"/>
    <w:rsid w:val="009A0887"/>
    <w:rsid w:val="009A1773"/>
    <w:rsid w:val="009A3B06"/>
    <w:rsid w:val="009A5573"/>
    <w:rsid w:val="009B14EA"/>
    <w:rsid w:val="009B3B88"/>
    <w:rsid w:val="009C25CE"/>
    <w:rsid w:val="009E359B"/>
    <w:rsid w:val="009E4F44"/>
    <w:rsid w:val="009E77CD"/>
    <w:rsid w:val="00A00F77"/>
    <w:rsid w:val="00A07BB2"/>
    <w:rsid w:val="00A11315"/>
    <w:rsid w:val="00A12C14"/>
    <w:rsid w:val="00A1643E"/>
    <w:rsid w:val="00A4085C"/>
    <w:rsid w:val="00A41CC6"/>
    <w:rsid w:val="00A4304F"/>
    <w:rsid w:val="00A51D6E"/>
    <w:rsid w:val="00A61516"/>
    <w:rsid w:val="00A61FA9"/>
    <w:rsid w:val="00A64125"/>
    <w:rsid w:val="00A66520"/>
    <w:rsid w:val="00A77444"/>
    <w:rsid w:val="00A81753"/>
    <w:rsid w:val="00A81877"/>
    <w:rsid w:val="00A86028"/>
    <w:rsid w:val="00A9219A"/>
    <w:rsid w:val="00A94DE6"/>
    <w:rsid w:val="00AA2928"/>
    <w:rsid w:val="00AA5618"/>
    <w:rsid w:val="00AA65D9"/>
    <w:rsid w:val="00AA6F8B"/>
    <w:rsid w:val="00AB1807"/>
    <w:rsid w:val="00AB2DE0"/>
    <w:rsid w:val="00AB33A5"/>
    <w:rsid w:val="00AC00F2"/>
    <w:rsid w:val="00AC028C"/>
    <w:rsid w:val="00AD08C5"/>
    <w:rsid w:val="00AD2CCD"/>
    <w:rsid w:val="00AE48E9"/>
    <w:rsid w:val="00AF6D25"/>
    <w:rsid w:val="00B02516"/>
    <w:rsid w:val="00B13980"/>
    <w:rsid w:val="00B161B9"/>
    <w:rsid w:val="00B222DD"/>
    <w:rsid w:val="00B22D5C"/>
    <w:rsid w:val="00B24338"/>
    <w:rsid w:val="00B27295"/>
    <w:rsid w:val="00B30746"/>
    <w:rsid w:val="00B30879"/>
    <w:rsid w:val="00B319C6"/>
    <w:rsid w:val="00B40E9B"/>
    <w:rsid w:val="00B4652A"/>
    <w:rsid w:val="00B5044B"/>
    <w:rsid w:val="00B617A9"/>
    <w:rsid w:val="00B80FC3"/>
    <w:rsid w:val="00B818EF"/>
    <w:rsid w:val="00B92FAD"/>
    <w:rsid w:val="00B93481"/>
    <w:rsid w:val="00B97F99"/>
    <w:rsid w:val="00BA0061"/>
    <w:rsid w:val="00BA1126"/>
    <w:rsid w:val="00BA3E91"/>
    <w:rsid w:val="00BA4AB3"/>
    <w:rsid w:val="00BB0827"/>
    <w:rsid w:val="00BB340C"/>
    <w:rsid w:val="00BB63C9"/>
    <w:rsid w:val="00BB7233"/>
    <w:rsid w:val="00BC6A3B"/>
    <w:rsid w:val="00BD0C3D"/>
    <w:rsid w:val="00BD3A6C"/>
    <w:rsid w:val="00BD7D1E"/>
    <w:rsid w:val="00BE2326"/>
    <w:rsid w:val="00BE7A64"/>
    <w:rsid w:val="00BF5D14"/>
    <w:rsid w:val="00C02348"/>
    <w:rsid w:val="00C03CF0"/>
    <w:rsid w:val="00C04F88"/>
    <w:rsid w:val="00C05691"/>
    <w:rsid w:val="00C07283"/>
    <w:rsid w:val="00C22565"/>
    <w:rsid w:val="00C252D2"/>
    <w:rsid w:val="00C323BC"/>
    <w:rsid w:val="00C47A16"/>
    <w:rsid w:val="00C51485"/>
    <w:rsid w:val="00C541AE"/>
    <w:rsid w:val="00C55114"/>
    <w:rsid w:val="00C57CFF"/>
    <w:rsid w:val="00C65D3C"/>
    <w:rsid w:val="00C74423"/>
    <w:rsid w:val="00C77D68"/>
    <w:rsid w:val="00C80C77"/>
    <w:rsid w:val="00C81CAA"/>
    <w:rsid w:val="00C87AEE"/>
    <w:rsid w:val="00CB2018"/>
    <w:rsid w:val="00CB66DA"/>
    <w:rsid w:val="00CC0810"/>
    <w:rsid w:val="00CC2770"/>
    <w:rsid w:val="00CD0471"/>
    <w:rsid w:val="00CE7320"/>
    <w:rsid w:val="00CF1EE1"/>
    <w:rsid w:val="00CF22E5"/>
    <w:rsid w:val="00CF586B"/>
    <w:rsid w:val="00CF6863"/>
    <w:rsid w:val="00D0275D"/>
    <w:rsid w:val="00D04CED"/>
    <w:rsid w:val="00D347EE"/>
    <w:rsid w:val="00D36598"/>
    <w:rsid w:val="00D36DA8"/>
    <w:rsid w:val="00D501FC"/>
    <w:rsid w:val="00D55123"/>
    <w:rsid w:val="00D5609F"/>
    <w:rsid w:val="00D64F99"/>
    <w:rsid w:val="00D767E3"/>
    <w:rsid w:val="00D976B7"/>
    <w:rsid w:val="00DB1675"/>
    <w:rsid w:val="00DB56AA"/>
    <w:rsid w:val="00DE24F9"/>
    <w:rsid w:val="00DE2F38"/>
    <w:rsid w:val="00DF0928"/>
    <w:rsid w:val="00DF4B76"/>
    <w:rsid w:val="00DF7585"/>
    <w:rsid w:val="00E06F16"/>
    <w:rsid w:val="00E07C47"/>
    <w:rsid w:val="00E42082"/>
    <w:rsid w:val="00E4600C"/>
    <w:rsid w:val="00E51533"/>
    <w:rsid w:val="00E54EA5"/>
    <w:rsid w:val="00E55C93"/>
    <w:rsid w:val="00E57158"/>
    <w:rsid w:val="00E63A81"/>
    <w:rsid w:val="00E7006A"/>
    <w:rsid w:val="00E77647"/>
    <w:rsid w:val="00E77FCC"/>
    <w:rsid w:val="00E9597F"/>
    <w:rsid w:val="00EA256D"/>
    <w:rsid w:val="00EA5458"/>
    <w:rsid w:val="00EB2172"/>
    <w:rsid w:val="00EB6308"/>
    <w:rsid w:val="00EB6E39"/>
    <w:rsid w:val="00ED05EB"/>
    <w:rsid w:val="00ED14B6"/>
    <w:rsid w:val="00ED4593"/>
    <w:rsid w:val="00EF2892"/>
    <w:rsid w:val="00EF443D"/>
    <w:rsid w:val="00EF6069"/>
    <w:rsid w:val="00F0456F"/>
    <w:rsid w:val="00F13AF8"/>
    <w:rsid w:val="00F1728B"/>
    <w:rsid w:val="00F17E30"/>
    <w:rsid w:val="00F23EC9"/>
    <w:rsid w:val="00F25E60"/>
    <w:rsid w:val="00F3082D"/>
    <w:rsid w:val="00F43046"/>
    <w:rsid w:val="00F43B05"/>
    <w:rsid w:val="00F508C2"/>
    <w:rsid w:val="00F560DB"/>
    <w:rsid w:val="00F67008"/>
    <w:rsid w:val="00F67744"/>
    <w:rsid w:val="00F76353"/>
    <w:rsid w:val="00F91ED7"/>
    <w:rsid w:val="00F937F0"/>
    <w:rsid w:val="00FA113E"/>
    <w:rsid w:val="00FA12AD"/>
    <w:rsid w:val="00FA1936"/>
    <w:rsid w:val="00FA44D8"/>
    <w:rsid w:val="00FA4E82"/>
    <w:rsid w:val="00FA6F48"/>
    <w:rsid w:val="00FA71E5"/>
    <w:rsid w:val="00FC0C45"/>
    <w:rsid w:val="00FC0F42"/>
    <w:rsid w:val="00FD1CC4"/>
    <w:rsid w:val="00FD57D9"/>
    <w:rsid w:val="00FD6478"/>
    <w:rsid w:val="00FE4A6A"/>
    <w:rsid w:val="00FE4B9A"/>
    <w:rsid w:val="00FF3D5D"/>
    <w:rsid w:val="00FF3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63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35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11315"/>
    <w:pPr>
      <w:ind w:left="720"/>
      <w:contextualSpacing/>
    </w:pPr>
  </w:style>
  <w:style w:type="character" w:styleId="Hyperlink">
    <w:name w:val="Hyperlink"/>
    <w:basedOn w:val="DefaultParagraphFont"/>
    <w:uiPriority w:val="99"/>
    <w:unhideWhenUsed/>
    <w:rsid w:val="00DF7585"/>
    <w:rPr>
      <w:color w:val="0000FF" w:themeColor="hyperlink"/>
      <w:u w:val="single"/>
    </w:rPr>
  </w:style>
  <w:style w:type="character" w:styleId="CommentReference">
    <w:name w:val="annotation reference"/>
    <w:basedOn w:val="DefaultParagraphFont"/>
    <w:uiPriority w:val="99"/>
    <w:semiHidden/>
    <w:unhideWhenUsed/>
    <w:rsid w:val="000C2F7F"/>
    <w:rPr>
      <w:sz w:val="16"/>
      <w:szCs w:val="16"/>
    </w:rPr>
  </w:style>
  <w:style w:type="paragraph" w:styleId="CommentText">
    <w:name w:val="annotation text"/>
    <w:basedOn w:val="Normal"/>
    <w:link w:val="CommentTextChar"/>
    <w:uiPriority w:val="99"/>
    <w:semiHidden/>
    <w:unhideWhenUsed/>
    <w:rsid w:val="000C2F7F"/>
    <w:pPr>
      <w:spacing w:line="240" w:lineRule="auto"/>
    </w:pPr>
    <w:rPr>
      <w:sz w:val="20"/>
      <w:szCs w:val="20"/>
    </w:rPr>
  </w:style>
  <w:style w:type="character" w:customStyle="1" w:styleId="CommentTextChar">
    <w:name w:val="Comment Text Char"/>
    <w:basedOn w:val="DefaultParagraphFont"/>
    <w:link w:val="CommentText"/>
    <w:uiPriority w:val="99"/>
    <w:semiHidden/>
    <w:rsid w:val="000C2F7F"/>
    <w:rPr>
      <w:sz w:val="20"/>
      <w:szCs w:val="20"/>
    </w:rPr>
  </w:style>
  <w:style w:type="paragraph" w:styleId="CommentSubject">
    <w:name w:val="annotation subject"/>
    <w:basedOn w:val="CommentText"/>
    <w:next w:val="CommentText"/>
    <w:link w:val="CommentSubjectChar"/>
    <w:uiPriority w:val="99"/>
    <w:semiHidden/>
    <w:unhideWhenUsed/>
    <w:rsid w:val="000C2F7F"/>
    <w:rPr>
      <w:b/>
      <w:bCs/>
    </w:rPr>
  </w:style>
  <w:style w:type="character" w:customStyle="1" w:styleId="CommentSubjectChar">
    <w:name w:val="Comment Subject Char"/>
    <w:basedOn w:val="CommentTextChar"/>
    <w:link w:val="CommentSubject"/>
    <w:uiPriority w:val="99"/>
    <w:semiHidden/>
    <w:rsid w:val="000C2F7F"/>
    <w:rPr>
      <w:b/>
      <w:bCs/>
      <w:sz w:val="20"/>
      <w:szCs w:val="20"/>
    </w:rPr>
  </w:style>
  <w:style w:type="paragraph" w:styleId="BalloonText">
    <w:name w:val="Balloon Text"/>
    <w:basedOn w:val="Normal"/>
    <w:link w:val="BalloonTextChar"/>
    <w:uiPriority w:val="99"/>
    <w:semiHidden/>
    <w:unhideWhenUsed/>
    <w:rsid w:val="000C2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F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63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35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11315"/>
    <w:pPr>
      <w:ind w:left="720"/>
      <w:contextualSpacing/>
    </w:pPr>
  </w:style>
  <w:style w:type="character" w:styleId="Hyperlink">
    <w:name w:val="Hyperlink"/>
    <w:basedOn w:val="DefaultParagraphFont"/>
    <w:uiPriority w:val="99"/>
    <w:unhideWhenUsed/>
    <w:rsid w:val="00DF7585"/>
    <w:rPr>
      <w:color w:val="0000FF" w:themeColor="hyperlink"/>
      <w:u w:val="single"/>
    </w:rPr>
  </w:style>
  <w:style w:type="character" w:styleId="CommentReference">
    <w:name w:val="annotation reference"/>
    <w:basedOn w:val="DefaultParagraphFont"/>
    <w:uiPriority w:val="99"/>
    <w:semiHidden/>
    <w:unhideWhenUsed/>
    <w:rsid w:val="000C2F7F"/>
    <w:rPr>
      <w:sz w:val="16"/>
      <w:szCs w:val="16"/>
    </w:rPr>
  </w:style>
  <w:style w:type="paragraph" w:styleId="CommentText">
    <w:name w:val="annotation text"/>
    <w:basedOn w:val="Normal"/>
    <w:link w:val="CommentTextChar"/>
    <w:uiPriority w:val="99"/>
    <w:semiHidden/>
    <w:unhideWhenUsed/>
    <w:rsid w:val="000C2F7F"/>
    <w:pPr>
      <w:spacing w:line="240" w:lineRule="auto"/>
    </w:pPr>
    <w:rPr>
      <w:sz w:val="20"/>
      <w:szCs w:val="20"/>
    </w:rPr>
  </w:style>
  <w:style w:type="character" w:customStyle="1" w:styleId="CommentTextChar">
    <w:name w:val="Comment Text Char"/>
    <w:basedOn w:val="DefaultParagraphFont"/>
    <w:link w:val="CommentText"/>
    <w:uiPriority w:val="99"/>
    <w:semiHidden/>
    <w:rsid w:val="000C2F7F"/>
    <w:rPr>
      <w:sz w:val="20"/>
      <w:szCs w:val="20"/>
    </w:rPr>
  </w:style>
  <w:style w:type="paragraph" w:styleId="CommentSubject">
    <w:name w:val="annotation subject"/>
    <w:basedOn w:val="CommentText"/>
    <w:next w:val="CommentText"/>
    <w:link w:val="CommentSubjectChar"/>
    <w:uiPriority w:val="99"/>
    <w:semiHidden/>
    <w:unhideWhenUsed/>
    <w:rsid w:val="000C2F7F"/>
    <w:rPr>
      <w:b/>
      <w:bCs/>
    </w:rPr>
  </w:style>
  <w:style w:type="character" w:customStyle="1" w:styleId="CommentSubjectChar">
    <w:name w:val="Comment Subject Char"/>
    <w:basedOn w:val="CommentTextChar"/>
    <w:link w:val="CommentSubject"/>
    <w:uiPriority w:val="99"/>
    <w:semiHidden/>
    <w:rsid w:val="000C2F7F"/>
    <w:rPr>
      <w:b/>
      <w:bCs/>
      <w:sz w:val="20"/>
      <w:szCs w:val="20"/>
    </w:rPr>
  </w:style>
  <w:style w:type="paragraph" w:styleId="BalloonText">
    <w:name w:val="Balloon Text"/>
    <w:basedOn w:val="Normal"/>
    <w:link w:val="BalloonTextChar"/>
    <w:uiPriority w:val="99"/>
    <w:semiHidden/>
    <w:unhideWhenUsed/>
    <w:rsid w:val="000C2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F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19701">
      <w:bodyDiv w:val="1"/>
      <w:marLeft w:val="0"/>
      <w:marRight w:val="0"/>
      <w:marTop w:val="0"/>
      <w:marBottom w:val="0"/>
      <w:divBdr>
        <w:top w:val="none" w:sz="0" w:space="0" w:color="auto"/>
        <w:left w:val="none" w:sz="0" w:space="0" w:color="auto"/>
        <w:bottom w:val="none" w:sz="0" w:space="0" w:color="auto"/>
        <w:right w:val="none" w:sz="0" w:space="0" w:color="auto"/>
      </w:divBdr>
      <w:divsChild>
        <w:div w:id="1055816202">
          <w:marLeft w:val="0"/>
          <w:marRight w:val="0"/>
          <w:marTop w:val="0"/>
          <w:marBottom w:val="0"/>
          <w:divBdr>
            <w:top w:val="none" w:sz="0" w:space="0" w:color="auto"/>
            <w:left w:val="none" w:sz="0" w:space="0" w:color="auto"/>
            <w:bottom w:val="none" w:sz="0" w:space="0" w:color="auto"/>
            <w:right w:val="none" w:sz="0" w:space="0" w:color="auto"/>
          </w:divBdr>
        </w:div>
      </w:divsChild>
    </w:div>
    <w:div w:id="1355497317">
      <w:bodyDiv w:val="1"/>
      <w:marLeft w:val="0"/>
      <w:marRight w:val="0"/>
      <w:marTop w:val="0"/>
      <w:marBottom w:val="0"/>
      <w:divBdr>
        <w:top w:val="none" w:sz="0" w:space="0" w:color="auto"/>
        <w:left w:val="none" w:sz="0" w:space="0" w:color="auto"/>
        <w:bottom w:val="none" w:sz="0" w:space="0" w:color="auto"/>
        <w:right w:val="none" w:sz="0" w:space="0" w:color="auto"/>
      </w:divBdr>
      <w:divsChild>
        <w:div w:id="422796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commission.justice.gov.uk/docs/lc348_hate_crime.pdf" TargetMode="External"/><Relationship Id="rId13" Type="http://schemas.openxmlformats.org/officeDocument/2006/relationships/hyperlink" Target="http://www.research.lancs.ac.uk/portal/en/people/paul-iganski(67c050a0-edf8-4223-aabc-e3726fbe1d95)/publications.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gov.uk/government/uploads/system/uploads/attachment_data/file/97849/action-plan.pdf" TargetMode="External"/><Relationship Id="rId12" Type="http://schemas.openxmlformats.org/officeDocument/2006/relationships/hyperlink" Target="http://www.sussex.ac.uk/profiles/112655/publication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iacro.co.uk/challenge-hate-crime/" TargetMode="External"/><Relationship Id="rId1" Type="http://schemas.openxmlformats.org/officeDocument/2006/relationships/numbering" Target="numbering.xml"/><Relationship Id="rId6" Type="http://schemas.openxmlformats.org/officeDocument/2006/relationships/hyperlink" Target="http://lawcommission.justice.gov.uk/" TargetMode="External"/><Relationship Id="rId11" Type="http://schemas.openxmlformats.org/officeDocument/2006/relationships/hyperlink" Target="http://www.policypress.co.uk/display.asp?ISB=9781447308768&amp;" TargetMode="External"/><Relationship Id="rId5" Type="http://schemas.openxmlformats.org/officeDocument/2006/relationships/webSettings" Target="webSettings.xml"/><Relationship Id="rId15" Type="http://schemas.openxmlformats.org/officeDocument/2006/relationships/hyperlink" Target="http://sentencingcouncil.judiciary.gov.uk/" TargetMode="External"/><Relationship Id="rId10" Type="http://schemas.openxmlformats.org/officeDocument/2006/relationships/hyperlink" Target="http://www.legislation.gov.uk/ukpga/1998/37/contents" TargetMode="External"/><Relationship Id="rId4" Type="http://schemas.openxmlformats.org/officeDocument/2006/relationships/settings" Target="settings.xml"/><Relationship Id="rId9" Type="http://schemas.openxmlformats.org/officeDocument/2006/relationships/hyperlink" Target="http://www.legislation.gov.uk/ukpga/2003/44/contents" TargetMode="External"/><Relationship Id="rId14" Type="http://schemas.openxmlformats.org/officeDocument/2006/relationships/hyperlink" Target="http://www.ncbi.nlm.nih.gov/pubmed/105965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1241</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Limerick</Company>
  <LinksUpToDate>false</LinksUpToDate>
  <CharactersWithSpaces>8303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Duggan</dc:creator>
  <cp:lastModifiedBy>Marian Duggan</cp:lastModifiedBy>
  <cp:revision>5</cp:revision>
  <dcterms:created xsi:type="dcterms:W3CDTF">2014-06-26T17:33:00Z</dcterms:created>
  <dcterms:modified xsi:type="dcterms:W3CDTF">2014-06-30T10:09:00Z</dcterms:modified>
</cp:coreProperties>
</file>