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E0484" w14:textId="49244986" w:rsidR="00B91DAC" w:rsidRDefault="00B91DAC" w:rsidP="00F44719">
      <w:pPr>
        <w:autoSpaceDE w:val="0"/>
        <w:autoSpaceDN w:val="0"/>
        <w:adjustRightInd w:val="0"/>
        <w:spacing w:line="480" w:lineRule="auto"/>
        <w:rPr>
          <w:b/>
          <w:i/>
          <w:lang w:val="en"/>
        </w:rPr>
      </w:pPr>
      <w:r w:rsidRPr="00B91DAC">
        <w:rPr>
          <w:b/>
          <w:i/>
          <w:lang w:val="en"/>
        </w:rPr>
        <w:t>Does the right of return exist in International Law and Practice?</w:t>
      </w:r>
    </w:p>
    <w:p w14:paraId="29670D35" w14:textId="77777777" w:rsidR="00B005D1" w:rsidRDefault="00B005D1" w:rsidP="00B005D1">
      <w:pPr>
        <w:autoSpaceDE w:val="0"/>
        <w:autoSpaceDN w:val="0"/>
        <w:adjustRightInd w:val="0"/>
        <w:spacing w:line="480" w:lineRule="auto"/>
      </w:pPr>
    </w:p>
    <w:p w14:paraId="76F17D76" w14:textId="4E1D829A" w:rsidR="00B005D1" w:rsidRDefault="00B005D1" w:rsidP="00F44719">
      <w:pPr>
        <w:autoSpaceDE w:val="0"/>
        <w:autoSpaceDN w:val="0"/>
        <w:adjustRightInd w:val="0"/>
        <w:spacing w:line="480" w:lineRule="auto"/>
      </w:pPr>
      <w:r>
        <w:t xml:space="preserve">Please contact Neophytos Loizides at </w:t>
      </w:r>
      <w:hyperlink r:id="rId7" w:history="1">
        <w:r w:rsidRPr="007E4B24">
          <w:rPr>
            <w:rStyle w:val="Hyperlink"/>
          </w:rPr>
          <w:t>n.loizides@kent.ac.uk</w:t>
        </w:r>
      </w:hyperlink>
      <w:r>
        <w:t xml:space="preserve"> for full citation  </w:t>
      </w:r>
    </w:p>
    <w:p w14:paraId="5D282A7B" w14:textId="77777777" w:rsidR="00B005D1" w:rsidRPr="00B005D1" w:rsidRDefault="00B005D1" w:rsidP="00F44719">
      <w:pPr>
        <w:autoSpaceDE w:val="0"/>
        <w:autoSpaceDN w:val="0"/>
        <w:adjustRightInd w:val="0"/>
        <w:spacing w:line="480" w:lineRule="auto"/>
      </w:pPr>
    </w:p>
    <w:p w14:paraId="1426EEBF" w14:textId="5E8F3E13" w:rsidR="006D2149" w:rsidRDefault="004C528C" w:rsidP="00F44719">
      <w:pPr>
        <w:autoSpaceDE w:val="0"/>
        <w:autoSpaceDN w:val="0"/>
        <w:adjustRightInd w:val="0"/>
        <w:spacing w:line="480" w:lineRule="auto"/>
        <w:rPr>
          <w:lang w:val="en"/>
        </w:rPr>
      </w:pPr>
      <w:r>
        <w:rPr>
          <w:lang w:val="en"/>
        </w:rPr>
        <w:t>As social scientists debating</w:t>
      </w:r>
      <w:r w:rsidR="00036B51">
        <w:rPr>
          <w:lang w:val="en"/>
        </w:rPr>
        <w:t xml:space="preserve"> </w:t>
      </w:r>
      <w:r w:rsidR="00B005D1">
        <w:rPr>
          <w:lang w:val="en"/>
        </w:rPr>
        <w:t>the right</w:t>
      </w:r>
      <w:r w:rsidR="00036B51">
        <w:rPr>
          <w:lang w:val="en"/>
        </w:rPr>
        <w:t xml:space="preserve"> of return</w:t>
      </w:r>
      <w:r w:rsidR="00FA5F11">
        <w:rPr>
          <w:lang w:val="en"/>
        </w:rPr>
        <w:t xml:space="preserve"> we are often confronted with</w:t>
      </w:r>
      <w:r w:rsidR="00B91DAC">
        <w:rPr>
          <w:lang w:val="en"/>
        </w:rPr>
        <w:t xml:space="preserve"> conflicting </w:t>
      </w:r>
      <w:r w:rsidR="00B005D1">
        <w:rPr>
          <w:lang w:val="en"/>
        </w:rPr>
        <w:t>legal, political and normative</w:t>
      </w:r>
      <w:r w:rsidR="00B91DAC">
        <w:rPr>
          <w:lang w:val="en"/>
        </w:rPr>
        <w:t xml:space="preserve"> interpretations. This depends on the definition of the </w:t>
      </w:r>
      <w:r w:rsidR="00FA5F11">
        <w:rPr>
          <w:lang w:val="en"/>
        </w:rPr>
        <w:t>‘</w:t>
      </w:r>
      <w:r w:rsidR="00B91DAC">
        <w:rPr>
          <w:lang w:val="en"/>
        </w:rPr>
        <w:t>right of return</w:t>
      </w:r>
      <w:r w:rsidR="00FA5F11">
        <w:rPr>
          <w:lang w:val="en"/>
        </w:rPr>
        <w:t>’</w:t>
      </w:r>
      <w:r w:rsidR="00B91DAC">
        <w:rPr>
          <w:lang w:val="en"/>
        </w:rPr>
        <w:t xml:space="preserve"> itself which involves in our view not only the right of mobility</w:t>
      </w:r>
      <w:r w:rsidR="00A1726C">
        <w:rPr>
          <w:lang w:val="en"/>
        </w:rPr>
        <w:t>/movement</w:t>
      </w:r>
      <w:r w:rsidR="00B91DAC">
        <w:rPr>
          <w:lang w:val="en"/>
        </w:rPr>
        <w:t xml:space="preserve"> (i.e. someone’s </w:t>
      </w:r>
      <w:r w:rsidR="00CA7979">
        <w:rPr>
          <w:lang w:val="en"/>
        </w:rPr>
        <w:t>right to move to their pre-conflict village or city</w:t>
      </w:r>
      <w:r w:rsidR="00B91DAC">
        <w:rPr>
          <w:lang w:val="en"/>
        </w:rPr>
        <w:t>) but</w:t>
      </w:r>
      <w:r w:rsidR="002E51B1">
        <w:rPr>
          <w:lang w:val="en"/>
        </w:rPr>
        <w:t xml:space="preserve"> also three</w:t>
      </w:r>
      <w:r w:rsidR="00AA2D71">
        <w:rPr>
          <w:lang w:val="en"/>
        </w:rPr>
        <w:t xml:space="preserve"> other necessary</w:t>
      </w:r>
      <w:r w:rsidR="00B91DAC">
        <w:rPr>
          <w:lang w:val="en"/>
        </w:rPr>
        <w:t xml:space="preserve"> components: a) the right of restitution </w:t>
      </w:r>
      <w:r w:rsidR="003143A8">
        <w:rPr>
          <w:lang w:val="en"/>
        </w:rPr>
        <w:t>for property including</w:t>
      </w:r>
      <w:r w:rsidR="00B91DAC">
        <w:rPr>
          <w:lang w:val="en"/>
        </w:rPr>
        <w:t xml:space="preserve"> financial support for </w:t>
      </w:r>
      <w:r>
        <w:rPr>
          <w:lang w:val="en"/>
        </w:rPr>
        <w:t xml:space="preserve">the </w:t>
      </w:r>
      <w:r w:rsidR="00B91DAC">
        <w:rPr>
          <w:lang w:val="en"/>
        </w:rPr>
        <w:t xml:space="preserve">loss of income and </w:t>
      </w:r>
      <w:r>
        <w:rPr>
          <w:lang w:val="en"/>
        </w:rPr>
        <w:t>for the reconstruction</w:t>
      </w:r>
      <w:r w:rsidR="00B91DAC">
        <w:rPr>
          <w:lang w:val="en"/>
        </w:rPr>
        <w:t xml:space="preserve"> of </w:t>
      </w:r>
      <w:r>
        <w:rPr>
          <w:lang w:val="en"/>
        </w:rPr>
        <w:t xml:space="preserve">destroyed </w:t>
      </w:r>
      <w:r w:rsidR="00B91DAC">
        <w:rPr>
          <w:lang w:val="en"/>
        </w:rPr>
        <w:t>properties</w:t>
      </w:r>
      <w:r w:rsidR="002225F0">
        <w:rPr>
          <w:lang w:val="en"/>
        </w:rPr>
        <w:t>;</w:t>
      </w:r>
      <w:r w:rsidR="00B91DAC">
        <w:rPr>
          <w:lang w:val="en"/>
        </w:rPr>
        <w:t xml:space="preserve"> </w:t>
      </w:r>
      <w:r w:rsidR="002E51B1">
        <w:rPr>
          <w:lang w:val="en"/>
        </w:rPr>
        <w:t xml:space="preserve">b) the transferability of those rights to one’s family </w:t>
      </w:r>
      <w:r w:rsidR="00B91DAC">
        <w:rPr>
          <w:lang w:val="en"/>
        </w:rPr>
        <w:t xml:space="preserve">and </w:t>
      </w:r>
      <w:r w:rsidR="002E51B1">
        <w:rPr>
          <w:lang w:val="en"/>
        </w:rPr>
        <w:t>c</w:t>
      </w:r>
      <w:r w:rsidR="001A47E2">
        <w:rPr>
          <w:lang w:val="en"/>
        </w:rPr>
        <w:t xml:space="preserve">) </w:t>
      </w:r>
      <w:r w:rsidR="00610716">
        <w:rPr>
          <w:lang w:val="en"/>
        </w:rPr>
        <w:t xml:space="preserve">individual and </w:t>
      </w:r>
      <w:r w:rsidR="001A47E2">
        <w:rPr>
          <w:lang w:val="en"/>
        </w:rPr>
        <w:t>communal rights which</w:t>
      </w:r>
      <w:r w:rsidR="00610716">
        <w:rPr>
          <w:lang w:val="en"/>
        </w:rPr>
        <w:t xml:space="preserve"> might</w:t>
      </w:r>
      <w:r w:rsidR="001A47E2">
        <w:rPr>
          <w:lang w:val="en"/>
        </w:rPr>
        <w:t xml:space="preserve"> include</w:t>
      </w:r>
      <w:r w:rsidR="00B91DAC">
        <w:rPr>
          <w:lang w:val="en"/>
        </w:rPr>
        <w:t xml:space="preserve"> </w:t>
      </w:r>
      <w:r w:rsidR="003143A8">
        <w:rPr>
          <w:lang w:val="en"/>
        </w:rPr>
        <w:t xml:space="preserve">non-discrimination, </w:t>
      </w:r>
      <w:r w:rsidR="00B91DAC">
        <w:rPr>
          <w:lang w:val="en"/>
        </w:rPr>
        <w:t xml:space="preserve">electoral rights and participation in local decision-making </w:t>
      </w:r>
      <w:r w:rsidR="007E7D66">
        <w:rPr>
          <w:lang w:val="en"/>
        </w:rPr>
        <w:t>processes as well as</w:t>
      </w:r>
      <w:r w:rsidR="001A47E2">
        <w:rPr>
          <w:lang w:val="en"/>
        </w:rPr>
        <w:t xml:space="preserve"> representation in policing and security mechanisms </w:t>
      </w:r>
      <w:r w:rsidR="002E51B1">
        <w:rPr>
          <w:lang w:val="en"/>
        </w:rPr>
        <w:t>(</w:t>
      </w:r>
      <w:r w:rsidR="001A47E2">
        <w:rPr>
          <w:lang w:val="en"/>
        </w:rPr>
        <w:t>and in cases of vulnerable groups positive discrimination</w:t>
      </w:r>
      <w:r w:rsidR="002E51B1">
        <w:rPr>
          <w:lang w:val="en"/>
        </w:rPr>
        <w:t xml:space="preserve"> such as</w:t>
      </w:r>
      <w:r w:rsidR="003143A8">
        <w:rPr>
          <w:lang w:val="en"/>
        </w:rPr>
        <w:t xml:space="preserve"> preferential employment)</w:t>
      </w:r>
      <w:r w:rsidR="001A47E2">
        <w:rPr>
          <w:lang w:val="en"/>
        </w:rPr>
        <w:t xml:space="preserve">. </w:t>
      </w:r>
    </w:p>
    <w:p w14:paraId="13F12ECC" w14:textId="1BD3462B" w:rsidR="0046540C" w:rsidRDefault="001A47E2" w:rsidP="006D2149">
      <w:pPr>
        <w:autoSpaceDE w:val="0"/>
        <w:autoSpaceDN w:val="0"/>
        <w:adjustRightInd w:val="0"/>
        <w:spacing w:line="480" w:lineRule="auto"/>
        <w:ind w:firstLine="720"/>
        <w:rPr>
          <w:lang w:val="en"/>
        </w:rPr>
      </w:pPr>
      <w:r>
        <w:rPr>
          <w:lang w:val="en"/>
        </w:rPr>
        <w:t xml:space="preserve">Each of these elements is necessary for the restoration of a multicultural community but unfortunately there </w:t>
      </w:r>
      <w:r w:rsidR="003143A8">
        <w:rPr>
          <w:lang w:val="en"/>
        </w:rPr>
        <w:t>is no comprehensive legal framework</w:t>
      </w:r>
      <w:r>
        <w:rPr>
          <w:lang w:val="en"/>
        </w:rPr>
        <w:t xml:space="preserve"> that include</w:t>
      </w:r>
      <w:r w:rsidR="004C528C">
        <w:rPr>
          <w:lang w:val="en"/>
        </w:rPr>
        <w:t>s all three</w:t>
      </w:r>
      <w:r>
        <w:rPr>
          <w:lang w:val="en"/>
        </w:rPr>
        <w:t xml:space="preserve"> not to mention </w:t>
      </w:r>
      <w:r w:rsidR="003143A8">
        <w:rPr>
          <w:lang w:val="en"/>
        </w:rPr>
        <w:t xml:space="preserve">credible </w:t>
      </w:r>
      <w:r>
        <w:rPr>
          <w:lang w:val="en"/>
        </w:rPr>
        <w:t xml:space="preserve">enforcement mechanisms. </w:t>
      </w:r>
      <w:r w:rsidR="00D50DF1">
        <w:rPr>
          <w:lang w:val="en"/>
        </w:rPr>
        <w:t xml:space="preserve">There is also key differentiation between international and EU/Council of Europe decisions. Within the EU legal system, </w:t>
      </w:r>
      <w:r w:rsidR="006D2149">
        <w:rPr>
          <w:lang w:val="en"/>
        </w:rPr>
        <w:t>Greek Cypriots often cite the right of movement and acquisition of property to justify the right of return</w:t>
      </w:r>
      <w:r w:rsidR="00C60089">
        <w:rPr>
          <w:lang w:val="en"/>
        </w:rPr>
        <w:t xml:space="preserve"> for Greek Cypriots under </w:t>
      </w:r>
      <w:r w:rsidR="004C528C">
        <w:rPr>
          <w:lang w:val="en"/>
        </w:rPr>
        <w:t xml:space="preserve">future </w:t>
      </w:r>
      <w:r w:rsidR="00C60089">
        <w:rPr>
          <w:lang w:val="en"/>
        </w:rPr>
        <w:t>Turkish Cypriot</w:t>
      </w:r>
      <w:r w:rsidR="004C528C">
        <w:rPr>
          <w:lang w:val="en"/>
        </w:rPr>
        <w:t xml:space="preserve"> administration</w:t>
      </w:r>
      <w:r w:rsidR="00C60089">
        <w:rPr>
          <w:lang w:val="en"/>
        </w:rPr>
        <w:t xml:space="preserve">. While the right of mobility for European citizens de facto resolves many of the </w:t>
      </w:r>
      <w:r w:rsidR="00D50DF1">
        <w:rPr>
          <w:lang w:val="en"/>
        </w:rPr>
        <w:t>displacement disputes among</w:t>
      </w:r>
      <w:r w:rsidR="00C60089">
        <w:rPr>
          <w:lang w:val="en"/>
        </w:rPr>
        <w:t xml:space="preserve"> EU </w:t>
      </w:r>
      <w:r w:rsidR="00D50DF1">
        <w:rPr>
          <w:lang w:val="en"/>
        </w:rPr>
        <w:t xml:space="preserve">members </w:t>
      </w:r>
      <w:r w:rsidR="00C60089">
        <w:rPr>
          <w:lang w:val="en"/>
        </w:rPr>
        <w:t>(e.g. post-WWII Germans fleeing Poland),</w:t>
      </w:r>
      <w:r w:rsidR="006D2149">
        <w:rPr>
          <w:lang w:val="en"/>
        </w:rPr>
        <w:t xml:space="preserve"> </w:t>
      </w:r>
      <w:r w:rsidR="00C60089">
        <w:rPr>
          <w:lang w:val="en"/>
        </w:rPr>
        <w:t xml:space="preserve">it has two major weaknesses; it lacks all other </w:t>
      </w:r>
      <w:r w:rsidR="004C528C">
        <w:rPr>
          <w:lang w:val="en"/>
        </w:rPr>
        <w:t xml:space="preserve">aforementioned </w:t>
      </w:r>
      <w:r w:rsidR="00C60089">
        <w:rPr>
          <w:lang w:val="en"/>
        </w:rPr>
        <w:t>elements that constitute the right of return and second it downgrades IDPs and re</w:t>
      </w:r>
      <w:r w:rsidR="00EC09EC">
        <w:rPr>
          <w:lang w:val="en"/>
        </w:rPr>
        <w:t>fugees to the level of migrants</w:t>
      </w:r>
      <w:r w:rsidR="007E7D66">
        <w:rPr>
          <w:lang w:val="en"/>
        </w:rPr>
        <w:t>/citizens of third states</w:t>
      </w:r>
      <w:r w:rsidR="00EC09EC">
        <w:rPr>
          <w:lang w:val="en"/>
        </w:rPr>
        <w:t xml:space="preserve">. EU’s mobility </w:t>
      </w:r>
      <w:r w:rsidR="00EC09EC">
        <w:rPr>
          <w:lang w:val="en"/>
        </w:rPr>
        <w:lastRenderedPageBreak/>
        <w:t xml:space="preserve">rights have been at times restricted giving opponents of the right of return arguments to oppose </w:t>
      </w:r>
      <w:r w:rsidR="004C528C">
        <w:rPr>
          <w:lang w:val="en"/>
        </w:rPr>
        <w:t xml:space="preserve">the much </w:t>
      </w:r>
      <w:r w:rsidR="007E7D66">
        <w:rPr>
          <w:lang w:val="en"/>
        </w:rPr>
        <w:t>more solid</w:t>
      </w:r>
      <w:r w:rsidR="00EC09EC">
        <w:rPr>
          <w:lang w:val="en"/>
        </w:rPr>
        <w:t xml:space="preserve"> normative </w:t>
      </w:r>
      <w:r w:rsidR="004C528C">
        <w:rPr>
          <w:lang w:val="en"/>
        </w:rPr>
        <w:t xml:space="preserve">and legal </w:t>
      </w:r>
      <w:r w:rsidR="00EC09EC">
        <w:rPr>
          <w:lang w:val="en"/>
        </w:rPr>
        <w:t xml:space="preserve">claims by IDPs and refugees. </w:t>
      </w:r>
      <w:r w:rsidR="00C60089">
        <w:rPr>
          <w:lang w:val="en"/>
        </w:rPr>
        <w:t xml:space="preserve"> </w:t>
      </w:r>
    </w:p>
    <w:p w14:paraId="470C7D70" w14:textId="34F37BDF" w:rsidR="00C60089" w:rsidRDefault="004C528C" w:rsidP="00C60089">
      <w:pPr>
        <w:autoSpaceDE w:val="0"/>
        <w:autoSpaceDN w:val="0"/>
        <w:adjustRightInd w:val="0"/>
        <w:spacing w:line="480" w:lineRule="auto"/>
        <w:ind w:firstLine="720"/>
        <w:rPr>
          <w:lang w:val="en"/>
        </w:rPr>
      </w:pPr>
      <w:r>
        <w:rPr>
          <w:lang w:val="en"/>
        </w:rPr>
        <w:t>As to our fundamental question, d</w:t>
      </w:r>
      <w:r w:rsidR="00C60089">
        <w:rPr>
          <w:lang w:val="en"/>
        </w:rPr>
        <w:t xml:space="preserve">oes the right of return exist in international law? </w:t>
      </w:r>
      <w:r w:rsidR="001A47E2">
        <w:rPr>
          <w:lang w:val="en"/>
        </w:rPr>
        <w:t>Our own interpretation is that international law is in the process of integrating the right of return but as of t</w:t>
      </w:r>
      <w:r>
        <w:rPr>
          <w:lang w:val="en"/>
        </w:rPr>
        <w:t>oday this right has</w:t>
      </w:r>
      <w:r w:rsidR="00FA5F11">
        <w:rPr>
          <w:lang w:val="en"/>
        </w:rPr>
        <w:t xml:space="preserve"> not </w:t>
      </w:r>
      <w:r>
        <w:rPr>
          <w:lang w:val="en"/>
        </w:rPr>
        <w:t>yet been secured</w:t>
      </w:r>
      <w:r w:rsidR="00FA5F11">
        <w:rPr>
          <w:lang w:val="en"/>
        </w:rPr>
        <w:t xml:space="preserve"> in relevant</w:t>
      </w:r>
      <w:r w:rsidR="00610716">
        <w:rPr>
          <w:lang w:val="en"/>
        </w:rPr>
        <w:t xml:space="preserve"> international</w:t>
      </w:r>
      <w:r w:rsidR="00FA5F11">
        <w:rPr>
          <w:lang w:val="en"/>
        </w:rPr>
        <w:t xml:space="preserve"> legal provisions, practices</w:t>
      </w:r>
      <w:r w:rsidR="003143A8">
        <w:rPr>
          <w:lang w:val="en"/>
        </w:rPr>
        <w:t>,</w:t>
      </w:r>
      <w:r w:rsidR="00FA5F11">
        <w:rPr>
          <w:lang w:val="en"/>
        </w:rPr>
        <w:t xml:space="preserve"> and norms. </w:t>
      </w:r>
      <w:r w:rsidR="003143A8">
        <w:rPr>
          <w:lang w:val="en"/>
        </w:rPr>
        <w:t>Our</w:t>
      </w:r>
      <w:r w:rsidR="00FA5F11">
        <w:rPr>
          <w:lang w:val="en"/>
        </w:rPr>
        <w:t xml:space="preserve"> interpretation does not </w:t>
      </w:r>
      <w:r w:rsidR="00C60089">
        <w:rPr>
          <w:lang w:val="en"/>
        </w:rPr>
        <w:t>aim to challenge</w:t>
      </w:r>
      <w:r w:rsidR="00FA5F11">
        <w:rPr>
          <w:lang w:val="en"/>
        </w:rPr>
        <w:t xml:space="preserve"> the</w:t>
      </w:r>
      <w:r w:rsidR="00C60089">
        <w:rPr>
          <w:lang w:val="en"/>
        </w:rPr>
        <w:t xml:space="preserve"> legitimacy of the</w:t>
      </w:r>
      <w:r w:rsidR="00FA5F11">
        <w:rPr>
          <w:lang w:val="en"/>
        </w:rPr>
        <w:t xml:space="preserve"> right of return or to disempower refugees and I</w:t>
      </w:r>
      <w:r w:rsidR="003143A8">
        <w:rPr>
          <w:lang w:val="en"/>
        </w:rPr>
        <w:t>DPs but rather to provide the necessary warnings</w:t>
      </w:r>
      <w:r w:rsidR="00AA2D71">
        <w:rPr>
          <w:lang w:val="en"/>
        </w:rPr>
        <w:t xml:space="preserve"> against</w:t>
      </w:r>
      <w:r w:rsidR="00D50DF1">
        <w:rPr>
          <w:lang w:val="en"/>
        </w:rPr>
        <w:t xml:space="preserve"> the use of ‘weak’</w:t>
      </w:r>
      <w:r w:rsidR="00AA2D71">
        <w:rPr>
          <w:lang w:val="en"/>
        </w:rPr>
        <w:t xml:space="preserve"> legal </w:t>
      </w:r>
      <w:r w:rsidR="003143A8">
        <w:rPr>
          <w:lang w:val="en"/>
        </w:rPr>
        <w:t xml:space="preserve">or political </w:t>
      </w:r>
      <w:r w:rsidR="00AA2D71">
        <w:rPr>
          <w:lang w:val="en"/>
        </w:rPr>
        <w:t>arguments</w:t>
      </w:r>
      <w:r w:rsidR="003143A8">
        <w:rPr>
          <w:lang w:val="en"/>
        </w:rPr>
        <w:t xml:space="preserve">; the </w:t>
      </w:r>
      <w:r w:rsidR="00D50DF1">
        <w:rPr>
          <w:lang w:val="en"/>
        </w:rPr>
        <w:t xml:space="preserve">additional </w:t>
      </w:r>
      <w:r w:rsidR="003143A8">
        <w:rPr>
          <w:lang w:val="en"/>
        </w:rPr>
        <w:t>danger with some of those is raising</w:t>
      </w:r>
      <w:r w:rsidR="00FA5F11">
        <w:rPr>
          <w:lang w:val="en"/>
        </w:rPr>
        <w:t xml:space="preserve"> e</w:t>
      </w:r>
      <w:r w:rsidR="00AA2D71">
        <w:rPr>
          <w:lang w:val="en"/>
        </w:rPr>
        <w:t>xpectations that international law cannot satisfy at the moment.</w:t>
      </w:r>
      <w:r w:rsidR="00C60089">
        <w:rPr>
          <w:lang w:val="en"/>
        </w:rPr>
        <w:t xml:space="preserve"> At the same time, the struggle of IDPs and refugees to secure their rights does not end by simply stating the boundaries of the current international legal system.</w:t>
      </w:r>
      <w:r w:rsidR="00AA2D71">
        <w:rPr>
          <w:lang w:val="en"/>
        </w:rPr>
        <w:t xml:space="preserve"> </w:t>
      </w:r>
      <w:r w:rsidR="00C60089">
        <w:rPr>
          <w:lang w:val="en"/>
        </w:rPr>
        <w:t>On the contrary, one of the key purposes of the</w:t>
      </w:r>
      <w:r w:rsidR="00AA2D71">
        <w:rPr>
          <w:lang w:val="en"/>
        </w:rPr>
        <w:t xml:space="preserve"> </w:t>
      </w:r>
      <w:r w:rsidR="00C60089">
        <w:rPr>
          <w:lang w:val="en"/>
        </w:rPr>
        <w:t>book is to initiate a</w:t>
      </w:r>
      <w:r w:rsidR="00AA2D71">
        <w:rPr>
          <w:lang w:val="en"/>
        </w:rPr>
        <w:t xml:space="preserve"> discussion in relevant international fora aim</w:t>
      </w:r>
      <w:r w:rsidR="00C60089">
        <w:rPr>
          <w:lang w:val="en"/>
        </w:rPr>
        <w:t>ing</w:t>
      </w:r>
      <w:r w:rsidR="00AA2D71">
        <w:rPr>
          <w:lang w:val="en"/>
        </w:rPr>
        <w:t xml:space="preserve"> for the full incorporation of the right of return in international law.  </w:t>
      </w:r>
      <w:r w:rsidR="00FA5F11">
        <w:rPr>
          <w:lang w:val="en"/>
        </w:rPr>
        <w:t xml:space="preserve">  </w:t>
      </w:r>
    </w:p>
    <w:p w14:paraId="52171CF1" w14:textId="7BE3E024" w:rsidR="001A47E2" w:rsidRPr="00080279" w:rsidRDefault="00D50DF1" w:rsidP="00080279">
      <w:pPr>
        <w:autoSpaceDE w:val="0"/>
        <w:autoSpaceDN w:val="0"/>
        <w:adjustRightInd w:val="0"/>
        <w:spacing w:line="480" w:lineRule="auto"/>
        <w:ind w:firstLine="720"/>
        <w:rPr>
          <w:rFonts w:eastAsia="Times New Roman"/>
          <w:noProof/>
        </w:rPr>
      </w:pPr>
      <w:r>
        <w:rPr>
          <w:rFonts w:eastAsia="Times New Roman"/>
          <w:noProof/>
        </w:rPr>
        <w:t xml:space="preserve">What is the present state of affairs? </w:t>
      </w:r>
      <w:r w:rsidR="001A47E2" w:rsidRPr="001A47E2">
        <w:rPr>
          <w:rFonts w:eastAsia="Times New Roman"/>
          <w:noProof/>
        </w:rPr>
        <w:t>The UN’s own Pinheiro principles on housing and property reinsitution</w:t>
      </w:r>
      <w:r w:rsidR="003143A8">
        <w:rPr>
          <w:rFonts w:eastAsia="Times New Roman"/>
          <w:noProof/>
        </w:rPr>
        <w:t xml:space="preserve"> comes</w:t>
      </w:r>
      <w:r w:rsidR="00AA2D71">
        <w:rPr>
          <w:rFonts w:eastAsia="Times New Roman"/>
          <w:noProof/>
        </w:rPr>
        <w:t xml:space="preserve"> close to </w:t>
      </w:r>
      <w:r w:rsidR="003143A8">
        <w:rPr>
          <w:rFonts w:eastAsia="Times New Roman"/>
          <w:noProof/>
        </w:rPr>
        <w:t xml:space="preserve">be </w:t>
      </w:r>
      <w:r w:rsidR="00AA2D71">
        <w:rPr>
          <w:rFonts w:eastAsia="Times New Roman"/>
          <w:noProof/>
        </w:rPr>
        <w:t>integrati</w:t>
      </w:r>
      <w:r w:rsidR="003143A8">
        <w:rPr>
          <w:rFonts w:eastAsia="Times New Roman"/>
          <w:noProof/>
        </w:rPr>
        <w:t xml:space="preserve">ng the right of return </w:t>
      </w:r>
      <w:r w:rsidR="004C528C">
        <w:rPr>
          <w:rFonts w:eastAsia="Times New Roman"/>
          <w:noProof/>
        </w:rPr>
        <w:t xml:space="preserve">in </w:t>
      </w:r>
      <w:r w:rsidR="00C60089">
        <w:rPr>
          <w:rFonts w:eastAsia="Times New Roman"/>
          <w:noProof/>
        </w:rPr>
        <w:t>international legal practice</w:t>
      </w:r>
      <w:r w:rsidR="004C528C">
        <w:rPr>
          <w:rFonts w:eastAsia="Times New Roman"/>
          <w:noProof/>
        </w:rPr>
        <w:t>s</w:t>
      </w:r>
      <w:r w:rsidR="003143A8">
        <w:rPr>
          <w:rFonts w:eastAsia="Times New Roman"/>
          <w:noProof/>
        </w:rPr>
        <w:t>. The Principles include</w:t>
      </w:r>
      <w:r w:rsidR="00AA2D71">
        <w:rPr>
          <w:rFonts w:eastAsia="Times New Roman"/>
          <w:noProof/>
        </w:rPr>
        <w:t xml:space="preserve"> detailed provisions on the rights of disposssed owners emphasizing in particular their right to have their properties restituted</w:t>
      </w:r>
      <w:r w:rsidR="003143A8">
        <w:rPr>
          <w:rFonts w:eastAsia="Times New Roman"/>
          <w:noProof/>
        </w:rPr>
        <w:t>, if they so wish and without stipulating any time limitations. Pinheiro however proposes</w:t>
      </w:r>
      <w:r w:rsidR="00AA2D71">
        <w:rPr>
          <w:rFonts w:eastAsia="Times New Roman"/>
          <w:noProof/>
        </w:rPr>
        <w:t xml:space="preserve"> non-binding principles</w:t>
      </w:r>
      <w:r w:rsidR="003143A8">
        <w:rPr>
          <w:rFonts w:eastAsia="Times New Roman"/>
          <w:noProof/>
        </w:rPr>
        <w:t xml:space="preserve"> (soft law)</w:t>
      </w:r>
      <w:r w:rsidR="00AA2D71">
        <w:rPr>
          <w:rFonts w:eastAsia="Times New Roman"/>
          <w:noProof/>
        </w:rPr>
        <w:t xml:space="preserve"> which are up to the discretion of individual member states to accept or reject. </w:t>
      </w:r>
      <w:r w:rsidR="00080279">
        <w:rPr>
          <w:rFonts w:eastAsia="Times New Roman"/>
          <w:noProof/>
        </w:rPr>
        <w:t xml:space="preserve">The Principles also fail to include the need for electoral decision-making mechanisms (a key finding of this book from Bosnia) and the role of community rights and organizations; they </w:t>
      </w:r>
      <w:r w:rsidR="00C60089">
        <w:rPr>
          <w:rFonts w:eastAsia="Times New Roman"/>
          <w:noProof/>
        </w:rPr>
        <w:t>require</w:t>
      </w:r>
      <w:r w:rsidR="001A47E2" w:rsidRPr="001A47E2">
        <w:rPr>
          <w:rFonts w:eastAsia="Times New Roman"/>
          <w:noProof/>
        </w:rPr>
        <w:t xml:space="preserve"> </w:t>
      </w:r>
      <w:r w:rsidR="00080279">
        <w:rPr>
          <w:rFonts w:eastAsia="Times New Roman"/>
          <w:noProof/>
        </w:rPr>
        <w:t xml:space="preserve">though </w:t>
      </w:r>
      <w:r w:rsidR="001A47E2" w:rsidRPr="001A47E2">
        <w:rPr>
          <w:rFonts w:eastAsia="Times New Roman"/>
          <w:noProof/>
        </w:rPr>
        <w:t>adequate consultation and participation of displaced persons in decision-making (principle 14)</w:t>
      </w:r>
      <w:r w:rsidR="00080279">
        <w:rPr>
          <w:rFonts w:eastAsia="Times New Roman"/>
          <w:noProof/>
        </w:rPr>
        <w:t xml:space="preserve"> during the process of return</w:t>
      </w:r>
      <w:r w:rsidR="001A47E2" w:rsidRPr="001A47E2">
        <w:rPr>
          <w:rFonts w:eastAsia="Times New Roman"/>
          <w:noProof/>
        </w:rPr>
        <w:t>.</w:t>
      </w:r>
      <w:r w:rsidR="001A47E2" w:rsidRPr="001A47E2">
        <w:rPr>
          <w:rStyle w:val="FootnoteReference"/>
          <w:rFonts w:eastAsia="Times New Roman"/>
          <w:noProof/>
        </w:rPr>
        <w:footnoteReference w:id="1"/>
      </w:r>
    </w:p>
    <w:p w14:paraId="509EA299" w14:textId="77777777" w:rsidR="00B005D1" w:rsidRDefault="001A47E2" w:rsidP="00C60089">
      <w:pPr>
        <w:autoSpaceDE w:val="0"/>
        <w:autoSpaceDN w:val="0"/>
        <w:adjustRightInd w:val="0"/>
        <w:spacing w:line="480" w:lineRule="auto"/>
        <w:ind w:firstLine="720"/>
      </w:pPr>
      <w:r>
        <w:rPr>
          <w:lang w:val="en"/>
        </w:rPr>
        <w:lastRenderedPageBreak/>
        <w:t xml:space="preserve"> </w:t>
      </w:r>
      <w:r w:rsidR="00080279">
        <w:t>Human rights advocates emphasize the centrality of justice mechanisms and argue for the application of widely acknowledged standards on refugees</w:t>
      </w:r>
      <w:r w:rsidR="002225F0">
        <w:t xml:space="preserve"> as</w:t>
      </w:r>
      <w:r w:rsidR="00080279">
        <w:t xml:space="preserve"> documented in resolutions of international organizations such as the UN (Leckie, 2003: 12).</w:t>
      </w:r>
      <w:r w:rsidR="00080279">
        <w:rPr>
          <w:rStyle w:val="FootnoteReference"/>
        </w:rPr>
        <w:footnoteReference w:id="2"/>
      </w:r>
      <w:r w:rsidR="00080279">
        <w:t xml:space="preserve"> </w:t>
      </w:r>
      <w:r w:rsidR="002225F0">
        <w:t>Leckie cites two relevant</w:t>
      </w:r>
      <w:r w:rsidR="00610716">
        <w:t xml:space="preserve"> types of</w:t>
      </w:r>
      <w:r w:rsidR="002225F0">
        <w:t xml:space="preserve"> UN resolutions</w:t>
      </w:r>
      <w:r w:rsidR="00610716">
        <w:t>: a)</w:t>
      </w:r>
      <w:r w:rsidR="003143A8">
        <w:t xml:space="preserve"> binding ones voted by</w:t>
      </w:r>
      <w:r w:rsidR="002225F0">
        <w:t xml:space="preserve"> the Security Council and </w:t>
      </w:r>
      <w:r w:rsidR="00610716">
        <w:t xml:space="preserve">b) </w:t>
      </w:r>
      <w:r w:rsidR="002225F0">
        <w:t xml:space="preserve">non-binding from the General Assembly. </w:t>
      </w:r>
      <w:r w:rsidR="002A1936" w:rsidRPr="00502EED">
        <w:t>Security Council</w:t>
      </w:r>
      <w:r w:rsidR="002225F0">
        <w:t xml:space="preserve"> resolutions emphasize the right of return in the former</w:t>
      </w:r>
      <w:r w:rsidR="002A1936" w:rsidRPr="00502EED">
        <w:t xml:space="preserve"> Yugoslavia (Kosovo), Georgia, (Abkhazia), Croatia, Ira</w:t>
      </w:r>
      <w:r w:rsidR="002225F0">
        <w:t>q (Kuwait) and Cyprus while</w:t>
      </w:r>
      <w:r w:rsidR="002A1936" w:rsidRPr="00502EED">
        <w:t xml:space="preserve"> General Assembly resolutions </w:t>
      </w:r>
      <w:r w:rsidR="002225F0">
        <w:t xml:space="preserve">focus </w:t>
      </w:r>
      <w:r w:rsidR="002A1936" w:rsidRPr="00502EED">
        <w:t>on Palestine/Israel</w:t>
      </w:r>
      <w:r w:rsidR="002225F0">
        <w:t>.</w:t>
      </w:r>
      <w:r w:rsidR="002A1936" w:rsidRPr="00502EED">
        <w:t xml:space="preserve"> Specifically</w:t>
      </w:r>
      <w:r w:rsidR="002225F0">
        <w:t>,</w:t>
      </w:r>
      <w:r w:rsidR="002A1936" w:rsidRPr="00502EED">
        <w:t xml:space="preserve"> on Cyprus SC RES. 361, Aug.</w:t>
      </w:r>
      <w:r w:rsidR="002225F0">
        <w:t xml:space="preserve"> 30, 1974 c</w:t>
      </w:r>
      <w:r w:rsidR="002A1936" w:rsidRPr="00502EED">
        <w:t xml:space="preserve">alls on parties to “permit persons who wish to do so to return to </w:t>
      </w:r>
      <w:r w:rsidR="002225F0">
        <w:t xml:space="preserve">their homes” (Leckie, 2003: 12). Critics might argue that </w:t>
      </w:r>
      <w:r w:rsidR="00A1726C">
        <w:t xml:space="preserve">in Cyprus </w:t>
      </w:r>
      <w:r w:rsidR="002225F0">
        <w:t>the conditions 40 days after the Turkish invasion are different from now after fifty</w:t>
      </w:r>
      <w:r w:rsidR="00A1726C">
        <w:t xml:space="preserve"> or so</w:t>
      </w:r>
      <w:r w:rsidR="002225F0">
        <w:t xml:space="preserve"> years</w:t>
      </w:r>
      <w:r w:rsidR="00A1726C">
        <w:t>.</w:t>
      </w:r>
      <w:r w:rsidR="00C60089">
        <w:t xml:space="preserve"> ECHR decisions have pointed to this direction </w:t>
      </w:r>
      <w:r w:rsidR="0004799A">
        <w:t>already with decisions restricting property restitution to second generation IDPs (</w:t>
      </w:r>
      <w:proofErr w:type="spellStart"/>
      <w:r w:rsidR="0004799A">
        <w:t>Skoutakis</w:t>
      </w:r>
      <w:proofErr w:type="spellEnd"/>
      <w:r w:rsidR="0004799A">
        <w:t xml:space="preserve">, 2010). </w:t>
      </w:r>
    </w:p>
    <w:p w14:paraId="6E85C356" w14:textId="5C95498C" w:rsidR="00080279" w:rsidRDefault="004C528C" w:rsidP="00C60089">
      <w:pPr>
        <w:autoSpaceDE w:val="0"/>
        <w:autoSpaceDN w:val="0"/>
        <w:adjustRightInd w:val="0"/>
        <w:spacing w:line="480" w:lineRule="auto"/>
        <w:ind w:firstLine="720"/>
      </w:pPr>
      <w:r>
        <w:t>Countering this point</w:t>
      </w:r>
      <w:r w:rsidR="00A1726C">
        <w:t>,</w:t>
      </w:r>
      <w:r w:rsidR="002225F0">
        <w:t xml:space="preserve"> </w:t>
      </w:r>
      <w:proofErr w:type="spellStart"/>
      <w:r w:rsidR="002225F0">
        <w:t>Barkan</w:t>
      </w:r>
      <w:proofErr w:type="spellEnd"/>
      <w:r w:rsidR="002225F0">
        <w:t xml:space="preserve"> argues tha</w:t>
      </w:r>
      <w:r w:rsidR="00A1726C">
        <w:t>t</w:t>
      </w:r>
      <w:r w:rsidR="002225F0">
        <w:t xml:space="preserve"> </w:t>
      </w:r>
      <w:r w:rsidR="00080279">
        <w:t>no matter how long the injustice occurred, its legitimization</w:t>
      </w:r>
      <w:r w:rsidR="00610716">
        <w:t xml:space="preserve"> </w:t>
      </w:r>
      <w:r w:rsidR="002225F0">
        <w:t>or failure to defend them in the case of IDPs</w:t>
      </w:r>
      <w:r w:rsidR="00080279">
        <w:t xml:space="preserve"> only encourages other wrongdoings (</w:t>
      </w:r>
      <w:proofErr w:type="spellStart"/>
      <w:r w:rsidR="00080279">
        <w:t>Barkan</w:t>
      </w:r>
      <w:proofErr w:type="spellEnd"/>
      <w:r w:rsidR="00080279">
        <w:t xml:space="preserve">, 2000: xxxiii). </w:t>
      </w:r>
      <w:r w:rsidR="00B005D1">
        <w:t xml:space="preserve"> Another concern is that the right of return cannot be established without family reunification and community rebuilding. As this book, demonstrates IDPs and refugees will not return unless there is significant community involvement and mobilization for return. Likewise, the right of return could be interpreted as covering descendants and non-IDP partners. In many occasions, IDPs might not have been displaced directly at the time of the conflict (some might have left earlier for financial reasons but found the right of return to an ancestral land restricted as a result of a conflict)/   </w:t>
      </w:r>
    </w:p>
    <w:p w14:paraId="1BF28FAC" w14:textId="4951AB21" w:rsidR="00950DB5" w:rsidRDefault="00C60089" w:rsidP="00950DB5">
      <w:pPr>
        <w:autoSpaceDE w:val="0"/>
        <w:autoSpaceDN w:val="0"/>
        <w:adjustRightInd w:val="0"/>
        <w:spacing w:line="480" w:lineRule="auto"/>
        <w:ind w:firstLine="720"/>
      </w:pPr>
      <w:r>
        <w:rPr>
          <w:color w:val="000000"/>
        </w:rPr>
        <w:t>A key challenge</w:t>
      </w:r>
      <w:r w:rsidR="00D50DF1">
        <w:rPr>
          <w:color w:val="000000"/>
        </w:rPr>
        <w:t xml:space="preserve"> for human rights activists</w:t>
      </w:r>
      <w:r>
        <w:rPr>
          <w:color w:val="000000"/>
        </w:rPr>
        <w:t xml:space="preserve"> is that t</w:t>
      </w:r>
      <w:r w:rsidR="003143A8">
        <w:rPr>
          <w:color w:val="000000"/>
        </w:rPr>
        <w:t xml:space="preserve">he right of return is not universally </w:t>
      </w:r>
      <w:r w:rsidR="00B005D1">
        <w:rPr>
          <w:color w:val="000000"/>
        </w:rPr>
        <w:t>defined or even welcomed in legal or political terms</w:t>
      </w:r>
      <w:r w:rsidR="003143A8">
        <w:rPr>
          <w:color w:val="000000"/>
        </w:rPr>
        <w:t xml:space="preserve">. </w:t>
      </w:r>
      <w:r w:rsidR="00B005D1">
        <w:rPr>
          <w:color w:val="000000"/>
        </w:rPr>
        <w:t xml:space="preserve">AN </w:t>
      </w:r>
      <w:proofErr w:type="gramStart"/>
      <w:r w:rsidR="00B005D1">
        <w:rPr>
          <w:color w:val="000000"/>
        </w:rPr>
        <w:t>often unchallenged</w:t>
      </w:r>
      <w:proofErr w:type="gramEnd"/>
      <w:r w:rsidR="00D50DF1">
        <w:rPr>
          <w:color w:val="000000"/>
        </w:rPr>
        <w:t xml:space="preserve"> </w:t>
      </w:r>
      <w:r w:rsidR="002C069A">
        <w:rPr>
          <w:color w:val="000000"/>
        </w:rPr>
        <w:t>view is that protracted refugee situations tend to produce radicalized populations</w:t>
      </w:r>
      <w:r w:rsidR="004C528C">
        <w:rPr>
          <w:color w:val="000000"/>
        </w:rPr>
        <w:t xml:space="preserve"> that would cause </w:t>
      </w:r>
      <w:r w:rsidR="004C528C">
        <w:rPr>
          <w:color w:val="000000"/>
        </w:rPr>
        <w:lastRenderedPageBreak/>
        <w:t xml:space="preserve">renewed conflict </w:t>
      </w:r>
      <w:r w:rsidR="00D50DF1">
        <w:rPr>
          <w:color w:val="000000"/>
        </w:rPr>
        <w:t>if IDPs and refugees are allowed to</w:t>
      </w:r>
      <w:r w:rsidR="004C528C">
        <w:rPr>
          <w:color w:val="000000"/>
        </w:rPr>
        <w:t xml:space="preserve"> return back</w:t>
      </w:r>
      <w:r w:rsidR="002C069A">
        <w:rPr>
          <w:color w:val="000000"/>
        </w:rPr>
        <w:t xml:space="preserve"> (Adelman, 1998; </w:t>
      </w:r>
      <w:proofErr w:type="spellStart"/>
      <w:r w:rsidR="002C069A">
        <w:rPr>
          <w:color w:val="000000"/>
        </w:rPr>
        <w:t>Sude</w:t>
      </w:r>
      <w:proofErr w:type="spellEnd"/>
      <w:r w:rsidR="002C069A">
        <w:rPr>
          <w:color w:val="000000"/>
        </w:rPr>
        <w:t xml:space="preserve"> et al. 2015; </w:t>
      </w:r>
      <w:proofErr w:type="spellStart"/>
      <w:r w:rsidR="002C069A">
        <w:rPr>
          <w:color w:val="000000"/>
        </w:rPr>
        <w:t>Lischer</w:t>
      </w:r>
      <w:proofErr w:type="spellEnd"/>
      <w:r w:rsidR="002C069A">
        <w:rPr>
          <w:color w:val="000000"/>
        </w:rPr>
        <w:t xml:space="preserve"> 2015).</w:t>
      </w:r>
      <w:r w:rsidR="00BD3138">
        <w:rPr>
          <w:color w:val="000000"/>
        </w:rPr>
        <w:t xml:space="preserve"> </w:t>
      </w:r>
      <w:r w:rsidR="004C528C">
        <w:t>F</w:t>
      </w:r>
      <w:r w:rsidR="00A1726C">
        <w:t>ollowing the signing of the Dayton Accords, Chaim Kaufmann argued that refugee return provisions are undesirable and unenforceable suggesting instead compensations for lost property (Kaufmann, 1996:168).</w:t>
      </w:r>
      <w:r w:rsidR="00BB421D">
        <w:t xml:space="preserve"> </w:t>
      </w:r>
      <w:r w:rsidR="004C528C">
        <w:rPr>
          <w:lang w:val="en-GB"/>
        </w:rPr>
        <w:t>O</w:t>
      </w:r>
      <w:r w:rsidR="00BB421D">
        <w:rPr>
          <w:lang w:val="en-GB"/>
        </w:rPr>
        <w:t>thers have emphasized the security dimension of the issue and even coined the</w:t>
      </w:r>
      <w:r w:rsidR="003143A8">
        <w:rPr>
          <w:lang w:val="en-GB"/>
        </w:rPr>
        <w:t xml:space="preserve"> term</w:t>
      </w:r>
      <w:r w:rsidR="00BB421D" w:rsidRPr="00BB421D">
        <w:rPr>
          <w:lang w:val="en-GB"/>
        </w:rPr>
        <w:t xml:space="preserve"> “refugee warriors” (</w:t>
      </w:r>
      <w:proofErr w:type="spellStart"/>
      <w:r w:rsidR="00BB421D" w:rsidRPr="00BB421D">
        <w:rPr>
          <w:lang w:val="en-GB"/>
        </w:rPr>
        <w:t>Zol</w:t>
      </w:r>
      <w:r w:rsidR="00BB421D">
        <w:rPr>
          <w:lang w:val="en-GB"/>
        </w:rPr>
        <w:t>berg</w:t>
      </w:r>
      <w:proofErr w:type="spellEnd"/>
      <w:r w:rsidR="00BB421D">
        <w:rPr>
          <w:lang w:val="en-GB"/>
        </w:rPr>
        <w:t xml:space="preserve"> et. al. 1986</w:t>
      </w:r>
      <w:r w:rsidR="004C528C">
        <w:rPr>
          <w:lang w:val="en-GB"/>
        </w:rPr>
        <w:t>) introducing a language that explicitly use security concerns to limit IDP and refugee rights.</w:t>
      </w:r>
      <w:r w:rsidR="00BB421D">
        <w:rPr>
          <w:lang w:val="en-GB"/>
        </w:rPr>
        <w:t xml:space="preserve"> </w:t>
      </w:r>
      <w:r w:rsidR="00BB421D" w:rsidRPr="00BB421D">
        <w:t xml:space="preserve">Adelman and </w:t>
      </w:r>
      <w:proofErr w:type="spellStart"/>
      <w:r w:rsidR="00BB421D" w:rsidRPr="00BB421D">
        <w:t>Barkan</w:t>
      </w:r>
      <w:proofErr w:type="spellEnd"/>
      <w:r w:rsidR="00BB421D" w:rsidRPr="00BB421D">
        <w:t xml:space="preserve"> are probably the strongest proponents</w:t>
      </w:r>
      <w:r w:rsidR="00BB421D">
        <w:t xml:space="preserve"> of the ‘irreversibility thesis; they specifically argue that </w:t>
      </w:r>
      <w:r w:rsidR="00BB421D">
        <w:rPr>
          <w:lang w:val="en-GB"/>
        </w:rPr>
        <w:t>“</w:t>
      </w:r>
      <w:r w:rsidR="00BB421D" w:rsidRPr="00BB421D">
        <w:t>the ideology and commitment to return</w:t>
      </w:r>
      <w:r w:rsidR="00BB421D">
        <w:t>,</w:t>
      </w:r>
      <w:r w:rsidR="00BB421D" w:rsidRPr="00BB421D">
        <w:t xml:space="preserve"> conveys the notion of repatriation as a distant, impractical solution i</w:t>
      </w:r>
      <w:r w:rsidR="00BB421D">
        <w:t>n the face of real desperation’</w:t>
      </w:r>
      <w:r w:rsidR="00BB421D">
        <w:rPr>
          <w:lang w:val="en-GB"/>
        </w:rPr>
        <w:t xml:space="preserve"> </w:t>
      </w:r>
      <w:r w:rsidR="00950DB5">
        <w:rPr>
          <w:lang w:val="en-GB"/>
        </w:rPr>
        <w:t>(</w:t>
      </w:r>
      <w:r w:rsidR="00BB421D" w:rsidRPr="00BB421D">
        <w:t xml:space="preserve">Adelman and </w:t>
      </w:r>
      <w:proofErr w:type="spellStart"/>
      <w:r w:rsidR="00BB421D" w:rsidRPr="00BB421D">
        <w:t>Barkan</w:t>
      </w:r>
      <w:proofErr w:type="spellEnd"/>
      <w:r w:rsidR="00BB421D" w:rsidRPr="00BB421D">
        <w:t xml:space="preserve"> 2011:</w:t>
      </w:r>
      <w:r w:rsidR="00BB421D">
        <w:t xml:space="preserve"> </w:t>
      </w:r>
      <w:r w:rsidR="00BB421D" w:rsidRPr="00BB421D">
        <w:t>xvii).</w:t>
      </w:r>
      <w:r w:rsidR="00BB421D" w:rsidRPr="00BB421D">
        <w:rPr>
          <w:lang w:val="en-GB"/>
        </w:rPr>
        <w:t xml:space="preserve"> </w:t>
      </w:r>
      <w:r w:rsidR="00BB421D" w:rsidRPr="00BB421D">
        <w:t xml:space="preserve"> </w:t>
      </w:r>
      <w:r w:rsidR="00A1726C" w:rsidRPr="00BB421D">
        <w:t xml:space="preserve">Amongst those the general assumption is that forced displacements are irreversible once new demographic facts are established on the ground (e.g., Kaufmann 1996; Adelman &amp; </w:t>
      </w:r>
      <w:proofErr w:type="spellStart"/>
      <w:r w:rsidR="00A1726C" w:rsidRPr="00BB421D">
        <w:t>Barkan</w:t>
      </w:r>
      <w:proofErr w:type="spellEnd"/>
      <w:r w:rsidR="00A1726C" w:rsidRPr="00BB421D">
        <w:t xml:space="preserve"> 2011).</w:t>
      </w:r>
      <w:r w:rsidR="00BB421D">
        <w:t xml:space="preserve"> </w:t>
      </w:r>
    </w:p>
    <w:p w14:paraId="12384966" w14:textId="664A3764" w:rsidR="00950DB5" w:rsidRDefault="00BB421D" w:rsidP="00950DB5">
      <w:pPr>
        <w:autoSpaceDE w:val="0"/>
        <w:autoSpaceDN w:val="0"/>
        <w:adjustRightInd w:val="0"/>
        <w:spacing w:line="480" w:lineRule="auto"/>
        <w:ind w:firstLine="720"/>
      </w:pPr>
      <w:r>
        <w:t>This book challenges the irreversibility thesis in three different ways. First, our database of peace processes and dura</w:t>
      </w:r>
      <w:r w:rsidR="005F3555">
        <w:t xml:space="preserve">ble returns demonstrates how in comprehensive peace settlements, IDPs and refugees are </w:t>
      </w:r>
      <w:r w:rsidR="00451F23">
        <w:t>supp</w:t>
      </w:r>
      <w:r w:rsidR="00D50DF1">
        <w:t>orted through various</w:t>
      </w:r>
      <w:r w:rsidR="00451F23">
        <w:t xml:space="preserve"> mechanisms</w:t>
      </w:r>
      <w:r w:rsidR="00A84547">
        <w:t>. The rates of return</w:t>
      </w:r>
      <w:r w:rsidR="009F1D38">
        <w:t xml:space="preserve"> among IDPs and refugees in 25 </w:t>
      </w:r>
      <w:r w:rsidR="00451F23">
        <w:t>comprehensive settlements we examined using the Peace Accords matrix of the Kroc Institute suggest a range of</w:t>
      </w:r>
      <w:r w:rsidR="001618B6">
        <w:t xml:space="preserve"> outcomes from</w:t>
      </w:r>
      <w:r w:rsidR="00451F23">
        <w:t xml:space="preserve"> almost full return (e.g. El Salvador) to ten percent return (Angola)</w:t>
      </w:r>
      <w:r w:rsidR="001618B6">
        <w:t>; the remaining cases lie within this range</w:t>
      </w:r>
      <w:r w:rsidR="00A84547">
        <w:t xml:space="preserve">. Secondly, </w:t>
      </w:r>
      <w:r w:rsidR="00C24F24">
        <w:t>our</w:t>
      </w:r>
      <w:r w:rsidR="00451F23">
        <w:t xml:space="preserve"> own survey</w:t>
      </w:r>
      <w:r w:rsidR="00C24F24">
        <w:t xml:space="preserve"> data do not support claims</w:t>
      </w:r>
      <w:r w:rsidR="00A84547">
        <w:t xml:space="preserve"> that IDPs and refugees tend to be more radicalized</w:t>
      </w:r>
      <w:r w:rsidR="006D7A92">
        <w:t xml:space="preserve"> (</w:t>
      </w:r>
      <w:proofErr w:type="spellStart"/>
      <w:r w:rsidR="006D7A92">
        <w:t>Psaltis</w:t>
      </w:r>
      <w:proofErr w:type="spellEnd"/>
      <w:r w:rsidR="006D7A92">
        <w:t xml:space="preserve"> et al. forthcoming)</w:t>
      </w:r>
      <w:r w:rsidR="00A84547">
        <w:t>; in our Cyprus survey, IDPs were even more likely to support</w:t>
      </w:r>
      <w:r>
        <w:t xml:space="preserve"> </w:t>
      </w:r>
      <w:r w:rsidR="00A84547">
        <w:t>a future settlement</w:t>
      </w:r>
      <w:r w:rsidR="00DA6B7C">
        <w:t xml:space="preserve"> than non-IDPs</w:t>
      </w:r>
      <w:r w:rsidR="00451F23">
        <w:t xml:space="preserve"> while in Bosnia returnees were more open to reconciliation (Hall et.al 2018). Finally,</w:t>
      </w:r>
      <w:r w:rsidR="00DA6B7C">
        <w:t xml:space="preserve"> </w:t>
      </w:r>
      <w:r w:rsidR="001618B6">
        <w:t>our Cyprus data suggest</w:t>
      </w:r>
      <w:r w:rsidR="00A84547">
        <w:t xml:space="preserve"> replacing</w:t>
      </w:r>
      <w:r w:rsidR="00950DB5">
        <w:t xml:space="preserve"> the</w:t>
      </w:r>
      <w:r w:rsidR="00A84547">
        <w:t xml:space="preserve"> </w:t>
      </w:r>
      <w:r w:rsidR="00950DB5">
        <w:rPr>
          <w:i/>
        </w:rPr>
        <w:t>i</w:t>
      </w:r>
      <w:r w:rsidR="00DA6B7C" w:rsidRPr="00A8672E">
        <w:rPr>
          <w:i/>
        </w:rPr>
        <w:t xml:space="preserve">rreversibility </w:t>
      </w:r>
      <w:r w:rsidR="00A84547">
        <w:t>w</w:t>
      </w:r>
      <w:r w:rsidR="00D50DF1">
        <w:t>ith the</w:t>
      </w:r>
      <w:r w:rsidR="00A84547">
        <w:t xml:space="preserve"> </w:t>
      </w:r>
      <w:r w:rsidR="00A84547" w:rsidRPr="00A8672E">
        <w:rPr>
          <w:i/>
        </w:rPr>
        <w:t>Goldilocks</w:t>
      </w:r>
      <w:r w:rsidR="00950DB5">
        <w:rPr>
          <w:i/>
        </w:rPr>
        <w:t xml:space="preserve"> zone</w:t>
      </w:r>
      <w:r w:rsidR="00A84547" w:rsidRPr="00A8672E">
        <w:rPr>
          <w:i/>
        </w:rPr>
        <w:t xml:space="preserve"> thesis</w:t>
      </w:r>
      <w:r w:rsidR="00950DB5">
        <w:rPr>
          <w:i/>
        </w:rPr>
        <w:t xml:space="preserve">. </w:t>
      </w:r>
      <w:r w:rsidR="00950DB5">
        <w:t>We</w:t>
      </w:r>
      <w:r w:rsidR="00A84547">
        <w:t xml:space="preserve"> </w:t>
      </w:r>
      <w:r w:rsidR="00950DB5">
        <w:t>argue</w:t>
      </w:r>
      <w:r w:rsidR="00A8672E">
        <w:t xml:space="preserve"> that </w:t>
      </w:r>
      <w:r w:rsidR="00A84547">
        <w:t xml:space="preserve">return under Turkish Cypriot administration is expected to happen in significant numbers for Greek Cypriots to make reunification </w:t>
      </w:r>
      <w:r w:rsidR="00DA6B7C">
        <w:t xml:space="preserve">meaningful </w:t>
      </w:r>
      <w:r w:rsidR="00A84547">
        <w:t>but is not expected to exceed more than a quarter of the</w:t>
      </w:r>
      <w:r w:rsidR="00D50DF1">
        <w:t xml:space="preserve"> affected</w:t>
      </w:r>
      <w:r w:rsidR="00A84547">
        <w:t xml:space="preserve"> </w:t>
      </w:r>
      <w:r w:rsidR="00A84547">
        <w:lastRenderedPageBreak/>
        <w:t>IDP population</w:t>
      </w:r>
      <w:r w:rsidR="00950DB5">
        <w:t>. Greek Cypriot IDP return will not</w:t>
      </w:r>
      <w:r w:rsidR="00A84547">
        <w:t xml:space="preserve"> create ‘practical difficulties’ for Turkish Cypriots as </w:t>
      </w:r>
      <w:r w:rsidR="00DA6B7C">
        <w:t>those are i</w:t>
      </w:r>
      <w:r w:rsidR="00A8672E">
        <w:t>mplied for instance in the High-</w:t>
      </w:r>
      <w:r w:rsidR="00DA6B7C">
        <w:t>Level a</w:t>
      </w:r>
      <w:r w:rsidR="00950DB5">
        <w:t>greement</w:t>
      </w:r>
      <w:r w:rsidR="001618B6">
        <w:t>, however, to be absolutely confident and to convince the leaderships of both sides we propose</w:t>
      </w:r>
      <w:r w:rsidR="00950DB5">
        <w:t xml:space="preserve"> a non-binding census of all IDPs and their preferences ahead of any further discussion on the issue. </w:t>
      </w:r>
      <w:r w:rsidR="00DA6B7C">
        <w:t xml:space="preserve"> </w:t>
      </w:r>
    </w:p>
    <w:p w14:paraId="7F22B5B6" w14:textId="230B8874" w:rsidR="00950DB5" w:rsidRDefault="00A84547" w:rsidP="00950DB5">
      <w:pPr>
        <w:autoSpaceDE w:val="0"/>
        <w:autoSpaceDN w:val="0"/>
        <w:adjustRightInd w:val="0"/>
        <w:spacing w:line="480" w:lineRule="auto"/>
        <w:ind w:firstLine="720"/>
      </w:pPr>
      <w:r>
        <w:t xml:space="preserve"> </w:t>
      </w:r>
      <w:r w:rsidR="00DA6B7C">
        <w:rPr>
          <w:lang w:val="en-GB"/>
        </w:rPr>
        <w:t xml:space="preserve">This latter point suggests that </w:t>
      </w:r>
      <w:r w:rsidR="00A8672E">
        <w:rPr>
          <w:lang w:val="en-GB"/>
        </w:rPr>
        <w:t xml:space="preserve">pragmatism needs to be combined with legal principles (or their absence) to address comparable situations. The pragmatic approach to problems facing post-conflict societies </w:t>
      </w:r>
      <w:r w:rsidR="00A8672E">
        <w:t>looks</w:t>
      </w:r>
      <w:r w:rsidR="00BB421D">
        <w:t xml:space="preserve"> on how people reconstruct their lives and prioritizes restorative justice and community rebuilding. It looks at a wider range of factors including the need for victim-offender mediations (</w:t>
      </w:r>
      <w:proofErr w:type="spellStart"/>
      <w:r w:rsidR="00BB421D">
        <w:t>Zehr</w:t>
      </w:r>
      <w:proofErr w:type="spellEnd"/>
      <w:r w:rsidR="00BB421D">
        <w:t xml:space="preserve"> &amp; Mika, 1998), mutually agreed compromises, the passage of time, local power dynamics, and the rights of non-indigenous groups</w:t>
      </w:r>
      <w:r w:rsidR="00950DB5">
        <w:t>/settlers</w:t>
      </w:r>
      <w:r w:rsidR="00BB421D">
        <w:t xml:space="preserve"> or their descendants (</w:t>
      </w:r>
      <w:proofErr w:type="spellStart"/>
      <w:r w:rsidR="00BB421D">
        <w:t>Carens</w:t>
      </w:r>
      <w:proofErr w:type="spellEnd"/>
      <w:r w:rsidR="00BB421D">
        <w:t xml:space="preserve">, 2000: </w:t>
      </w:r>
      <w:r w:rsidR="00BB421D" w:rsidRPr="002200B7">
        <w:t>217</w:t>
      </w:r>
      <w:r w:rsidR="00BB421D">
        <w:t>).</w:t>
      </w:r>
      <w:r w:rsidR="00A8672E">
        <w:t xml:space="preserve"> </w:t>
      </w:r>
      <w:r w:rsidR="00950DB5">
        <w:t>International mediators have often been exposed to the challenges of IDP and refugee return across divided and post-conflict societies therefore comparative expertise and precedents matter.</w:t>
      </w:r>
      <w:r w:rsidR="00D50DF1">
        <w:t xml:space="preserve"> As noted above, it is unlikely to see </w:t>
      </w:r>
      <w:r w:rsidR="00D11B3B">
        <w:t xml:space="preserve">freely </w:t>
      </w:r>
      <w:r w:rsidR="00D50DF1">
        <w:t xml:space="preserve">negotiated </w:t>
      </w:r>
      <w:r w:rsidR="00D11B3B">
        <w:t>peace settlements</w:t>
      </w:r>
      <w:r w:rsidR="00D50DF1">
        <w:t xml:space="preserve"> not r</w:t>
      </w:r>
      <w:r w:rsidR="00D11B3B">
        <w:t xml:space="preserve">especting the right of return in the future (with the exclusion of cases from WWII and before); even in the absence of the legal framework a norm is emerging particularly among the largely IDP and refugee nations (e.g. the Palestinians, Cypriots, the Rohingyas).  </w:t>
      </w:r>
    </w:p>
    <w:p w14:paraId="26DC6437" w14:textId="6E2FBBCE" w:rsidR="00950DB5" w:rsidRPr="00950DB5" w:rsidRDefault="00D11B3B" w:rsidP="00950DB5">
      <w:pPr>
        <w:autoSpaceDE w:val="0"/>
        <w:autoSpaceDN w:val="0"/>
        <w:adjustRightInd w:val="0"/>
        <w:spacing w:line="480" w:lineRule="auto"/>
        <w:ind w:firstLine="720"/>
        <w:rPr>
          <w:rFonts w:eastAsia="Times New Roman"/>
          <w:lang w:eastAsia="en-US"/>
        </w:rPr>
      </w:pPr>
      <w:r>
        <w:rPr>
          <w:lang w:val="en"/>
        </w:rPr>
        <w:t xml:space="preserve">Yet in the absence of legal frameworks, not only intentions but also precedents are important. </w:t>
      </w:r>
      <w:r w:rsidR="00950DB5">
        <w:rPr>
          <w:lang w:val="en"/>
        </w:rPr>
        <w:t xml:space="preserve">Drawing on another experience from Rwanda, a member of </w:t>
      </w:r>
      <w:r w:rsidR="003901A6">
        <w:rPr>
          <w:lang w:val="en"/>
        </w:rPr>
        <w:t>De Soto’s</w:t>
      </w:r>
      <w:r w:rsidR="00950DB5">
        <w:rPr>
          <w:lang w:val="en"/>
        </w:rPr>
        <w:t xml:space="preserve"> team</w:t>
      </w:r>
      <w:r w:rsidR="00EC09EC">
        <w:rPr>
          <w:lang w:val="en"/>
        </w:rPr>
        <w:t xml:space="preserve"> in Cyprus during the Annan Plan talks,</w:t>
      </w:r>
      <w:r w:rsidR="001618B6">
        <w:rPr>
          <w:lang w:val="en"/>
        </w:rPr>
        <w:t xml:space="preserve"> Lisa Jones pointed</w:t>
      </w:r>
      <w:r w:rsidR="00950DB5">
        <w:rPr>
          <w:lang w:val="en"/>
        </w:rPr>
        <w:t xml:space="preserve"> out</w:t>
      </w:r>
      <w:r w:rsidR="00950DB5" w:rsidRPr="00415FAC">
        <w:rPr>
          <w:lang w:val="en"/>
        </w:rPr>
        <w:t xml:space="preserve"> that fundamental rights of the affected population should be carefully balanced with security concerns </w:t>
      </w:r>
      <w:r w:rsidR="00950DB5">
        <w:rPr>
          <w:lang w:val="en"/>
        </w:rPr>
        <w:t xml:space="preserve">and </w:t>
      </w:r>
      <w:r w:rsidR="00950DB5" w:rsidRPr="00415FAC">
        <w:rPr>
          <w:lang w:val="en"/>
        </w:rPr>
        <w:t>comments positively on post-genocide, community-based arrangements to share land among returnees and new owners,</w:t>
      </w:r>
      <w:r w:rsidR="00950DB5">
        <w:rPr>
          <w:lang w:val="en"/>
        </w:rPr>
        <w:t xml:space="preserve"> thus avoiding the prospect of</w:t>
      </w:r>
      <w:r w:rsidR="00950DB5" w:rsidRPr="00415FAC">
        <w:rPr>
          <w:lang w:val="en"/>
        </w:rPr>
        <w:t xml:space="preserve"> renewed-violence (Jones, 2003: 223 </w:t>
      </w:r>
      <w:r w:rsidR="00950DB5">
        <w:rPr>
          <w:lang w:val="en"/>
        </w:rPr>
        <w:t xml:space="preserve">&amp; </w:t>
      </w:r>
      <w:r w:rsidR="00950DB5" w:rsidRPr="00415FAC">
        <w:rPr>
          <w:lang w:val="en"/>
        </w:rPr>
        <w:t xml:space="preserve">217). </w:t>
      </w:r>
      <w:r w:rsidR="00950DB5">
        <w:t xml:space="preserve">Jones’s argumentation reflects the fusion </w:t>
      </w:r>
      <w:r w:rsidR="003901A6">
        <w:t xml:space="preserve">of </w:t>
      </w:r>
      <w:r w:rsidR="00950DB5">
        <w:t>alternative orientations in the literature and practice of conflict resolution:</w:t>
      </w:r>
      <w:r w:rsidR="003901A6">
        <w:t xml:space="preserve"> as noted earlier</w:t>
      </w:r>
      <w:r w:rsidR="00950DB5">
        <w:t xml:space="preserve"> </w:t>
      </w:r>
      <w:r w:rsidR="00950DB5" w:rsidRPr="00975951">
        <w:rPr>
          <w:i/>
        </w:rPr>
        <w:t>Human r</w:t>
      </w:r>
      <w:r w:rsidR="00950DB5">
        <w:rPr>
          <w:i/>
        </w:rPr>
        <w:t>ights/Legalism</w:t>
      </w:r>
      <w:r w:rsidR="00950DB5">
        <w:t xml:space="preserve"> is based on the </w:t>
      </w:r>
      <w:r w:rsidR="00950DB5">
        <w:lastRenderedPageBreak/>
        <w:t>applicability of universal norms and high stan</w:t>
      </w:r>
      <w:r w:rsidR="003901A6">
        <w:t>dards of retributive justice while</w:t>
      </w:r>
      <w:r w:rsidR="00950DB5">
        <w:t xml:space="preserve"> </w:t>
      </w:r>
      <w:r w:rsidR="00950DB5" w:rsidRPr="00526C29">
        <w:rPr>
          <w:i/>
        </w:rPr>
        <w:t>pragmatism</w:t>
      </w:r>
      <w:r w:rsidR="00950DB5">
        <w:rPr>
          <w:i/>
        </w:rPr>
        <w:t>,</w:t>
      </w:r>
      <w:r w:rsidR="00950DB5" w:rsidRPr="006370F2">
        <w:t xml:space="preserve"> which</w:t>
      </w:r>
      <w:r w:rsidR="00950DB5">
        <w:t xml:space="preserve"> relies on adaptation to local conditions and political expediency (Leckie, 2003:25; Snyder and </w:t>
      </w:r>
      <w:proofErr w:type="spellStart"/>
      <w:r w:rsidR="00950DB5">
        <w:t>Vinjamuri</w:t>
      </w:r>
      <w:proofErr w:type="spellEnd"/>
      <w:r w:rsidR="00950DB5">
        <w:t xml:space="preserve">, 2003; </w:t>
      </w:r>
      <w:proofErr w:type="spellStart"/>
      <w:r w:rsidR="00950DB5">
        <w:t>Vinjamuri</w:t>
      </w:r>
      <w:proofErr w:type="spellEnd"/>
      <w:r w:rsidR="00950DB5">
        <w:t xml:space="preserve"> and Snyder, 2004). </w:t>
      </w:r>
    </w:p>
    <w:p w14:paraId="61A373F0" w14:textId="684D0D4E" w:rsidR="004137E1" w:rsidRDefault="00A8672E" w:rsidP="00A8672E">
      <w:pPr>
        <w:autoSpaceDE w:val="0"/>
        <w:autoSpaceDN w:val="0"/>
        <w:adjustRightInd w:val="0"/>
        <w:spacing w:line="480" w:lineRule="auto"/>
        <w:ind w:firstLine="720"/>
      </w:pPr>
      <w:r>
        <w:t xml:space="preserve">While the book endorses this understanding of pragmatism it makes two qualifications: first, short term political </w:t>
      </w:r>
      <w:r w:rsidR="001618B6">
        <w:t>expediency should not limit or endanger</w:t>
      </w:r>
      <w:r>
        <w:t xml:space="preserve"> the search towards universal human rights standards (if there is to be a marriage between the two the dominant partner should be the former) and secondly not all pragmatic approaches have equal effects. For example, the </w:t>
      </w:r>
      <w:r w:rsidR="00610716">
        <w:t>book critiques both the UN and</w:t>
      </w:r>
      <w:r>
        <w:t xml:space="preserve"> ECHR </w:t>
      </w:r>
      <w:r w:rsidR="00610716">
        <w:t>approaches</w:t>
      </w:r>
      <w:r>
        <w:t xml:space="preserve"> on</w:t>
      </w:r>
      <w:r w:rsidR="00610716">
        <w:t xml:space="preserve"> IDPs </w:t>
      </w:r>
      <w:r w:rsidR="00950DB5">
        <w:t>providing a new framework combining novel institutional formulas</w:t>
      </w:r>
      <w:r w:rsidR="001618B6">
        <w:t>, social capital</w:t>
      </w:r>
      <w:r w:rsidR="00950DB5">
        <w:t xml:space="preserve"> and survey technologies.</w:t>
      </w:r>
    </w:p>
    <w:p w14:paraId="7A45BBE4" w14:textId="18D57FA9" w:rsidR="001618B6" w:rsidRDefault="001618B6" w:rsidP="006D6323">
      <w:pPr>
        <w:autoSpaceDE w:val="0"/>
        <w:autoSpaceDN w:val="0"/>
        <w:adjustRightInd w:val="0"/>
        <w:spacing w:line="480" w:lineRule="auto"/>
        <w:ind w:firstLine="720"/>
      </w:pPr>
      <w:r>
        <w:t>With regards to surveys</w:t>
      </w:r>
      <w:r w:rsidR="00EC09EC">
        <w:t>, the book revisits the idea of a census of all IDPs and current users aiming to identify the zone of possible agreement through amicable compromises. So far</w:t>
      </w:r>
      <w:r>
        <w:t>,</w:t>
      </w:r>
      <w:r w:rsidR="00EC09EC">
        <w:t xml:space="preserve"> conventional wisdom assumed a trilemma on the Cyprus problem. If Greek Cypriot had the right to choose first </w:t>
      </w:r>
      <w:r>
        <w:t xml:space="preserve">on </w:t>
      </w:r>
      <w:r w:rsidR="00EC09EC">
        <w:t>the</w:t>
      </w:r>
      <w:r>
        <w:t xml:space="preserve"> fate of their properties, Turkish Cypriot users</w:t>
      </w:r>
      <w:r w:rsidR="00EC09EC">
        <w:t xml:space="preserve"> wi</w:t>
      </w:r>
      <w:r>
        <w:t>ll be disappointed. If Turkish Cypriot users get the first say, Greek Cypriots will find such an arrangement unacceptable. If the situation stays as it is both communities lose because of lack of clarity as to rights while efforts by the UN to identify criteria for restitution or compensation have been extremely time-consuming and caused uproar on both communities. The census idea resolves this trilem</w:t>
      </w:r>
      <w:r w:rsidR="006D6323">
        <w:t xml:space="preserve">ma particularly if sufficient number of IDPs are already certain as to how to allocate their properties (as also shown our surveys). If a proportion of Greek Cypriots is certain as to non-return then their decisions (assuming sufficient compensations) secures Turkish Cypriot majority private ownership and population. If a portion of Greek Cypriots aspires to immediate return even under Turkish Cypriot administration, then their return becomes easier once the former </w:t>
      </w:r>
      <w:proofErr w:type="gramStart"/>
      <w:r w:rsidR="006D6323">
        <w:t>have</w:t>
      </w:r>
      <w:proofErr w:type="gramEnd"/>
      <w:r w:rsidR="006D6323">
        <w:t xml:space="preserve"> </w:t>
      </w:r>
      <w:r w:rsidR="007E7D66">
        <w:t xml:space="preserve">been </w:t>
      </w:r>
      <w:r w:rsidR="006D6323">
        <w:t>secured a key concess</w:t>
      </w:r>
      <w:r w:rsidR="003901A6">
        <w:t>ion</w:t>
      </w:r>
      <w:r w:rsidR="00E97829">
        <w:t xml:space="preserve"> related to their understanding of </w:t>
      </w:r>
      <w:proofErr w:type="spellStart"/>
      <w:r w:rsidR="00E97829">
        <w:t>bizonality</w:t>
      </w:r>
      <w:proofErr w:type="spellEnd"/>
      <w:r w:rsidR="003901A6">
        <w:t>. This arrangement</w:t>
      </w:r>
      <w:r w:rsidR="006D6323">
        <w:t xml:space="preserve"> </w:t>
      </w:r>
      <w:r w:rsidR="007E7D66">
        <w:t xml:space="preserve">does not leave </w:t>
      </w:r>
      <w:r w:rsidR="006D6323">
        <w:lastRenderedPageBreak/>
        <w:t xml:space="preserve">undecided </w:t>
      </w:r>
      <w:r w:rsidR="007E7D66">
        <w:t>respondents out of the picture</w:t>
      </w:r>
      <w:r w:rsidR="003901A6">
        <w:t xml:space="preserve"> though</w:t>
      </w:r>
      <w:r w:rsidR="00E97829">
        <w:t>; better arrangements for them become</w:t>
      </w:r>
      <w:r w:rsidR="007E7D66">
        <w:t xml:space="preserve"> easier by minimizing the overall cases for property commissions</w:t>
      </w:r>
      <w:r w:rsidR="00E97829">
        <w:t xml:space="preserve"> and by removing the </w:t>
      </w:r>
      <w:proofErr w:type="spellStart"/>
      <w:r w:rsidR="00E97829">
        <w:t>bizonality</w:t>
      </w:r>
      <w:proofErr w:type="spellEnd"/>
      <w:r w:rsidR="00E97829">
        <w:t xml:space="preserve"> constraints once a certain percentage of IDPs opt for compensations</w:t>
      </w:r>
      <w:r w:rsidR="007E7D66">
        <w:t>. Besides the census, online apps could be developed for respondents to change their mind (until they are asked to sign) thus potentially minimizing undecided respondents and offering all affected individuals equal chances and the opportunity to re-adjust their views during public deliberations</w:t>
      </w:r>
      <w:r w:rsidR="003901A6">
        <w:t xml:space="preserve"> for the settlement</w:t>
      </w:r>
      <w:r w:rsidR="007E7D66">
        <w:t xml:space="preserve">.  </w:t>
      </w:r>
    </w:p>
    <w:p w14:paraId="3897085C" w14:textId="77777777" w:rsidR="00BB421D" w:rsidRDefault="00BB421D" w:rsidP="00BB421D"/>
    <w:p w14:paraId="540614A2" w14:textId="77777777" w:rsidR="00343AC4" w:rsidRDefault="00343AC4" w:rsidP="00343AC4">
      <w:pPr>
        <w:autoSpaceDE w:val="0"/>
        <w:autoSpaceDN w:val="0"/>
        <w:adjustRightInd w:val="0"/>
        <w:spacing w:line="480" w:lineRule="auto"/>
      </w:pPr>
      <w:bookmarkStart w:id="0" w:name="_GoBack"/>
      <w:bookmarkEnd w:id="0"/>
    </w:p>
    <w:p w14:paraId="08526059" w14:textId="77777777" w:rsidR="00343AC4" w:rsidRDefault="00343AC4" w:rsidP="00343AC4">
      <w:pPr>
        <w:autoSpaceDE w:val="0"/>
        <w:autoSpaceDN w:val="0"/>
        <w:adjustRightInd w:val="0"/>
        <w:spacing w:line="480" w:lineRule="auto"/>
      </w:pPr>
      <w:r>
        <w:t xml:space="preserve">Please contact Neophytos Loizides at </w:t>
      </w:r>
      <w:hyperlink r:id="rId8" w:history="1">
        <w:r w:rsidRPr="007E4B24">
          <w:rPr>
            <w:rStyle w:val="Hyperlink"/>
          </w:rPr>
          <w:t>n.loizides@kent.ac.uk</w:t>
        </w:r>
      </w:hyperlink>
      <w:r>
        <w:t xml:space="preserve"> for full citation  </w:t>
      </w:r>
    </w:p>
    <w:p w14:paraId="78393449" w14:textId="7EA8FDA9" w:rsidR="00BB421D" w:rsidRDefault="00BB421D" w:rsidP="00F44719">
      <w:pPr>
        <w:autoSpaceDE w:val="0"/>
        <w:autoSpaceDN w:val="0"/>
        <w:adjustRightInd w:val="0"/>
        <w:spacing w:line="480" w:lineRule="auto"/>
      </w:pPr>
    </w:p>
    <w:p w14:paraId="63731834" w14:textId="77777777" w:rsidR="002225F0" w:rsidRDefault="002225F0"/>
    <w:sectPr w:rsidR="002225F0" w:rsidSect="00B54B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59996" w14:textId="77777777" w:rsidR="008B7B1E" w:rsidRDefault="008B7B1E" w:rsidP="00F44719">
      <w:r>
        <w:separator/>
      </w:r>
    </w:p>
  </w:endnote>
  <w:endnote w:type="continuationSeparator" w:id="0">
    <w:p w14:paraId="66E34005" w14:textId="77777777" w:rsidR="008B7B1E" w:rsidRDefault="008B7B1E" w:rsidP="00F4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A64CB" w14:textId="77777777" w:rsidR="008B7B1E" w:rsidRDefault="008B7B1E" w:rsidP="00F44719">
      <w:r>
        <w:separator/>
      </w:r>
    </w:p>
  </w:footnote>
  <w:footnote w:type="continuationSeparator" w:id="0">
    <w:p w14:paraId="5BD1E15A" w14:textId="77777777" w:rsidR="008B7B1E" w:rsidRDefault="008B7B1E" w:rsidP="00F44719">
      <w:r>
        <w:continuationSeparator/>
      </w:r>
    </w:p>
  </w:footnote>
  <w:footnote w:id="1">
    <w:p w14:paraId="27DC4AF3" w14:textId="77777777" w:rsidR="001A47E2" w:rsidRPr="00091E49" w:rsidRDefault="001A47E2" w:rsidP="001A47E2">
      <w:pPr>
        <w:pStyle w:val="FootnoteText"/>
        <w:rPr>
          <w:rFonts w:ascii="Palatino Linotype" w:hAnsi="Palatino Linotype"/>
        </w:rPr>
      </w:pPr>
      <w:r w:rsidRPr="00091E49">
        <w:rPr>
          <w:rStyle w:val="FootnoteReference"/>
          <w:rFonts w:ascii="Palatino Linotype" w:hAnsi="Palatino Linotype"/>
        </w:rPr>
        <w:footnoteRef/>
      </w:r>
      <w:r w:rsidRPr="00091E49">
        <w:rPr>
          <w:rFonts w:ascii="Palatino Linotype" w:hAnsi="Palatino Linotype"/>
        </w:rPr>
        <w:t xml:space="preserve"> http://2001-2009.state.gov/documents/organization/99774.pdf</w:t>
      </w:r>
    </w:p>
  </w:footnote>
  <w:footnote w:id="2">
    <w:p w14:paraId="1CA3B20E" w14:textId="3AF37F77" w:rsidR="00080279" w:rsidRDefault="00080279" w:rsidP="00080279">
      <w:pPr>
        <w:pStyle w:val="FootnoteText"/>
      </w:pP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76D9F"/>
    <w:multiLevelType w:val="hybridMultilevel"/>
    <w:tmpl w:val="62F23750"/>
    <w:lvl w:ilvl="0" w:tplc="5A968E10">
      <w:start w:val="1"/>
      <w:numFmt w:val="bullet"/>
      <w:lvlText w:val="•"/>
      <w:lvlJc w:val="left"/>
      <w:pPr>
        <w:tabs>
          <w:tab w:val="num" w:pos="720"/>
        </w:tabs>
        <w:ind w:left="720" w:hanging="360"/>
      </w:pPr>
      <w:rPr>
        <w:rFonts w:ascii="Arial" w:hAnsi="Arial" w:hint="default"/>
      </w:rPr>
    </w:lvl>
    <w:lvl w:ilvl="1" w:tplc="91DAC91C" w:tentative="1">
      <w:start w:val="1"/>
      <w:numFmt w:val="bullet"/>
      <w:lvlText w:val="•"/>
      <w:lvlJc w:val="left"/>
      <w:pPr>
        <w:tabs>
          <w:tab w:val="num" w:pos="1440"/>
        </w:tabs>
        <w:ind w:left="1440" w:hanging="360"/>
      </w:pPr>
      <w:rPr>
        <w:rFonts w:ascii="Arial" w:hAnsi="Arial" w:hint="default"/>
      </w:rPr>
    </w:lvl>
    <w:lvl w:ilvl="2" w:tplc="DBEA3C3A" w:tentative="1">
      <w:start w:val="1"/>
      <w:numFmt w:val="bullet"/>
      <w:lvlText w:val="•"/>
      <w:lvlJc w:val="left"/>
      <w:pPr>
        <w:tabs>
          <w:tab w:val="num" w:pos="2160"/>
        </w:tabs>
        <w:ind w:left="2160" w:hanging="360"/>
      </w:pPr>
      <w:rPr>
        <w:rFonts w:ascii="Arial" w:hAnsi="Arial" w:hint="default"/>
      </w:rPr>
    </w:lvl>
    <w:lvl w:ilvl="3" w:tplc="F7D2F614" w:tentative="1">
      <w:start w:val="1"/>
      <w:numFmt w:val="bullet"/>
      <w:lvlText w:val="•"/>
      <w:lvlJc w:val="left"/>
      <w:pPr>
        <w:tabs>
          <w:tab w:val="num" w:pos="2880"/>
        </w:tabs>
        <w:ind w:left="2880" w:hanging="360"/>
      </w:pPr>
      <w:rPr>
        <w:rFonts w:ascii="Arial" w:hAnsi="Arial" w:hint="default"/>
      </w:rPr>
    </w:lvl>
    <w:lvl w:ilvl="4" w:tplc="235E51DE" w:tentative="1">
      <w:start w:val="1"/>
      <w:numFmt w:val="bullet"/>
      <w:lvlText w:val="•"/>
      <w:lvlJc w:val="left"/>
      <w:pPr>
        <w:tabs>
          <w:tab w:val="num" w:pos="3600"/>
        </w:tabs>
        <w:ind w:left="3600" w:hanging="360"/>
      </w:pPr>
      <w:rPr>
        <w:rFonts w:ascii="Arial" w:hAnsi="Arial" w:hint="default"/>
      </w:rPr>
    </w:lvl>
    <w:lvl w:ilvl="5" w:tplc="250A5068" w:tentative="1">
      <w:start w:val="1"/>
      <w:numFmt w:val="bullet"/>
      <w:lvlText w:val="•"/>
      <w:lvlJc w:val="left"/>
      <w:pPr>
        <w:tabs>
          <w:tab w:val="num" w:pos="4320"/>
        </w:tabs>
        <w:ind w:left="4320" w:hanging="360"/>
      </w:pPr>
      <w:rPr>
        <w:rFonts w:ascii="Arial" w:hAnsi="Arial" w:hint="default"/>
      </w:rPr>
    </w:lvl>
    <w:lvl w:ilvl="6" w:tplc="1E68D120" w:tentative="1">
      <w:start w:val="1"/>
      <w:numFmt w:val="bullet"/>
      <w:lvlText w:val="•"/>
      <w:lvlJc w:val="left"/>
      <w:pPr>
        <w:tabs>
          <w:tab w:val="num" w:pos="5040"/>
        </w:tabs>
        <w:ind w:left="5040" w:hanging="360"/>
      </w:pPr>
      <w:rPr>
        <w:rFonts w:ascii="Arial" w:hAnsi="Arial" w:hint="default"/>
      </w:rPr>
    </w:lvl>
    <w:lvl w:ilvl="7" w:tplc="5CCE9E30" w:tentative="1">
      <w:start w:val="1"/>
      <w:numFmt w:val="bullet"/>
      <w:lvlText w:val="•"/>
      <w:lvlJc w:val="left"/>
      <w:pPr>
        <w:tabs>
          <w:tab w:val="num" w:pos="5760"/>
        </w:tabs>
        <w:ind w:left="5760" w:hanging="360"/>
      </w:pPr>
      <w:rPr>
        <w:rFonts w:ascii="Arial" w:hAnsi="Arial" w:hint="default"/>
      </w:rPr>
    </w:lvl>
    <w:lvl w:ilvl="8" w:tplc="0B5C19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0BF175E"/>
    <w:multiLevelType w:val="hybridMultilevel"/>
    <w:tmpl w:val="604A5AD8"/>
    <w:lvl w:ilvl="0" w:tplc="6ACCB044">
      <w:start w:val="1"/>
      <w:numFmt w:val="bullet"/>
      <w:lvlText w:val="•"/>
      <w:lvlJc w:val="left"/>
      <w:pPr>
        <w:tabs>
          <w:tab w:val="num" w:pos="720"/>
        </w:tabs>
        <w:ind w:left="720" w:hanging="360"/>
      </w:pPr>
      <w:rPr>
        <w:rFonts w:ascii="Arial" w:hAnsi="Arial" w:hint="default"/>
      </w:rPr>
    </w:lvl>
    <w:lvl w:ilvl="1" w:tplc="AD3E9C1A">
      <w:start w:val="224"/>
      <w:numFmt w:val="bullet"/>
      <w:lvlText w:val="•"/>
      <w:lvlJc w:val="left"/>
      <w:pPr>
        <w:tabs>
          <w:tab w:val="num" w:pos="1440"/>
        </w:tabs>
        <w:ind w:left="1440" w:hanging="360"/>
      </w:pPr>
      <w:rPr>
        <w:rFonts w:ascii="Arial" w:hAnsi="Arial" w:hint="default"/>
      </w:rPr>
    </w:lvl>
    <w:lvl w:ilvl="2" w:tplc="FDA427CE" w:tentative="1">
      <w:start w:val="1"/>
      <w:numFmt w:val="bullet"/>
      <w:lvlText w:val="•"/>
      <w:lvlJc w:val="left"/>
      <w:pPr>
        <w:tabs>
          <w:tab w:val="num" w:pos="2160"/>
        </w:tabs>
        <w:ind w:left="2160" w:hanging="360"/>
      </w:pPr>
      <w:rPr>
        <w:rFonts w:ascii="Arial" w:hAnsi="Arial" w:hint="default"/>
      </w:rPr>
    </w:lvl>
    <w:lvl w:ilvl="3" w:tplc="87C64CEE" w:tentative="1">
      <w:start w:val="1"/>
      <w:numFmt w:val="bullet"/>
      <w:lvlText w:val="•"/>
      <w:lvlJc w:val="left"/>
      <w:pPr>
        <w:tabs>
          <w:tab w:val="num" w:pos="2880"/>
        </w:tabs>
        <w:ind w:left="2880" w:hanging="360"/>
      </w:pPr>
      <w:rPr>
        <w:rFonts w:ascii="Arial" w:hAnsi="Arial" w:hint="default"/>
      </w:rPr>
    </w:lvl>
    <w:lvl w:ilvl="4" w:tplc="9D7073A0" w:tentative="1">
      <w:start w:val="1"/>
      <w:numFmt w:val="bullet"/>
      <w:lvlText w:val="•"/>
      <w:lvlJc w:val="left"/>
      <w:pPr>
        <w:tabs>
          <w:tab w:val="num" w:pos="3600"/>
        </w:tabs>
        <w:ind w:left="3600" w:hanging="360"/>
      </w:pPr>
      <w:rPr>
        <w:rFonts w:ascii="Arial" w:hAnsi="Arial" w:hint="default"/>
      </w:rPr>
    </w:lvl>
    <w:lvl w:ilvl="5" w:tplc="665C5FF4" w:tentative="1">
      <w:start w:val="1"/>
      <w:numFmt w:val="bullet"/>
      <w:lvlText w:val="•"/>
      <w:lvlJc w:val="left"/>
      <w:pPr>
        <w:tabs>
          <w:tab w:val="num" w:pos="4320"/>
        </w:tabs>
        <w:ind w:left="4320" w:hanging="360"/>
      </w:pPr>
      <w:rPr>
        <w:rFonts w:ascii="Arial" w:hAnsi="Arial" w:hint="default"/>
      </w:rPr>
    </w:lvl>
    <w:lvl w:ilvl="6" w:tplc="6E32CC1C" w:tentative="1">
      <w:start w:val="1"/>
      <w:numFmt w:val="bullet"/>
      <w:lvlText w:val="•"/>
      <w:lvlJc w:val="left"/>
      <w:pPr>
        <w:tabs>
          <w:tab w:val="num" w:pos="5040"/>
        </w:tabs>
        <w:ind w:left="5040" w:hanging="360"/>
      </w:pPr>
      <w:rPr>
        <w:rFonts w:ascii="Arial" w:hAnsi="Arial" w:hint="default"/>
      </w:rPr>
    </w:lvl>
    <w:lvl w:ilvl="7" w:tplc="D938C128" w:tentative="1">
      <w:start w:val="1"/>
      <w:numFmt w:val="bullet"/>
      <w:lvlText w:val="•"/>
      <w:lvlJc w:val="left"/>
      <w:pPr>
        <w:tabs>
          <w:tab w:val="num" w:pos="5760"/>
        </w:tabs>
        <w:ind w:left="5760" w:hanging="360"/>
      </w:pPr>
      <w:rPr>
        <w:rFonts w:ascii="Arial" w:hAnsi="Arial" w:hint="default"/>
      </w:rPr>
    </w:lvl>
    <w:lvl w:ilvl="8" w:tplc="C6D2E2C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19"/>
    <w:rsid w:val="00036B51"/>
    <w:rsid w:val="0004799A"/>
    <w:rsid w:val="00080279"/>
    <w:rsid w:val="000B7A30"/>
    <w:rsid w:val="000D7A16"/>
    <w:rsid w:val="001618B6"/>
    <w:rsid w:val="001A47E2"/>
    <w:rsid w:val="002225F0"/>
    <w:rsid w:val="002A1936"/>
    <w:rsid w:val="002B5347"/>
    <w:rsid w:val="002C069A"/>
    <w:rsid w:val="002E51B1"/>
    <w:rsid w:val="00303B81"/>
    <w:rsid w:val="003143A8"/>
    <w:rsid w:val="00343AC4"/>
    <w:rsid w:val="003901A6"/>
    <w:rsid w:val="004137E1"/>
    <w:rsid w:val="00451F23"/>
    <w:rsid w:val="0046540C"/>
    <w:rsid w:val="004C528C"/>
    <w:rsid w:val="005F3555"/>
    <w:rsid w:val="00610716"/>
    <w:rsid w:val="006D2149"/>
    <w:rsid w:val="006D6323"/>
    <w:rsid w:val="006D7A92"/>
    <w:rsid w:val="007E7D66"/>
    <w:rsid w:val="008B7B1E"/>
    <w:rsid w:val="008E0388"/>
    <w:rsid w:val="00950DB5"/>
    <w:rsid w:val="00982171"/>
    <w:rsid w:val="009F1D38"/>
    <w:rsid w:val="00A1726C"/>
    <w:rsid w:val="00A66078"/>
    <w:rsid w:val="00A84547"/>
    <w:rsid w:val="00A8672E"/>
    <w:rsid w:val="00A90E9A"/>
    <w:rsid w:val="00AA2D71"/>
    <w:rsid w:val="00B005D1"/>
    <w:rsid w:val="00B54BD6"/>
    <w:rsid w:val="00B91DAC"/>
    <w:rsid w:val="00BB421D"/>
    <w:rsid w:val="00BD3138"/>
    <w:rsid w:val="00C24F24"/>
    <w:rsid w:val="00C60089"/>
    <w:rsid w:val="00CA7979"/>
    <w:rsid w:val="00CD1542"/>
    <w:rsid w:val="00D11B3B"/>
    <w:rsid w:val="00D400D9"/>
    <w:rsid w:val="00D50DF1"/>
    <w:rsid w:val="00DA6B7C"/>
    <w:rsid w:val="00E97829"/>
    <w:rsid w:val="00EC09EC"/>
    <w:rsid w:val="00F44719"/>
    <w:rsid w:val="00FA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586BEB"/>
  <w15:chartTrackingRefBased/>
  <w15:docId w15:val="{98384D26-D959-234B-B572-C2090E2E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4719"/>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44719"/>
    <w:rPr>
      <w:vertAlign w:val="superscript"/>
    </w:rPr>
  </w:style>
  <w:style w:type="paragraph" w:styleId="FootnoteText">
    <w:name w:val="footnote text"/>
    <w:basedOn w:val="Normal"/>
    <w:link w:val="FootnoteTextChar"/>
    <w:uiPriority w:val="99"/>
    <w:rsid w:val="00F44719"/>
    <w:rPr>
      <w:sz w:val="20"/>
      <w:szCs w:val="20"/>
    </w:rPr>
  </w:style>
  <w:style w:type="character" w:customStyle="1" w:styleId="FootnoteTextChar">
    <w:name w:val="Footnote Text Char"/>
    <w:basedOn w:val="DefaultParagraphFont"/>
    <w:link w:val="FootnoteText"/>
    <w:uiPriority w:val="99"/>
    <w:rsid w:val="00F44719"/>
    <w:rPr>
      <w:rFonts w:ascii="Times New Roman" w:eastAsia="SimSun" w:hAnsi="Times New Roman" w:cs="Times New Roman"/>
      <w:sz w:val="20"/>
      <w:szCs w:val="20"/>
      <w:lang w:val="en-US" w:eastAsia="zh-CN"/>
    </w:rPr>
  </w:style>
  <w:style w:type="character" w:customStyle="1" w:styleId="EmailStyle18">
    <w:name w:val="EmailStyle18"/>
    <w:basedOn w:val="DefaultParagraphFont"/>
    <w:semiHidden/>
    <w:rsid w:val="00F44719"/>
    <w:rPr>
      <w:rFonts w:ascii="Arial" w:hAnsi="Arial" w:cs="Arial"/>
      <w:color w:val="000080"/>
      <w:sz w:val="20"/>
      <w:szCs w:val="20"/>
    </w:rPr>
  </w:style>
  <w:style w:type="paragraph" w:customStyle="1" w:styleId="CharCharCharChar">
    <w:name w:val="Char Char Char Char"/>
    <w:basedOn w:val="Normal"/>
    <w:autoRedefine/>
    <w:rsid w:val="00F44719"/>
    <w:pPr>
      <w:spacing w:line="360" w:lineRule="auto"/>
      <w:jc w:val="both"/>
    </w:pPr>
    <w:rPr>
      <w:rFonts w:ascii="Franklin Gothic Book" w:eastAsia="Times New Roman" w:hAnsi="Franklin Gothic Book"/>
      <w:sz w:val="22"/>
      <w:szCs w:val="22"/>
      <w:lang w:val="pl-PL" w:eastAsia="pl-PL"/>
    </w:rPr>
  </w:style>
  <w:style w:type="character" w:styleId="Hyperlink">
    <w:name w:val="Hyperlink"/>
    <w:basedOn w:val="DefaultParagraphFont"/>
    <w:uiPriority w:val="99"/>
    <w:unhideWhenUsed/>
    <w:rsid w:val="00B005D1"/>
    <w:rPr>
      <w:color w:val="0563C1" w:themeColor="hyperlink"/>
      <w:u w:val="single"/>
    </w:rPr>
  </w:style>
  <w:style w:type="character" w:styleId="UnresolvedMention">
    <w:name w:val="Unresolved Mention"/>
    <w:basedOn w:val="DefaultParagraphFont"/>
    <w:uiPriority w:val="99"/>
    <w:rsid w:val="00B0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850911">
      <w:bodyDiv w:val="1"/>
      <w:marLeft w:val="0"/>
      <w:marRight w:val="0"/>
      <w:marTop w:val="0"/>
      <w:marBottom w:val="0"/>
      <w:divBdr>
        <w:top w:val="none" w:sz="0" w:space="0" w:color="auto"/>
        <w:left w:val="none" w:sz="0" w:space="0" w:color="auto"/>
        <w:bottom w:val="none" w:sz="0" w:space="0" w:color="auto"/>
        <w:right w:val="none" w:sz="0" w:space="0" w:color="auto"/>
      </w:divBdr>
      <w:divsChild>
        <w:div w:id="20785468">
          <w:marLeft w:val="360"/>
          <w:marRight w:val="0"/>
          <w:marTop w:val="200"/>
          <w:marBottom w:val="0"/>
          <w:divBdr>
            <w:top w:val="none" w:sz="0" w:space="0" w:color="auto"/>
            <w:left w:val="none" w:sz="0" w:space="0" w:color="auto"/>
            <w:bottom w:val="none" w:sz="0" w:space="0" w:color="auto"/>
            <w:right w:val="none" w:sz="0" w:space="0" w:color="auto"/>
          </w:divBdr>
        </w:div>
        <w:div w:id="829368672">
          <w:marLeft w:val="360"/>
          <w:marRight w:val="0"/>
          <w:marTop w:val="200"/>
          <w:marBottom w:val="0"/>
          <w:divBdr>
            <w:top w:val="none" w:sz="0" w:space="0" w:color="auto"/>
            <w:left w:val="none" w:sz="0" w:space="0" w:color="auto"/>
            <w:bottom w:val="none" w:sz="0" w:space="0" w:color="auto"/>
            <w:right w:val="none" w:sz="0" w:space="0" w:color="auto"/>
          </w:divBdr>
        </w:div>
        <w:div w:id="1691298294">
          <w:marLeft w:val="1080"/>
          <w:marRight w:val="0"/>
          <w:marTop w:val="100"/>
          <w:marBottom w:val="0"/>
          <w:divBdr>
            <w:top w:val="none" w:sz="0" w:space="0" w:color="auto"/>
            <w:left w:val="none" w:sz="0" w:space="0" w:color="auto"/>
            <w:bottom w:val="none" w:sz="0" w:space="0" w:color="auto"/>
            <w:right w:val="none" w:sz="0" w:space="0" w:color="auto"/>
          </w:divBdr>
        </w:div>
        <w:div w:id="1886982260">
          <w:marLeft w:val="1080"/>
          <w:marRight w:val="0"/>
          <w:marTop w:val="100"/>
          <w:marBottom w:val="0"/>
          <w:divBdr>
            <w:top w:val="none" w:sz="0" w:space="0" w:color="auto"/>
            <w:left w:val="none" w:sz="0" w:space="0" w:color="auto"/>
            <w:bottom w:val="none" w:sz="0" w:space="0" w:color="auto"/>
            <w:right w:val="none" w:sz="0" w:space="0" w:color="auto"/>
          </w:divBdr>
        </w:div>
        <w:div w:id="7367847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oizides@kent.ac.uk" TargetMode="External"/><Relationship Id="rId3" Type="http://schemas.openxmlformats.org/officeDocument/2006/relationships/settings" Target="settings.xml"/><Relationship Id="rId7" Type="http://schemas.openxmlformats.org/officeDocument/2006/relationships/hyperlink" Target="mailto:n.loizides@ken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2018-07-11T08:51:00Z</dcterms:created>
  <dcterms:modified xsi:type="dcterms:W3CDTF">2018-07-17T11:50:00Z</dcterms:modified>
</cp:coreProperties>
</file>