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0A3" w:rsidRDefault="002430A3" w:rsidP="00F34DAD">
      <w:pPr>
        <w:jc w:val="left"/>
      </w:pPr>
    </w:p>
    <w:p w:rsidR="0066263F" w:rsidRDefault="0066263F" w:rsidP="00F34DAD">
      <w:pPr>
        <w:jc w:val="left"/>
      </w:pPr>
    </w:p>
    <w:p w:rsidR="0066263F" w:rsidRPr="00D76399" w:rsidRDefault="0066263F" w:rsidP="00F34DAD">
      <w:pPr>
        <w:jc w:val="left"/>
      </w:pPr>
    </w:p>
    <w:p w:rsidR="00E93817" w:rsidRPr="00D76399" w:rsidRDefault="00E93817" w:rsidP="00F34DAD">
      <w:pPr>
        <w:jc w:val="left"/>
        <w:rPr>
          <w:rFonts w:ascii="Times New Roman" w:hAnsi="Times New Roman" w:cs="Times New Roman"/>
          <w:b/>
          <w:sz w:val="24"/>
          <w:szCs w:val="24"/>
        </w:rPr>
      </w:pPr>
    </w:p>
    <w:p w:rsidR="00E93817" w:rsidRPr="00D76399" w:rsidRDefault="00E93817" w:rsidP="00F34DAD">
      <w:pPr>
        <w:jc w:val="left"/>
        <w:rPr>
          <w:rFonts w:ascii="Times New Roman" w:hAnsi="Times New Roman" w:cs="Times New Roman"/>
          <w:b/>
          <w:sz w:val="24"/>
          <w:szCs w:val="24"/>
        </w:rPr>
      </w:pPr>
    </w:p>
    <w:p w:rsidR="00E93817" w:rsidRPr="00D76399" w:rsidRDefault="00E93817" w:rsidP="00F34DAD">
      <w:pPr>
        <w:jc w:val="left"/>
        <w:rPr>
          <w:rFonts w:ascii="Times New Roman" w:hAnsi="Times New Roman" w:cs="Times New Roman"/>
          <w:b/>
          <w:sz w:val="24"/>
          <w:szCs w:val="24"/>
        </w:rPr>
      </w:pPr>
    </w:p>
    <w:p w:rsidR="00E93817" w:rsidRPr="00D76399" w:rsidRDefault="00E93817" w:rsidP="00F34DAD">
      <w:pPr>
        <w:jc w:val="left"/>
        <w:rPr>
          <w:rFonts w:ascii="Times New Roman" w:hAnsi="Times New Roman" w:cs="Times New Roman"/>
          <w:b/>
          <w:sz w:val="24"/>
          <w:szCs w:val="24"/>
        </w:rPr>
      </w:pPr>
    </w:p>
    <w:p w:rsidR="00E93817" w:rsidRPr="00D76399" w:rsidRDefault="00E93817" w:rsidP="00F34DAD">
      <w:pPr>
        <w:jc w:val="left"/>
        <w:rPr>
          <w:rFonts w:ascii="Times New Roman" w:hAnsi="Times New Roman" w:cs="Times New Roman"/>
          <w:b/>
          <w:sz w:val="24"/>
          <w:szCs w:val="24"/>
        </w:rPr>
      </w:pPr>
    </w:p>
    <w:p w:rsidR="00E93817" w:rsidRPr="00D76399" w:rsidRDefault="00E93817" w:rsidP="00F34DAD">
      <w:pPr>
        <w:jc w:val="left"/>
        <w:rPr>
          <w:rFonts w:ascii="Times New Roman" w:hAnsi="Times New Roman" w:cs="Times New Roman"/>
          <w:b/>
          <w:sz w:val="24"/>
          <w:szCs w:val="24"/>
        </w:rPr>
      </w:pPr>
    </w:p>
    <w:p w:rsidR="00E93817" w:rsidRPr="00D76399" w:rsidRDefault="00E93817" w:rsidP="00F34DAD">
      <w:pPr>
        <w:jc w:val="left"/>
        <w:rPr>
          <w:rFonts w:ascii="Times New Roman" w:hAnsi="Times New Roman" w:cs="Times New Roman"/>
          <w:b/>
          <w:sz w:val="24"/>
          <w:szCs w:val="24"/>
        </w:rPr>
      </w:pPr>
    </w:p>
    <w:p w:rsidR="00E93817" w:rsidRPr="00D76399" w:rsidRDefault="00E93817" w:rsidP="00F34DAD">
      <w:pPr>
        <w:jc w:val="left"/>
        <w:rPr>
          <w:rFonts w:ascii="Times New Roman" w:hAnsi="Times New Roman" w:cs="Times New Roman"/>
          <w:b/>
          <w:sz w:val="24"/>
          <w:szCs w:val="24"/>
        </w:rPr>
      </w:pPr>
    </w:p>
    <w:p w:rsidR="00E93817" w:rsidRPr="00D76399" w:rsidRDefault="00E93817" w:rsidP="00F34DAD">
      <w:pPr>
        <w:jc w:val="left"/>
        <w:rPr>
          <w:rFonts w:ascii="Times New Roman" w:hAnsi="Times New Roman" w:cs="Times New Roman"/>
          <w:b/>
          <w:sz w:val="24"/>
          <w:szCs w:val="24"/>
        </w:rPr>
      </w:pPr>
    </w:p>
    <w:p w:rsidR="00E93817" w:rsidRPr="00D76399" w:rsidRDefault="00E93817" w:rsidP="00F34DAD">
      <w:pPr>
        <w:jc w:val="left"/>
        <w:rPr>
          <w:rFonts w:ascii="Times New Roman" w:hAnsi="Times New Roman" w:cs="Times New Roman"/>
          <w:b/>
          <w:sz w:val="24"/>
          <w:szCs w:val="24"/>
        </w:rPr>
      </w:pPr>
    </w:p>
    <w:p w:rsidR="00D76399" w:rsidRDefault="00911743" w:rsidP="00A63924">
      <w:pPr>
        <w:rPr>
          <w:rFonts w:ascii="Times New Roman" w:hAnsi="Times New Roman" w:cs="Times New Roman"/>
          <w:b/>
          <w:sz w:val="24"/>
          <w:szCs w:val="24"/>
        </w:rPr>
      </w:pPr>
      <w:r w:rsidRPr="00D76399">
        <w:rPr>
          <w:rFonts w:ascii="Times New Roman" w:hAnsi="Times New Roman" w:cs="Times New Roman"/>
          <w:b/>
          <w:sz w:val="24"/>
          <w:szCs w:val="24"/>
        </w:rPr>
        <w:t xml:space="preserve">The Double Crisis of the </w:t>
      </w:r>
      <w:r w:rsidR="00E93817" w:rsidRPr="00D76399">
        <w:rPr>
          <w:rFonts w:ascii="Times New Roman" w:hAnsi="Times New Roman" w:cs="Times New Roman"/>
          <w:b/>
          <w:sz w:val="24"/>
          <w:szCs w:val="24"/>
        </w:rPr>
        <w:t>W</w:t>
      </w:r>
      <w:r w:rsidRPr="00D76399">
        <w:rPr>
          <w:rFonts w:ascii="Times New Roman" w:hAnsi="Times New Roman" w:cs="Times New Roman"/>
          <w:b/>
          <w:sz w:val="24"/>
          <w:szCs w:val="24"/>
        </w:rPr>
        <w:t xml:space="preserve">elfare </w:t>
      </w:r>
      <w:r w:rsidR="00E93817" w:rsidRPr="00D76399">
        <w:rPr>
          <w:rFonts w:ascii="Times New Roman" w:hAnsi="Times New Roman" w:cs="Times New Roman"/>
          <w:b/>
          <w:sz w:val="24"/>
          <w:szCs w:val="24"/>
        </w:rPr>
        <w:t>State</w:t>
      </w:r>
    </w:p>
    <w:p w:rsidR="00D76399" w:rsidRDefault="00D76399" w:rsidP="00A63924">
      <w:pPr>
        <w:rPr>
          <w:rFonts w:ascii="Times New Roman" w:hAnsi="Times New Roman" w:cs="Times New Roman"/>
          <w:b/>
          <w:sz w:val="24"/>
          <w:szCs w:val="24"/>
        </w:rPr>
      </w:pPr>
    </w:p>
    <w:p w:rsidR="00CD4619" w:rsidRDefault="00CD4619" w:rsidP="00A63924">
      <w:pPr>
        <w:rPr>
          <w:rFonts w:ascii="Times New Roman" w:hAnsi="Times New Roman" w:cs="Times New Roman"/>
          <w:b/>
          <w:sz w:val="24"/>
          <w:szCs w:val="24"/>
        </w:rPr>
      </w:pPr>
      <w:r>
        <w:rPr>
          <w:rFonts w:ascii="Times New Roman" w:hAnsi="Times New Roman" w:cs="Times New Roman"/>
          <w:b/>
          <w:sz w:val="24"/>
          <w:szCs w:val="24"/>
        </w:rPr>
        <w:t>and</w:t>
      </w:r>
    </w:p>
    <w:p w:rsidR="00CD4619" w:rsidRDefault="00CD4619" w:rsidP="00A63924">
      <w:pPr>
        <w:rPr>
          <w:rFonts w:ascii="Times New Roman" w:hAnsi="Times New Roman" w:cs="Times New Roman"/>
          <w:b/>
          <w:sz w:val="24"/>
          <w:szCs w:val="24"/>
        </w:rPr>
      </w:pPr>
    </w:p>
    <w:p w:rsidR="00383AFB" w:rsidRPr="00D76399" w:rsidRDefault="00E93817" w:rsidP="00A63924">
      <w:pPr>
        <w:rPr>
          <w:rFonts w:ascii="Times New Roman" w:hAnsi="Times New Roman" w:cs="Times New Roman"/>
          <w:b/>
          <w:sz w:val="24"/>
          <w:szCs w:val="24"/>
        </w:rPr>
      </w:pPr>
      <w:r w:rsidRPr="00D76399">
        <w:rPr>
          <w:rFonts w:ascii="Times New Roman" w:hAnsi="Times New Roman" w:cs="Times New Roman"/>
          <w:b/>
          <w:sz w:val="24"/>
          <w:szCs w:val="24"/>
        </w:rPr>
        <w:t>W</w:t>
      </w:r>
      <w:r w:rsidR="00911743" w:rsidRPr="00D76399">
        <w:rPr>
          <w:rFonts w:ascii="Times New Roman" w:hAnsi="Times New Roman" w:cs="Times New Roman"/>
          <w:b/>
          <w:sz w:val="24"/>
          <w:szCs w:val="24"/>
        </w:rPr>
        <w:t xml:space="preserve">hat </w:t>
      </w:r>
      <w:r w:rsidRPr="00D76399">
        <w:rPr>
          <w:rFonts w:ascii="Times New Roman" w:hAnsi="Times New Roman" w:cs="Times New Roman"/>
          <w:b/>
          <w:sz w:val="24"/>
          <w:szCs w:val="24"/>
        </w:rPr>
        <w:t>W</w:t>
      </w:r>
      <w:r w:rsidR="00383AFB" w:rsidRPr="00D76399">
        <w:rPr>
          <w:rFonts w:ascii="Times New Roman" w:hAnsi="Times New Roman" w:cs="Times New Roman"/>
          <w:b/>
          <w:sz w:val="24"/>
          <w:szCs w:val="24"/>
        </w:rPr>
        <w:t xml:space="preserve">e </w:t>
      </w:r>
      <w:r w:rsidR="00165FDC">
        <w:rPr>
          <w:rFonts w:ascii="Times New Roman" w:hAnsi="Times New Roman" w:cs="Times New Roman"/>
          <w:b/>
          <w:sz w:val="24"/>
          <w:szCs w:val="24"/>
        </w:rPr>
        <w:t>Can</w:t>
      </w:r>
      <w:r w:rsidRPr="00D76399">
        <w:rPr>
          <w:rFonts w:ascii="Times New Roman" w:hAnsi="Times New Roman" w:cs="Times New Roman"/>
          <w:b/>
          <w:sz w:val="24"/>
          <w:szCs w:val="24"/>
        </w:rPr>
        <w:t xml:space="preserve"> D</w:t>
      </w:r>
      <w:r w:rsidR="00383AFB" w:rsidRPr="00D76399">
        <w:rPr>
          <w:rFonts w:ascii="Times New Roman" w:hAnsi="Times New Roman" w:cs="Times New Roman"/>
          <w:b/>
          <w:sz w:val="24"/>
          <w:szCs w:val="24"/>
        </w:rPr>
        <w:t xml:space="preserve">o </w:t>
      </w:r>
      <w:r w:rsidRPr="00D76399">
        <w:rPr>
          <w:rFonts w:ascii="Times New Roman" w:hAnsi="Times New Roman" w:cs="Times New Roman"/>
          <w:b/>
          <w:sz w:val="24"/>
          <w:szCs w:val="24"/>
        </w:rPr>
        <w:t>A</w:t>
      </w:r>
      <w:r w:rsidR="00383AFB" w:rsidRPr="00D76399">
        <w:rPr>
          <w:rFonts w:ascii="Times New Roman" w:hAnsi="Times New Roman" w:cs="Times New Roman"/>
          <w:b/>
          <w:sz w:val="24"/>
          <w:szCs w:val="24"/>
        </w:rPr>
        <w:t xml:space="preserve">bout </w:t>
      </w:r>
      <w:r w:rsidRPr="00D76399">
        <w:rPr>
          <w:rFonts w:ascii="Times New Roman" w:hAnsi="Times New Roman" w:cs="Times New Roman"/>
          <w:b/>
          <w:sz w:val="24"/>
          <w:szCs w:val="24"/>
        </w:rPr>
        <w:t>I</w:t>
      </w:r>
      <w:r w:rsidR="00383AFB" w:rsidRPr="00D76399">
        <w:rPr>
          <w:rFonts w:ascii="Times New Roman" w:hAnsi="Times New Roman" w:cs="Times New Roman"/>
          <w:b/>
          <w:sz w:val="24"/>
          <w:szCs w:val="24"/>
        </w:rPr>
        <w:t>t</w:t>
      </w:r>
    </w:p>
    <w:p w:rsidR="00383AFB" w:rsidRPr="00D76399" w:rsidRDefault="00383AFB" w:rsidP="00F34DAD">
      <w:pPr>
        <w:jc w:val="left"/>
        <w:rPr>
          <w:rFonts w:ascii="Times New Roman" w:hAnsi="Times New Roman" w:cs="Times New Roman"/>
          <w:sz w:val="24"/>
          <w:szCs w:val="24"/>
        </w:rPr>
      </w:pPr>
      <w:r w:rsidRPr="00D76399">
        <w:rPr>
          <w:rFonts w:ascii="Times New Roman" w:hAnsi="Times New Roman" w:cs="Times New Roman"/>
          <w:sz w:val="24"/>
          <w:szCs w:val="24"/>
        </w:rPr>
        <w:br w:type="page"/>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b/>
          <w:sz w:val="24"/>
          <w:szCs w:val="24"/>
        </w:rPr>
      </w:pPr>
      <w:r w:rsidRPr="00D76399">
        <w:rPr>
          <w:rFonts w:ascii="Times New Roman" w:hAnsi="Times New Roman" w:cs="Times New Roman"/>
          <w:b/>
          <w:sz w:val="24"/>
          <w:szCs w:val="24"/>
        </w:rPr>
        <w:t>Chapter 1: The Double Crisis</w:t>
      </w:r>
      <w:r w:rsidR="00850EB1">
        <w:rPr>
          <w:rFonts w:ascii="Times New Roman" w:hAnsi="Times New Roman" w:cs="Times New Roman"/>
          <w:b/>
          <w:sz w:val="24"/>
          <w:szCs w:val="24"/>
        </w:rPr>
        <w:fldChar w:fldCharType="begin"/>
      </w:r>
      <w:r w:rsidR="00850EB1">
        <w:instrText xml:space="preserve"> XE "</w:instrText>
      </w:r>
      <w:r w:rsidR="00850EB1" w:rsidRPr="000F04FC">
        <w:instrText>double crisis</w:instrText>
      </w:r>
      <w:r w:rsidR="00850EB1">
        <w:instrText xml:space="preserve">" </w:instrText>
      </w:r>
      <w:r w:rsidR="00850EB1">
        <w:rPr>
          <w:rFonts w:ascii="Times New Roman" w:hAnsi="Times New Roman" w:cs="Times New Roman"/>
          <w:b/>
          <w:sz w:val="24"/>
          <w:szCs w:val="24"/>
        </w:rPr>
        <w:fldChar w:fldCharType="end"/>
      </w:r>
      <w:r w:rsidRPr="00D76399">
        <w:rPr>
          <w:rFonts w:ascii="Times New Roman" w:hAnsi="Times New Roman" w:cs="Times New Roman"/>
          <w:b/>
          <w:sz w:val="24"/>
          <w:szCs w:val="24"/>
        </w:rPr>
        <w:t xml:space="preserve"> of the Welfare State</w:t>
      </w:r>
    </w:p>
    <w:p w:rsidR="00703A96" w:rsidRPr="00D76399" w:rsidRDefault="00703A96" w:rsidP="00F34DAD">
      <w:pPr>
        <w:jc w:val="left"/>
        <w:rPr>
          <w:rFonts w:ascii="Times New Roman" w:hAnsi="Times New Roman" w:cs="Times New Roman"/>
          <w:b/>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 xml:space="preserve">The welfare state, the idea that a successful, competitive, capitalist market economy can be combined with effective services to reduce poverty and meet the needs people experience in their everyday lives, was the great gift of Europe to the world. Now it is under attack and it is a war on two fronts. </w:t>
      </w:r>
      <w:r w:rsidR="00E77FE8">
        <w:rPr>
          <w:rFonts w:ascii="Times New Roman" w:hAnsi="Times New Roman" w:cs="Times New Roman"/>
          <w:sz w:val="24"/>
          <w:szCs w:val="24"/>
        </w:rPr>
        <w:t xml:space="preserve">The conflict is experienced with especial severity in the UK. </w:t>
      </w:r>
      <w:r w:rsidRPr="00D76399">
        <w:rPr>
          <w:rFonts w:ascii="Times New Roman" w:hAnsi="Times New Roman" w:cs="Times New Roman"/>
          <w:sz w:val="24"/>
          <w:szCs w:val="24"/>
        </w:rPr>
        <w:t xml:space="preserve">The response to the 2007-8 banking crisis, repeated recessions and economic stagnation </w:t>
      </w:r>
      <w:r w:rsidR="00E77FE8">
        <w:rPr>
          <w:rFonts w:ascii="Times New Roman" w:hAnsi="Times New Roman" w:cs="Times New Roman"/>
          <w:sz w:val="24"/>
          <w:szCs w:val="24"/>
        </w:rPr>
        <w:t xml:space="preserve">in this country </w:t>
      </w:r>
      <w:r w:rsidRPr="00D76399">
        <w:rPr>
          <w:rFonts w:ascii="Times New Roman" w:hAnsi="Times New Roman" w:cs="Times New Roman"/>
          <w:sz w:val="24"/>
          <w:szCs w:val="24"/>
        </w:rPr>
        <w:t>has been to</w:t>
      </w:r>
      <w:r w:rsidR="00E77FE8">
        <w:rPr>
          <w:rFonts w:ascii="Times New Roman" w:hAnsi="Times New Roman" w:cs="Times New Roman"/>
          <w:sz w:val="24"/>
          <w:szCs w:val="24"/>
        </w:rPr>
        <w:t xml:space="preserve"> balance budgets by cutting</w:t>
      </w:r>
      <w:r w:rsidRPr="00D76399">
        <w:rPr>
          <w:rFonts w:ascii="Times New Roman" w:hAnsi="Times New Roman" w:cs="Times New Roman"/>
          <w:sz w:val="24"/>
          <w:szCs w:val="24"/>
        </w:rPr>
        <w:t xml:space="preserve"> </w:t>
      </w:r>
      <w:r w:rsidR="00F93600">
        <w:rPr>
          <w:rFonts w:ascii="Times New Roman" w:hAnsi="Times New Roman" w:cs="Times New Roman"/>
          <w:sz w:val="24"/>
          <w:szCs w:val="24"/>
        </w:rPr>
        <w:t xml:space="preserve">government </w:t>
      </w:r>
      <w:r w:rsidRPr="00D76399">
        <w:rPr>
          <w:rFonts w:ascii="Times New Roman" w:hAnsi="Times New Roman" w:cs="Times New Roman"/>
          <w:sz w:val="24"/>
          <w:szCs w:val="24"/>
        </w:rPr>
        <w:t xml:space="preserve">spending </w:t>
      </w:r>
      <w:r w:rsidR="00E77FE8">
        <w:rPr>
          <w:rFonts w:ascii="Times New Roman" w:hAnsi="Times New Roman" w:cs="Times New Roman"/>
          <w:sz w:val="24"/>
          <w:szCs w:val="24"/>
        </w:rPr>
        <w:t xml:space="preserve">rather than increasing taxes. The harshest cuts are in </w:t>
      </w:r>
      <w:r w:rsidRPr="00D76399">
        <w:rPr>
          <w:rFonts w:ascii="Times New Roman" w:hAnsi="Times New Roman" w:cs="Times New Roman"/>
          <w:sz w:val="24"/>
          <w:szCs w:val="24"/>
        </w:rPr>
        <w:t>social provision</w:t>
      </w:r>
      <w:r w:rsidR="000557C0">
        <w:rPr>
          <w:rFonts w:ascii="Times New Roman" w:hAnsi="Times New Roman" w:cs="Times New Roman"/>
          <w:sz w:val="24"/>
          <w:szCs w:val="24"/>
        </w:rPr>
        <w:t>,</w:t>
      </w:r>
      <w:r w:rsidRPr="00D76399">
        <w:rPr>
          <w:rFonts w:ascii="Times New Roman" w:hAnsi="Times New Roman" w:cs="Times New Roman"/>
          <w:sz w:val="24"/>
          <w:szCs w:val="24"/>
        </w:rPr>
        <w:t xml:space="preserve"> </w:t>
      </w:r>
      <w:r w:rsidR="00E77FE8">
        <w:rPr>
          <w:rFonts w:ascii="Times New Roman" w:hAnsi="Times New Roman" w:cs="Times New Roman"/>
          <w:sz w:val="24"/>
          <w:szCs w:val="24"/>
        </w:rPr>
        <w:t>with the poorest groups</w:t>
      </w:r>
      <w:r w:rsidRPr="00D76399">
        <w:rPr>
          <w:rFonts w:ascii="Times New Roman" w:hAnsi="Times New Roman" w:cs="Times New Roman"/>
          <w:sz w:val="24"/>
          <w:szCs w:val="24"/>
        </w:rPr>
        <w:t xml:space="preserve"> bearing the brunt. </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Standing behind the immediate attack on the welfare state is a second crisis, which now attracts rather less attention in policy debate. Projections of the numbers likely to use the main welfare state services (health and social care</w:t>
      </w:r>
      <w:r w:rsidR="002A7776">
        <w:rPr>
          <w:rFonts w:ascii="Times New Roman" w:hAnsi="Times New Roman" w:cs="Times New Roman"/>
          <w:sz w:val="24"/>
          <w:szCs w:val="24"/>
        </w:rPr>
        <w:fldChar w:fldCharType="begin"/>
      </w:r>
      <w:r w:rsidR="002A7776">
        <w:instrText xml:space="preserve"> XE "</w:instrText>
      </w:r>
      <w:r w:rsidR="002A7776" w:rsidRPr="00EB7C7A">
        <w:rPr>
          <w:rFonts w:ascii="Times New Roman" w:hAnsi="Times New Roman" w:cs="Times New Roman"/>
          <w:sz w:val="24"/>
          <w:szCs w:val="24"/>
        </w:rPr>
        <w:instrText>social care</w:instrText>
      </w:r>
      <w:r w:rsidR="002A7776">
        <w:instrText xml:space="preserve">" </w:instrText>
      </w:r>
      <w:r w:rsidR="002A7776">
        <w:rPr>
          <w:rFonts w:ascii="Times New Roman" w:hAnsi="Times New Roman" w:cs="Times New Roman"/>
          <w:sz w:val="24"/>
          <w:szCs w:val="24"/>
        </w:rPr>
        <w:fldChar w:fldCharType="end"/>
      </w:r>
      <w:r w:rsidRPr="00D76399">
        <w:rPr>
          <w:rFonts w:ascii="Times New Roman" w:hAnsi="Times New Roman" w:cs="Times New Roman"/>
          <w:sz w:val="24"/>
          <w:szCs w:val="24"/>
        </w:rPr>
        <w:t>, education and pensions), of future wage levels and of other factors indicate that the costs of maintaining, let alone improving provision will rise steadily during the next half-century.</w:t>
      </w:r>
      <w:r w:rsidR="00E83547">
        <w:rPr>
          <w:rFonts w:ascii="Times New Roman" w:hAnsi="Times New Roman" w:cs="Times New Roman"/>
          <w:sz w:val="24"/>
          <w:szCs w:val="24"/>
        </w:rPr>
        <w:t xml:space="preserve"> </w:t>
      </w:r>
      <w:r w:rsidRPr="00D76399">
        <w:rPr>
          <w:rFonts w:ascii="Times New Roman" w:hAnsi="Times New Roman" w:cs="Times New Roman"/>
          <w:sz w:val="24"/>
          <w:szCs w:val="24"/>
        </w:rPr>
        <w:t>Taxpayers will have to pay more or accept lower standards.</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This book addresses the double crisis of the welfare state</w:t>
      </w:r>
      <w:r w:rsidR="00EB3B45">
        <w:rPr>
          <w:rFonts w:ascii="Times New Roman" w:hAnsi="Times New Roman" w:cs="Times New Roman"/>
          <w:sz w:val="24"/>
          <w:szCs w:val="24"/>
        </w:rPr>
        <w:t xml:space="preserve"> with a particular focus on the UK</w:t>
      </w:r>
      <w:r w:rsidRPr="00D76399">
        <w:rPr>
          <w:rFonts w:ascii="Times New Roman" w:hAnsi="Times New Roman" w:cs="Times New Roman"/>
          <w:sz w:val="24"/>
          <w:szCs w:val="24"/>
        </w:rPr>
        <w:t xml:space="preserve">. It shows how the immediate and longer-run pressures interact. The second, slow-burn crisis sets the mass of the population against more vulnerable minorities. </w:t>
      </w:r>
      <w:r w:rsidR="00A567B3">
        <w:rPr>
          <w:rFonts w:ascii="Times New Roman" w:hAnsi="Times New Roman" w:cs="Times New Roman"/>
          <w:sz w:val="24"/>
          <w:szCs w:val="24"/>
        </w:rPr>
        <w:t>T</w:t>
      </w:r>
      <w:r w:rsidRPr="00D76399">
        <w:rPr>
          <w:rFonts w:ascii="Times New Roman" w:hAnsi="Times New Roman" w:cs="Times New Roman"/>
          <w:sz w:val="24"/>
          <w:szCs w:val="24"/>
        </w:rPr>
        <w:t>he high-spending expensive services, health, education and pensions</w:t>
      </w:r>
      <w:r w:rsidR="00A567B3">
        <w:rPr>
          <w:rFonts w:ascii="Times New Roman" w:hAnsi="Times New Roman" w:cs="Times New Roman"/>
          <w:sz w:val="24"/>
          <w:szCs w:val="24"/>
        </w:rPr>
        <w:t>,</w:t>
      </w:r>
      <w:r w:rsidR="00A567B3" w:rsidRPr="00A567B3">
        <w:rPr>
          <w:rFonts w:ascii="Times New Roman" w:hAnsi="Times New Roman" w:cs="Times New Roman"/>
          <w:sz w:val="24"/>
          <w:szCs w:val="24"/>
        </w:rPr>
        <w:t xml:space="preserve"> </w:t>
      </w:r>
      <w:r w:rsidR="00A567B3">
        <w:rPr>
          <w:rFonts w:ascii="Times New Roman" w:hAnsi="Times New Roman" w:cs="Times New Roman"/>
          <w:sz w:val="24"/>
          <w:szCs w:val="24"/>
        </w:rPr>
        <w:t xml:space="preserve">are top </w:t>
      </w:r>
      <w:r w:rsidR="00A567B3" w:rsidRPr="00D76399">
        <w:rPr>
          <w:rFonts w:ascii="Times New Roman" w:hAnsi="Times New Roman" w:cs="Times New Roman"/>
          <w:sz w:val="24"/>
          <w:szCs w:val="24"/>
        </w:rPr>
        <w:t>priori</w:t>
      </w:r>
      <w:r w:rsidR="00A567B3">
        <w:rPr>
          <w:rFonts w:ascii="Times New Roman" w:hAnsi="Times New Roman" w:cs="Times New Roman"/>
          <w:sz w:val="24"/>
          <w:szCs w:val="24"/>
        </w:rPr>
        <w:t>ties for most people. Spending on t</w:t>
      </w:r>
      <w:r w:rsidRPr="00D76399">
        <w:rPr>
          <w:rFonts w:ascii="Times New Roman" w:hAnsi="Times New Roman" w:cs="Times New Roman"/>
          <w:sz w:val="24"/>
          <w:szCs w:val="24"/>
        </w:rPr>
        <w:t xml:space="preserve">he less popular benefits and services that redistribute to the poor </w:t>
      </w:r>
      <w:r w:rsidR="00A567B3">
        <w:rPr>
          <w:rFonts w:ascii="Times New Roman" w:hAnsi="Times New Roman" w:cs="Times New Roman"/>
          <w:sz w:val="24"/>
          <w:szCs w:val="24"/>
        </w:rPr>
        <w:t>is</w:t>
      </w:r>
      <w:r w:rsidRPr="00D76399">
        <w:rPr>
          <w:rFonts w:ascii="Times New Roman" w:hAnsi="Times New Roman" w:cs="Times New Roman"/>
          <w:sz w:val="24"/>
          <w:szCs w:val="24"/>
        </w:rPr>
        <w:t xml:space="preserve"> steadily eroded. The government’s response to the immediate economic crisis builds on this division, cutting </w:t>
      </w:r>
      <w:r w:rsidR="00F93600">
        <w:rPr>
          <w:rFonts w:ascii="Times New Roman" w:hAnsi="Times New Roman" w:cs="Times New Roman"/>
          <w:sz w:val="24"/>
          <w:szCs w:val="24"/>
        </w:rPr>
        <w:t xml:space="preserve">the </w:t>
      </w:r>
      <w:r w:rsidRPr="00D76399">
        <w:rPr>
          <w:rFonts w:ascii="Times New Roman" w:hAnsi="Times New Roman" w:cs="Times New Roman"/>
          <w:sz w:val="24"/>
          <w:szCs w:val="24"/>
        </w:rPr>
        <w:t>redistributive benefits to maintain the big-spending mass services. The fact that this</w:t>
      </w:r>
      <w:r w:rsidR="00EB3B45">
        <w:rPr>
          <w:rFonts w:ascii="Times New Roman" w:hAnsi="Times New Roman" w:cs="Times New Roman"/>
          <w:sz w:val="24"/>
          <w:szCs w:val="24"/>
        </w:rPr>
        <w:t xml:space="preserve"> is</w:t>
      </w:r>
      <w:r w:rsidRPr="00D76399">
        <w:rPr>
          <w:rFonts w:ascii="Times New Roman" w:hAnsi="Times New Roman" w:cs="Times New Roman"/>
          <w:sz w:val="24"/>
          <w:szCs w:val="24"/>
        </w:rPr>
        <w:t xml:space="preserve"> happening in a context of growing inequalities and social divisions makes the task of developing a humane and generous, effective and politically feasible response to the double crisis that much harder.</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 xml:space="preserve">In this chapter we </w:t>
      </w:r>
      <w:r w:rsidR="00581E72" w:rsidRPr="00D76399">
        <w:rPr>
          <w:rFonts w:ascii="Times New Roman" w:hAnsi="Times New Roman" w:cs="Times New Roman"/>
          <w:sz w:val="24"/>
          <w:szCs w:val="24"/>
        </w:rPr>
        <w:t>examine</w:t>
      </w:r>
      <w:r w:rsidRPr="00D76399">
        <w:rPr>
          <w:rFonts w:ascii="Times New Roman" w:hAnsi="Times New Roman" w:cs="Times New Roman"/>
          <w:sz w:val="24"/>
          <w:szCs w:val="24"/>
        </w:rPr>
        <w:t xml:space="preserve"> the twin crises in more detail. Chapter two considers how they interact and analyses their impact on the politics of </w:t>
      </w:r>
      <w:r w:rsidR="00EB3B45" w:rsidRPr="00D76399">
        <w:rPr>
          <w:rFonts w:ascii="Times New Roman" w:hAnsi="Times New Roman" w:cs="Times New Roman"/>
          <w:sz w:val="24"/>
          <w:szCs w:val="24"/>
        </w:rPr>
        <w:t>state</w:t>
      </w:r>
      <w:r w:rsidRPr="00D76399">
        <w:rPr>
          <w:rFonts w:ascii="Times New Roman" w:hAnsi="Times New Roman" w:cs="Times New Roman"/>
          <w:sz w:val="24"/>
          <w:szCs w:val="24"/>
        </w:rPr>
        <w:t xml:space="preserve"> welfare. Chapter three </w:t>
      </w:r>
      <w:r w:rsidR="000557C0">
        <w:rPr>
          <w:rFonts w:ascii="Times New Roman" w:hAnsi="Times New Roman" w:cs="Times New Roman"/>
          <w:sz w:val="24"/>
          <w:szCs w:val="24"/>
        </w:rPr>
        <w:t>examines</w:t>
      </w:r>
      <w:r w:rsidRPr="00D76399">
        <w:rPr>
          <w:rFonts w:ascii="Times New Roman" w:hAnsi="Times New Roman" w:cs="Times New Roman"/>
          <w:sz w:val="24"/>
          <w:szCs w:val="24"/>
        </w:rPr>
        <w:t xml:space="preserve"> the pro</w:t>
      </w:r>
      <w:r w:rsidR="000557C0">
        <w:rPr>
          <w:rFonts w:ascii="Times New Roman" w:hAnsi="Times New Roman" w:cs="Times New Roman"/>
          <w:sz w:val="24"/>
          <w:szCs w:val="24"/>
        </w:rPr>
        <w:t xml:space="preserve">blems </w:t>
      </w:r>
      <w:r w:rsidR="00E54B4B">
        <w:rPr>
          <w:rFonts w:ascii="Times New Roman" w:hAnsi="Times New Roman" w:cs="Times New Roman"/>
          <w:sz w:val="24"/>
          <w:szCs w:val="24"/>
        </w:rPr>
        <w:t>f</w:t>
      </w:r>
      <w:r w:rsidRPr="00D76399">
        <w:rPr>
          <w:rFonts w:ascii="Times New Roman" w:hAnsi="Times New Roman" w:cs="Times New Roman"/>
          <w:sz w:val="24"/>
          <w:szCs w:val="24"/>
        </w:rPr>
        <w:t xml:space="preserve">aced in making a case to sustain and improve provision in the current context, focusing on </w:t>
      </w:r>
      <w:r w:rsidR="00F93600">
        <w:rPr>
          <w:rFonts w:ascii="Times New Roman" w:hAnsi="Times New Roman" w:cs="Times New Roman"/>
          <w:sz w:val="24"/>
          <w:szCs w:val="24"/>
        </w:rPr>
        <w:t>redistributive welfare for the poor</w:t>
      </w:r>
      <w:r w:rsidRPr="00D76399">
        <w:rPr>
          <w:rFonts w:ascii="Times New Roman" w:hAnsi="Times New Roman" w:cs="Times New Roman"/>
          <w:sz w:val="24"/>
          <w:szCs w:val="24"/>
        </w:rPr>
        <w:t>. Chapter four extends the discussion of</w:t>
      </w:r>
      <w:r w:rsidR="00581E72">
        <w:rPr>
          <w:rFonts w:ascii="Times New Roman" w:hAnsi="Times New Roman" w:cs="Times New Roman"/>
          <w:sz w:val="24"/>
          <w:szCs w:val="24"/>
        </w:rPr>
        <w:t xml:space="preserve"> feasible, effective and humane</w:t>
      </w:r>
      <w:r w:rsidRPr="00D76399">
        <w:rPr>
          <w:rFonts w:ascii="Times New Roman" w:hAnsi="Times New Roman" w:cs="Times New Roman"/>
          <w:sz w:val="24"/>
          <w:szCs w:val="24"/>
        </w:rPr>
        <w:t xml:space="preserve"> policies to </w:t>
      </w:r>
      <w:r w:rsidR="00F93600">
        <w:rPr>
          <w:rFonts w:ascii="Times New Roman" w:hAnsi="Times New Roman" w:cs="Times New Roman"/>
          <w:sz w:val="24"/>
          <w:szCs w:val="24"/>
        </w:rPr>
        <w:t>health and social care, pensions and education</w:t>
      </w:r>
      <w:r w:rsidRPr="00D76399">
        <w:rPr>
          <w:rFonts w:ascii="Times New Roman" w:hAnsi="Times New Roman" w:cs="Times New Roman"/>
          <w:sz w:val="24"/>
          <w:szCs w:val="24"/>
        </w:rPr>
        <w:t xml:space="preserve">. Chapter five brings these arguments together, evaluates the opportunities for more </w:t>
      </w:r>
      <w:r w:rsidR="00946C7E">
        <w:rPr>
          <w:rFonts w:ascii="Times New Roman" w:hAnsi="Times New Roman" w:cs="Times New Roman"/>
          <w:sz w:val="24"/>
          <w:szCs w:val="24"/>
        </w:rPr>
        <w:t>generous and inclusive</w:t>
      </w:r>
      <w:r w:rsidRPr="00D76399">
        <w:rPr>
          <w:rFonts w:ascii="Times New Roman" w:hAnsi="Times New Roman" w:cs="Times New Roman"/>
          <w:sz w:val="24"/>
          <w:szCs w:val="24"/>
        </w:rPr>
        <w:t xml:space="preserve"> directions in policy and identifies the political forces that might be harnessed to drive them forward.</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b/>
          <w:sz w:val="24"/>
          <w:szCs w:val="24"/>
        </w:rPr>
      </w:pPr>
      <w:r w:rsidRPr="00D76399">
        <w:rPr>
          <w:rFonts w:ascii="Times New Roman" w:hAnsi="Times New Roman" w:cs="Times New Roman"/>
          <w:b/>
          <w:sz w:val="24"/>
          <w:szCs w:val="24"/>
        </w:rPr>
        <w:t>The immediate crisis:</w:t>
      </w:r>
      <w:r w:rsidR="00AA31C0">
        <w:rPr>
          <w:rFonts w:ascii="Times New Roman" w:hAnsi="Times New Roman" w:cs="Times New Roman"/>
          <w:b/>
          <w:sz w:val="24"/>
          <w:szCs w:val="24"/>
        </w:rPr>
        <w:fldChar w:fldCharType="begin"/>
      </w:r>
      <w:r w:rsidR="00AA31C0">
        <w:instrText xml:space="preserve"> XE "</w:instrText>
      </w:r>
      <w:r w:rsidR="00AA31C0" w:rsidRPr="00DF3E91">
        <w:instrText>short-term crisis</w:instrText>
      </w:r>
      <w:r w:rsidR="00AA31C0">
        <w:instrText xml:space="preserve">" </w:instrText>
      </w:r>
      <w:r w:rsidR="00AA31C0">
        <w:rPr>
          <w:rFonts w:ascii="Times New Roman" w:hAnsi="Times New Roman" w:cs="Times New Roman"/>
          <w:b/>
          <w:sz w:val="24"/>
          <w:szCs w:val="24"/>
        </w:rPr>
        <w:fldChar w:fldCharType="end"/>
      </w:r>
      <w:r w:rsidRPr="00D76399">
        <w:rPr>
          <w:rFonts w:ascii="Times New Roman" w:hAnsi="Times New Roman" w:cs="Times New Roman"/>
          <w:b/>
          <w:sz w:val="24"/>
          <w:szCs w:val="24"/>
        </w:rPr>
        <w:t xml:space="preserve"> recession, cuts and restructuring</w:t>
      </w:r>
    </w:p>
    <w:p w:rsidR="00703A96" w:rsidRPr="00D76399" w:rsidRDefault="00703A96" w:rsidP="00F34DAD">
      <w:pPr>
        <w:jc w:val="left"/>
        <w:rPr>
          <w:rFonts w:ascii="Times New Roman" w:hAnsi="Times New Roman" w:cs="Times New Roman"/>
          <w:b/>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Britain’s welfare state is unusual in a European context in being financed mainly through tax</w:t>
      </w:r>
      <w:r w:rsidR="005E0406">
        <w:rPr>
          <w:rFonts w:ascii="Times New Roman" w:hAnsi="Times New Roman" w:cs="Times New Roman"/>
          <w:sz w:val="24"/>
          <w:szCs w:val="24"/>
        </w:rPr>
        <w:fldChar w:fldCharType="begin"/>
      </w:r>
      <w:r w:rsidR="00DB0E80">
        <w:instrText xml:space="preserve"> XE "</w:instrText>
      </w:r>
      <w:r w:rsidR="00DB0E80" w:rsidRPr="00726176">
        <w:rPr>
          <w:rFonts w:ascii="Times New Roman" w:hAnsi="Times New Roman" w:cs="Times New Roman"/>
          <w:sz w:val="24"/>
          <w:szCs w:val="24"/>
        </w:rPr>
        <w:instrText>tax</w:instrText>
      </w:r>
      <w:r w:rsidR="00DB0E80">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ation rather than social insurance</w:t>
      </w:r>
      <w:r w:rsidR="005E0406">
        <w:rPr>
          <w:rFonts w:ascii="Times New Roman" w:hAnsi="Times New Roman" w:cs="Times New Roman"/>
          <w:sz w:val="24"/>
          <w:szCs w:val="24"/>
        </w:rPr>
        <w:fldChar w:fldCharType="begin"/>
      </w:r>
      <w:r w:rsidR="00DB0E80">
        <w:instrText xml:space="preserve"> XE "</w:instrText>
      </w:r>
      <w:r w:rsidR="00DB0E80" w:rsidRPr="00AA1995">
        <w:rPr>
          <w:rFonts w:ascii="Times New Roman" w:hAnsi="Times New Roman" w:cs="Times New Roman"/>
          <w:sz w:val="24"/>
          <w:szCs w:val="24"/>
        </w:rPr>
        <w:instrText>social insurance</w:instrText>
      </w:r>
      <w:r w:rsidR="00DB0E80">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payments from employers, workers and government. Tax finance presents the question of who pays in and who gets the benefits more directly and </w:t>
      </w:r>
      <w:r w:rsidRPr="00D76399">
        <w:rPr>
          <w:rFonts w:ascii="Times New Roman" w:hAnsi="Times New Roman" w:cs="Times New Roman"/>
          <w:sz w:val="24"/>
          <w:szCs w:val="24"/>
        </w:rPr>
        <w:lastRenderedPageBreak/>
        <w:t>raises immediate issues of stigma and desert.</w:t>
      </w:r>
      <w:r w:rsidR="00E83547">
        <w:rPr>
          <w:rFonts w:ascii="Times New Roman" w:hAnsi="Times New Roman" w:cs="Times New Roman"/>
          <w:sz w:val="24"/>
          <w:szCs w:val="24"/>
        </w:rPr>
        <w:t xml:space="preserve"> </w:t>
      </w:r>
      <w:r w:rsidRPr="00D76399">
        <w:rPr>
          <w:rFonts w:ascii="Times New Roman" w:hAnsi="Times New Roman" w:cs="Times New Roman"/>
          <w:sz w:val="24"/>
          <w:szCs w:val="24"/>
        </w:rPr>
        <w:t>The system includes high-quality and relatively cheap mass health care, pensions at mode</w:t>
      </w:r>
      <w:r w:rsidR="00581E72">
        <w:rPr>
          <w:rFonts w:ascii="Times New Roman" w:hAnsi="Times New Roman" w:cs="Times New Roman"/>
          <w:sz w:val="24"/>
          <w:szCs w:val="24"/>
        </w:rPr>
        <w:t>st</w:t>
      </w:r>
      <w:r w:rsidRPr="00D76399">
        <w:rPr>
          <w:rFonts w:ascii="Times New Roman" w:hAnsi="Times New Roman" w:cs="Times New Roman"/>
          <w:sz w:val="24"/>
          <w:szCs w:val="24"/>
        </w:rPr>
        <w:t xml:space="preserve"> levels, an average education system that achieves good results for those at the top but not for others, relatively extensive (but costly) social housing, and weak provision for those on low incomes, with </w:t>
      </w:r>
      <w:r w:rsidR="00CB0097">
        <w:rPr>
          <w:rFonts w:ascii="Times New Roman" w:hAnsi="Times New Roman" w:cs="Times New Roman"/>
          <w:sz w:val="24"/>
          <w:szCs w:val="24"/>
        </w:rPr>
        <w:t>limited</w:t>
      </w:r>
      <w:r w:rsidRPr="00D76399">
        <w:rPr>
          <w:rFonts w:ascii="Times New Roman" w:hAnsi="Times New Roman" w:cs="Times New Roman"/>
          <w:sz w:val="24"/>
          <w:szCs w:val="24"/>
        </w:rPr>
        <w:t xml:space="preserve"> skills or who are vulnerable for other reasons. The main division lies between the universal services that meet the shared needs of the mass of the population (health care, education and old age pensions</w:t>
      </w:r>
      <w:r w:rsidR="002A7776">
        <w:rPr>
          <w:rFonts w:ascii="Times New Roman" w:hAnsi="Times New Roman" w:cs="Times New Roman"/>
          <w:sz w:val="24"/>
          <w:szCs w:val="24"/>
        </w:rPr>
        <w:fldChar w:fldCharType="begin"/>
      </w:r>
      <w:r w:rsidR="002A7776">
        <w:instrText xml:space="preserve"> XE "</w:instrText>
      </w:r>
      <w:r w:rsidR="002A7776" w:rsidRPr="000468B3">
        <w:rPr>
          <w:rFonts w:ascii="Times New Roman" w:hAnsi="Times New Roman" w:cs="Times New Roman"/>
          <w:sz w:val="24"/>
          <w:szCs w:val="24"/>
        </w:rPr>
        <w:instrText>pension</w:instrText>
      </w:r>
      <w:r w:rsidR="002A7776">
        <w:instrText xml:space="preserve">" </w:instrText>
      </w:r>
      <w:r w:rsidR="002A7776">
        <w:rPr>
          <w:rFonts w:ascii="Times New Roman" w:hAnsi="Times New Roman" w:cs="Times New Roman"/>
          <w:sz w:val="24"/>
          <w:szCs w:val="24"/>
        </w:rPr>
        <w:fldChar w:fldCharType="end"/>
      </w:r>
      <w:r w:rsidRPr="00D76399">
        <w:rPr>
          <w:rFonts w:ascii="Times New Roman" w:hAnsi="Times New Roman" w:cs="Times New Roman"/>
          <w:sz w:val="24"/>
          <w:szCs w:val="24"/>
        </w:rPr>
        <w:t>) and those directed at poor minorities (unemployed, sick and disabled people, lone parents, those who can’t afford rents and families</w:t>
      </w:r>
      <w:r w:rsidR="00CD4C3B">
        <w:rPr>
          <w:rFonts w:ascii="Times New Roman" w:hAnsi="Times New Roman" w:cs="Times New Roman"/>
          <w:sz w:val="24"/>
          <w:szCs w:val="24"/>
        </w:rPr>
        <w:t xml:space="preserve"> in low-waged work</w:t>
      </w:r>
      <w:r w:rsidRPr="00D76399">
        <w:rPr>
          <w:rFonts w:ascii="Times New Roman" w:hAnsi="Times New Roman" w:cs="Times New Roman"/>
          <w:sz w:val="24"/>
          <w:szCs w:val="24"/>
        </w:rPr>
        <w:t>). It is here that questions of desert arise and that entitlement tends to be policed through means-testing and stringent work-tests</w:t>
      </w:r>
      <w:r w:rsidR="001D41FB">
        <w:rPr>
          <w:rFonts w:ascii="Times New Roman" w:hAnsi="Times New Roman" w:cs="Times New Roman"/>
          <w:sz w:val="24"/>
          <w:szCs w:val="24"/>
        </w:rPr>
        <w:fldChar w:fldCharType="begin"/>
      </w:r>
      <w:r w:rsidR="001D41FB">
        <w:instrText xml:space="preserve"> XE "</w:instrText>
      </w:r>
      <w:r w:rsidR="001D41FB">
        <w:rPr>
          <w:rFonts w:ascii="Times New Roman" w:hAnsi="Times New Roman" w:cs="Times New Roman"/>
          <w:sz w:val="24"/>
          <w:szCs w:val="24"/>
        </w:rPr>
        <w:instrText xml:space="preserve">work </w:instrText>
      </w:r>
      <w:r w:rsidR="001D41FB" w:rsidRPr="009100C7">
        <w:rPr>
          <w:rFonts w:ascii="Times New Roman" w:hAnsi="Times New Roman" w:cs="Times New Roman"/>
          <w:sz w:val="24"/>
          <w:szCs w:val="24"/>
        </w:rPr>
        <w:instrText>test</w:instrText>
      </w:r>
      <w:r w:rsidR="001D41FB">
        <w:instrText xml:space="preserve">" </w:instrText>
      </w:r>
      <w:r w:rsidR="001D41FB">
        <w:rPr>
          <w:rFonts w:ascii="Times New Roman" w:hAnsi="Times New Roman" w:cs="Times New Roman"/>
          <w:sz w:val="24"/>
          <w:szCs w:val="24"/>
        </w:rPr>
        <w:fldChar w:fldCharType="end"/>
      </w:r>
      <w:r w:rsidRPr="00D76399">
        <w:rPr>
          <w:rFonts w:ascii="Times New Roman" w:hAnsi="Times New Roman" w:cs="Times New Roman"/>
          <w:sz w:val="24"/>
          <w:szCs w:val="24"/>
        </w:rPr>
        <w:t>.</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 xml:space="preserve">Britain’s response to the </w:t>
      </w:r>
      <w:r w:rsidR="00A567B3">
        <w:rPr>
          <w:rFonts w:ascii="Times New Roman" w:hAnsi="Times New Roman" w:cs="Times New Roman"/>
          <w:sz w:val="24"/>
          <w:szCs w:val="24"/>
        </w:rPr>
        <w:t xml:space="preserve">economic </w:t>
      </w:r>
      <w:r w:rsidRPr="00D76399">
        <w:rPr>
          <w:rFonts w:ascii="Times New Roman" w:hAnsi="Times New Roman" w:cs="Times New Roman"/>
          <w:sz w:val="24"/>
          <w:szCs w:val="24"/>
        </w:rPr>
        <w:t>crisis is also unusual.</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b/>
          <w:sz w:val="24"/>
          <w:szCs w:val="24"/>
        </w:rPr>
      </w:pPr>
      <w:r w:rsidRPr="00D76399">
        <w:rPr>
          <w:rFonts w:ascii="Times New Roman" w:hAnsi="Times New Roman" w:cs="Times New Roman"/>
          <w:b/>
          <w:i/>
          <w:sz w:val="24"/>
          <w:szCs w:val="24"/>
        </w:rPr>
        <w:t xml:space="preserve">Fig 1.1 about here </w:t>
      </w:r>
    </w:p>
    <w:p w:rsidR="00703A96" w:rsidRPr="00D76399" w:rsidRDefault="00703A96" w:rsidP="00F34DAD">
      <w:pPr>
        <w:jc w:val="left"/>
        <w:rPr>
          <w:rFonts w:ascii="Times New Roman" w:hAnsi="Times New Roman" w:cs="Times New Roman"/>
          <w:sz w:val="24"/>
          <w:szCs w:val="24"/>
        </w:rPr>
      </w:pPr>
    </w:p>
    <w:p w:rsidR="00B638C3"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The 2008-9 recession</w:t>
      </w:r>
      <w:r w:rsidR="005E0406">
        <w:rPr>
          <w:rFonts w:ascii="Times New Roman" w:hAnsi="Times New Roman" w:cs="Times New Roman"/>
          <w:sz w:val="24"/>
          <w:szCs w:val="24"/>
        </w:rPr>
        <w:fldChar w:fldCharType="begin"/>
      </w:r>
      <w:r w:rsidR="003E1115">
        <w:instrText xml:space="preserve"> XE "</w:instrText>
      </w:r>
      <w:r w:rsidR="003E1115" w:rsidRPr="00DC66A5">
        <w:rPr>
          <w:rFonts w:ascii="Times New Roman" w:hAnsi="Times New Roman" w:cs="Times New Roman"/>
          <w:sz w:val="24"/>
          <w:szCs w:val="24"/>
        </w:rPr>
        <w:instrText>recession</w:instrText>
      </w:r>
      <w:r w:rsidR="003E1115">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was the deepest since at least the great crash in the 1929-31 and has already lasted longer than any previous recession for at least a century. Figure 1.1 above shows the pattern of economic growth across </w:t>
      </w:r>
      <w:r w:rsidR="00B638C3">
        <w:rPr>
          <w:rFonts w:ascii="Times New Roman" w:hAnsi="Times New Roman" w:cs="Times New Roman"/>
          <w:sz w:val="24"/>
          <w:szCs w:val="24"/>
        </w:rPr>
        <w:t xml:space="preserve">the two </w:t>
      </w:r>
      <w:r w:rsidRPr="00D76399">
        <w:rPr>
          <w:rFonts w:ascii="Times New Roman" w:hAnsi="Times New Roman" w:cs="Times New Roman"/>
          <w:sz w:val="24"/>
          <w:szCs w:val="24"/>
        </w:rPr>
        <w:t>major comparable European economies</w:t>
      </w:r>
      <w:r w:rsidR="00B638C3">
        <w:rPr>
          <w:rFonts w:ascii="Times New Roman" w:hAnsi="Times New Roman" w:cs="Times New Roman"/>
          <w:sz w:val="24"/>
          <w:szCs w:val="24"/>
        </w:rPr>
        <w:t>, France</w:t>
      </w:r>
      <w:r w:rsidR="004C5788">
        <w:rPr>
          <w:rFonts w:ascii="Times New Roman" w:hAnsi="Times New Roman" w:cs="Times New Roman"/>
          <w:sz w:val="24"/>
          <w:szCs w:val="24"/>
        </w:rPr>
        <w:fldChar w:fldCharType="begin"/>
      </w:r>
      <w:r w:rsidR="004C5788">
        <w:instrText xml:space="preserve"> XE "</w:instrText>
      </w:r>
      <w:r w:rsidR="004C5788" w:rsidRPr="00582ED3">
        <w:rPr>
          <w:rFonts w:ascii="Times New Roman" w:hAnsi="Times New Roman" w:cs="Times New Roman"/>
          <w:sz w:val="24"/>
          <w:szCs w:val="24"/>
        </w:rPr>
        <w:instrText>France</w:instrText>
      </w:r>
      <w:r w:rsidR="004C5788">
        <w:instrText xml:space="preserve">" </w:instrText>
      </w:r>
      <w:r w:rsidR="004C5788">
        <w:rPr>
          <w:rFonts w:ascii="Times New Roman" w:hAnsi="Times New Roman" w:cs="Times New Roman"/>
          <w:sz w:val="24"/>
          <w:szCs w:val="24"/>
        </w:rPr>
        <w:fldChar w:fldCharType="end"/>
      </w:r>
      <w:r w:rsidR="00B638C3">
        <w:rPr>
          <w:rFonts w:ascii="Times New Roman" w:hAnsi="Times New Roman" w:cs="Times New Roman"/>
          <w:sz w:val="24"/>
          <w:szCs w:val="24"/>
        </w:rPr>
        <w:t xml:space="preserve"> and Germany</w:t>
      </w:r>
      <w:r w:rsidR="004C5788">
        <w:rPr>
          <w:rFonts w:ascii="Times New Roman" w:hAnsi="Times New Roman" w:cs="Times New Roman"/>
          <w:sz w:val="24"/>
          <w:szCs w:val="24"/>
        </w:rPr>
        <w:fldChar w:fldCharType="begin"/>
      </w:r>
      <w:r w:rsidR="004C5788">
        <w:instrText xml:space="preserve"> XE "</w:instrText>
      </w:r>
      <w:r w:rsidR="004C5788" w:rsidRPr="0005073E">
        <w:rPr>
          <w:rFonts w:ascii="Times New Roman" w:hAnsi="Times New Roman" w:cs="Times New Roman"/>
          <w:sz w:val="24"/>
          <w:szCs w:val="24"/>
        </w:rPr>
        <w:instrText>Germany</w:instrText>
      </w:r>
      <w:r w:rsidR="004C5788">
        <w:instrText xml:space="preserve">" </w:instrText>
      </w:r>
      <w:r w:rsidR="004C5788">
        <w:rPr>
          <w:rFonts w:ascii="Times New Roman" w:hAnsi="Times New Roman" w:cs="Times New Roman"/>
          <w:sz w:val="24"/>
          <w:szCs w:val="24"/>
        </w:rPr>
        <w:fldChar w:fldCharType="end"/>
      </w:r>
      <w:r w:rsidR="00B638C3">
        <w:rPr>
          <w:rFonts w:ascii="Times New Roman" w:hAnsi="Times New Roman" w:cs="Times New Roman"/>
          <w:sz w:val="24"/>
          <w:szCs w:val="24"/>
        </w:rPr>
        <w:t>, the EU</w:t>
      </w:r>
      <w:r w:rsidR="005E0406">
        <w:rPr>
          <w:rFonts w:ascii="Times New Roman" w:hAnsi="Times New Roman" w:cs="Times New Roman"/>
          <w:sz w:val="24"/>
          <w:szCs w:val="24"/>
        </w:rPr>
        <w:fldChar w:fldCharType="begin"/>
      </w:r>
      <w:r w:rsidR="003E1115">
        <w:instrText xml:space="preserve"> XE "</w:instrText>
      </w:r>
      <w:r w:rsidR="003E1115" w:rsidRPr="00CE3917">
        <w:rPr>
          <w:rFonts w:ascii="Times New Roman" w:hAnsi="Times New Roman" w:cs="Times New Roman"/>
          <w:sz w:val="24"/>
          <w:szCs w:val="24"/>
        </w:rPr>
        <w:instrText>EU</w:instrText>
      </w:r>
      <w:r w:rsidR="003E1115">
        <w:instrText xml:space="preserve">" </w:instrText>
      </w:r>
      <w:r w:rsidR="005E0406">
        <w:rPr>
          <w:rFonts w:ascii="Times New Roman" w:hAnsi="Times New Roman" w:cs="Times New Roman"/>
          <w:sz w:val="24"/>
          <w:szCs w:val="24"/>
        </w:rPr>
        <w:fldChar w:fldCharType="end"/>
      </w:r>
      <w:r w:rsidR="00B638C3">
        <w:rPr>
          <w:rFonts w:ascii="Times New Roman" w:hAnsi="Times New Roman" w:cs="Times New Roman"/>
          <w:sz w:val="24"/>
          <w:szCs w:val="24"/>
        </w:rPr>
        <w:t xml:space="preserve"> as a whole, the US</w:t>
      </w:r>
      <w:r w:rsidR="004C5788">
        <w:rPr>
          <w:rFonts w:ascii="Times New Roman" w:hAnsi="Times New Roman" w:cs="Times New Roman"/>
          <w:sz w:val="24"/>
          <w:szCs w:val="24"/>
        </w:rPr>
        <w:fldChar w:fldCharType="begin"/>
      </w:r>
      <w:r w:rsidR="004C5788">
        <w:instrText xml:space="preserve"> XE "</w:instrText>
      </w:r>
      <w:r w:rsidR="004C5788" w:rsidRPr="00E855C6">
        <w:rPr>
          <w:rFonts w:ascii="Times New Roman" w:hAnsi="Times New Roman" w:cs="Times New Roman"/>
          <w:sz w:val="24"/>
          <w:szCs w:val="24"/>
        </w:rPr>
        <w:instrText>US</w:instrText>
      </w:r>
      <w:r w:rsidR="004C5788">
        <w:instrText xml:space="preserve">" </w:instrText>
      </w:r>
      <w:r w:rsidR="004C5788">
        <w:rPr>
          <w:rFonts w:ascii="Times New Roman" w:hAnsi="Times New Roman" w:cs="Times New Roman"/>
          <w:sz w:val="24"/>
          <w:szCs w:val="24"/>
        </w:rPr>
        <w:fldChar w:fldCharType="end"/>
      </w:r>
      <w:r w:rsidRPr="00D76399">
        <w:rPr>
          <w:rFonts w:ascii="Times New Roman" w:hAnsi="Times New Roman" w:cs="Times New Roman"/>
          <w:sz w:val="24"/>
          <w:szCs w:val="24"/>
        </w:rPr>
        <w:t xml:space="preserve"> </w:t>
      </w:r>
      <w:r w:rsidR="00B638C3">
        <w:rPr>
          <w:rFonts w:ascii="Times New Roman" w:hAnsi="Times New Roman" w:cs="Times New Roman"/>
          <w:sz w:val="24"/>
          <w:szCs w:val="24"/>
        </w:rPr>
        <w:t>and the G7 group since the start of the first recession in 2007.</w:t>
      </w:r>
      <w:r w:rsidR="00947636" w:rsidRPr="00947636">
        <w:rPr>
          <w:rFonts w:ascii="Times New Roman" w:hAnsi="Times New Roman" w:cs="Times New Roman"/>
          <w:sz w:val="24"/>
          <w:szCs w:val="24"/>
        </w:rPr>
        <w:t xml:space="preserve"> </w:t>
      </w:r>
      <w:r w:rsidR="00947636">
        <w:rPr>
          <w:rFonts w:ascii="Times New Roman" w:hAnsi="Times New Roman" w:cs="Times New Roman"/>
          <w:sz w:val="24"/>
          <w:szCs w:val="24"/>
        </w:rPr>
        <w:t xml:space="preserve">G7 includes the </w:t>
      </w:r>
      <w:r w:rsidR="00A567B3">
        <w:rPr>
          <w:rFonts w:ascii="Times New Roman" w:hAnsi="Times New Roman" w:cs="Times New Roman"/>
          <w:sz w:val="24"/>
          <w:szCs w:val="24"/>
        </w:rPr>
        <w:t xml:space="preserve">largest </w:t>
      </w:r>
      <w:r w:rsidR="00947636">
        <w:rPr>
          <w:rFonts w:ascii="Times New Roman" w:hAnsi="Times New Roman" w:cs="Times New Roman"/>
          <w:sz w:val="24"/>
          <w:szCs w:val="24"/>
        </w:rPr>
        <w:t>established capitalist economies: the US, Canada and Japan as well as the UK and France, Germany</w:t>
      </w:r>
      <w:r w:rsidR="004C5788">
        <w:rPr>
          <w:rFonts w:ascii="Times New Roman" w:hAnsi="Times New Roman" w:cs="Times New Roman"/>
          <w:sz w:val="24"/>
          <w:szCs w:val="24"/>
        </w:rPr>
        <w:fldChar w:fldCharType="begin"/>
      </w:r>
      <w:r w:rsidR="004C5788">
        <w:instrText xml:space="preserve"> XE "</w:instrText>
      </w:r>
      <w:r w:rsidR="004C5788" w:rsidRPr="005177CC">
        <w:rPr>
          <w:rFonts w:ascii="Times New Roman" w:hAnsi="Times New Roman" w:cs="Times New Roman"/>
          <w:sz w:val="24"/>
          <w:szCs w:val="24"/>
        </w:rPr>
        <w:instrText>Germany</w:instrText>
      </w:r>
      <w:r w:rsidR="004C5788">
        <w:instrText xml:space="preserve">" </w:instrText>
      </w:r>
      <w:r w:rsidR="004C5788">
        <w:rPr>
          <w:rFonts w:ascii="Times New Roman" w:hAnsi="Times New Roman" w:cs="Times New Roman"/>
          <w:sz w:val="24"/>
          <w:szCs w:val="24"/>
        </w:rPr>
        <w:fldChar w:fldCharType="end"/>
      </w:r>
      <w:r w:rsidR="00947636">
        <w:rPr>
          <w:rFonts w:ascii="Times New Roman" w:hAnsi="Times New Roman" w:cs="Times New Roman"/>
          <w:sz w:val="24"/>
          <w:szCs w:val="24"/>
        </w:rPr>
        <w:t xml:space="preserve"> and Italy and offers a global comparison.</w:t>
      </w:r>
      <w:r w:rsidR="00E83547">
        <w:rPr>
          <w:rFonts w:ascii="Times New Roman" w:hAnsi="Times New Roman" w:cs="Times New Roman"/>
          <w:sz w:val="24"/>
          <w:szCs w:val="24"/>
        </w:rPr>
        <w:t xml:space="preserve"> </w:t>
      </w:r>
      <w:r w:rsidR="00B638C3">
        <w:rPr>
          <w:rFonts w:ascii="Times New Roman" w:hAnsi="Times New Roman" w:cs="Times New Roman"/>
          <w:sz w:val="24"/>
          <w:szCs w:val="24"/>
        </w:rPr>
        <w:t>The graph plots the decline in GDP and shows how long it took to return to the pre-recession level. The collapse in 2009 was of between three and a half and f</w:t>
      </w:r>
      <w:r w:rsidR="00014C9C">
        <w:rPr>
          <w:rFonts w:ascii="Times New Roman" w:hAnsi="Times New Roman" w:cs="Times New Roman"/>
          <w:sz w:val="24"/>
          <w:szCs w:val="24"/>
        </w:rPr>
        <w:t>ive</w:t>
      </w:r>
      <w:r w:rsidR="00B638C3">
        <w:rPr>
          <w:rFonts w:ascii="Times New Roman" w:hAnsi="Times New Roman" w:cs="Times New Roman"/>
          <w:sz w:val="24"/>
          <w:szCs w:val="24"/>
        </w:rPr>
        <w:t xml:space="preserve"> per c</w:t>
      </w:r>
      <w:r w:rsidR="00A567B3">
        <w:rPr>
          <w:rFonts w:ascii="Times New Roman" w:hAnsi="Times New Roman" w:cs="Times New Roman"/>
          <w:sz w:val="24"/>
          <w:szCs w:val="24"/>
        </w:rPr>
        <w:t>ent of GDP.</w:t>
      </w:r>
      <w:r w:rsidR="00B638C3">
        <w:rPr>
          <w:rFonts w:ascii="Times New Roman" w:hAnsi="Times New Roman" w:cs="Times New Roman"/>
          <w:sz w:val="24"/>
          <w:szCs w:val="24"/>
        </w:rPr>
        <w:t xml:space="preserve"> All of the countries and groups of countries had recovered to their 2007 level of output or surpassed it by 2011, apart from the UK. Germany, the US and the G7 then continue to grow</w:t>
      </w:r>
      <w:r w:rsidR="004E54F8">
        <w:rPr>
          <w:rFonts w:ascii="Times New Roman" w:hAnsi="Times New Roman" w:cs="Times New Roman"/>
          <w:sz w:val="24"/>
          <w:szCs w:val="24"/>
        </w:rPr>
        <w:t>, while</w:t>
      </w:r>
      <w:r w:rsidR="00B638C3">
        <w:rPr>
          <w:rFonts w:ascii="Times New Roman" w:hAnsi="Times New Roman" w:cs="Times New Roman"/>
          <w:sz w:val="24"/>
          <w:szCs w:val="24"/>
        </w:rPr>
        <w:t xml:space="preserve"> France and the EU as a whole stay at about 2007 levels. At the time of writing, some 60 months after the onset of recession, the UK is still struggling to return to its previous position. It is not expected to do so for at least another year.</w:t>
      </w:r>
    </w:p>
    <w:p w:rsidR="00B638C3" w:rsidRDefault="00B638C3" w:rsidP="00F34DAD">
      <w:pPr>
        <w:jc w:val="left"/>
        <w:rPr>
          <w:rFonts w:ascii="Times New Roman" w:hAnsi="Times New Roman" w:cs="Times New Roman"/>
          <w:sz w:val="24"/>
          <w:szCs w:val="24"/>
        </w:rPr>
      </w:pPr>
    </w:p>
    <w:p w:rsidR="00703A96" w:rsidRPr="00D76399" w:rsidRDefault="004E54F8" w:rsidP="00F34DAD">
      <w:pPr>
        <w:jc w:val="left"/>
        <w:rPr>
          <w:rFonts w:ascii="Times New Roman" w:hAnsi="Times New Roman" w:cs="Times New Roman"/>
          <w:sz w:val="24"/>
          <w:szCs w:val="24"/>
        </w:rPr>
      </w:pPr>
      <w:r>
        <w:rPr>
          <w:rFonts w:ascii="Times New Roman" w:hAnsi="Times New Roman" w:cs="Times New Roman"/>
          <w:sz w:val="24"/>
          <w:szCs w:val="24"/>
        </w:rPr>
        <w:t>The UK has, effectively, lost the resources that would have been produced over the period</w:t>
      </w:r>
      <w:r w:rsidR="00A567B3">
        <w:rPr>
          <w:rFonts w:ascii="Times New Roman" w:hAnsi="Times New Roman" w:cs="Times New Roman"/>
          <w:sz w:val="24"/>
          <w:szCs w:val="24"/>
        </w:rPr>
        <w:t xml:space="preserve"> since 2007 if output had simply</w:t>
      </w:r>
      <w:r>
        <w:rPr>
          <w:rFonts w:ascii="Times New Roman" w:hAnsi="Times New Roman" w:cs="Times New Roman"/>
          <w:sz w:val="24"/>
          <w:szCs w:val="24"/>
        </w:rPr>
        <w:t xml:space="preserve"> stood still.</w:t>
      </w:r>
      <w:r w:rsidR="00EB3B45">
        <w:rPr>
          <w:rFonts w:ascii="Times New Roman" w:hAnsi="Times New Roman" w:cs="Times New Roman"/>
          <w:sz w:val="24"/>
          <w:szCs w:val="24"/>
        </w:rPr>
        <w:t xml:space="preserve"> One outcome has been a real fall in living standards for most people as wages fail to keep pace with price rises</w:t>
      </w:r>
      <w:r w:rsidR="00FD3C7B">
        <w:rPr>
          <w:rFonts w:ascii="Times New Roman" w:hAnsi="Times New Roman" w:cs="Times New Roman"/>
          <w:sz w:val="24"/>
          <w:szCs w:val="24"/>
        </w:rPr>
        <w:t>, about seven per cent between 2009 and 2013 for those on median incomes (Joyce</w:t>
      </w:r>
      <w:r w:rsidR="007F76FC">
        <w:rPr>
          <w:rFonts w:ascii="Times New Roman" w:hAnsi="Times New Roman" w:cs="Times New Roman"/>
          <w:sz w:val="24"/>
          <w:szCs w:val="24"/>
        </w:rPr>
        <w:fldChar w:fldCharType="begin"/>
      </w:r>
      <w:r w:rsidR="007F76FC">
        <w:instrText xml:space="preserve"> XE "</w:instrText>
      </w:r>
      <w:r w:rsidR="007F76FC" w:rsidRPr="00E87563">
        <w:rPr>
          <w:rFonts w:ascii="Times New Roman" w:hAnsi="Times New Roman" w:cs="Times New Roman"/>
          <w:sz w:val="24"/>
          <w:szCs w:val="24"/>
        </w:rPr>
        <w:instrText>Joyce</w:instrText>
      </w:r>
      <w:r w:rsidR="007F76FC">
        <w:instrText xml:space="preserve">" </w:instrText>
      </w:r>
      <w:r w:rsidR="007F76FC">
        <w:rPr>
          <w:rFonts w:ascii="Times New Roman" w:hAnsi="Times New Roman" w:cs="Times New Roman"/>
          <w:sz w:val="24"/>
          <w:szCs w:val="24"/>
        </w:rPr>
        <w:fldChar w:fldCharType="end"/>
      </w:r>
      <w:r w:rsidR="00FD3C7B">
        <w:rPr>
          <w:rFonts w:ascii="Times New Roman" w:hAnsi="Times New Roman" w:cs="Times New Roman"/>
          <w:sz w:val="24"/>
          <w:szCs w:val="24"/>
        </w:rPr>
        <w:t xml:space="preserve"> 2012, 15)</w:t>
      </w:r>
      <w:r w:rsidR="00EB3B45">
        <w:rPr>
          <w:rFonts w:ascii="Times New Roman" w:hAnsi="Times New Roman" w:cs="Times New Roman"/>
          <w:sz w:val="24"/>
          <w:szCs w:val="24"/>
        </w:rPr>
        <w:t>. So far as the welfare state goes, t</w:t>
      </w:r>
      <w:r>
        <w:rPr>
          <w:rFonts w:ascii="Times New Roman" w:hAnsi="Times New Roman" w:cs="Times New Roman"/>
          <w:sz w:val="24"/>
          <w:szCs w:val="24"/>
        </w:rPr>
        <w:t>he response of the</w:t>
      </w:r>
      <w:r w:rsidR="00703A96" w:rsidRPr="00D76399">
        <w:rPr>
          <w:rFonts w:ascii="Times New Roman" w:hAnsi="Times New Roman" w:cs="Times New Roman"/>
          <w:sz w:val="24"/>
          <w:szCs w:val="24"/>
        </w:rPr>
        <w:t xml:space="preserve"> incoming coalition</w:t>
      </w:r>
      <w:r w:rsidR="00850EB1">
        <w:rPr>
          <w:rFonts w:ascii="Times New Roman" w:hAnsi="Times New Roman" w:cs="Times New Roman"/>
          <w:sz w:val="24"/>
          <w:szCs w:val="24"/>
        </w:rPr>
        <w:fldChar w:fldCharType="begin"/>
      </w:r>
      <w:r w:rsidR="00850EB1">
        <w:instrText xml:space="preserve"> XE "</w:instrText>
      </w:r>
      <w:r w:rsidR="00850EB1" w:rsidRPr="00956F28">
        <w:rPr>
          <w:rFonts w:ascii="Times New Roman" w:hAnsi="Times New Roman" w:cs="Times New Roman"/>
          <w:sz w:val="24"/>
          <w:szCs w:val="24"/>
        </w:rPr>
        <w:instrText>Coalition</w:instrText>
      </w:r>
      <w:r w:rsidR="00850EB1">
        <w:instrText xml:space="preserve">" </w:instrText>
      </w:r>
      <w:r w:rsidR="00850EB1">
        <w:rPr>
          <w:rFonts w:ascii="Times New Roman" w:hAnsi="Times New Roman" w:cs="Times New Roman"/>
          <w:sz w:val="24"/>
          <w:szCs w:val="24"/>
        </w:rPr>
        <w:fldChar w:fldCharType="end"/>
      </w:r>
      <w:r w:rsidR="00703A96" w:rsidRPr="00D76399">
        <w:rPr>
          <w:rFonts w:ascii="Times New Roman" w:hAnsi="Times New Roman" w:cs="Times New Roman"/>
          <w:sz w:val="24"/>
          <w:szCs w:val="24"/>
        </w:rPr>
        <w:t xml:space="preserve"> government </w:t>
      </w:r>
      <w:r>
        <w:rPr>
          <w:rFonts w:ascii="Times New Roman" w:hAnsi="Times New Roman" w:cs="Times New Roman"/>
          <w:sz w:val="24"/>
          <w:szCs w:val="24"/>
        </w:rPr>
        <w:t xml:space="preserve">in 2010 was </w:t>
      </w:r>
      <w:r w:rsidR="00703A96" w:rsidRPr="00D76399">
        <w:rPr>
          <w:rFonts w:ascii="Times New Roman" w:hAnsi="Times New Roman" w:cs="Times New Roman"/>
          <w:sz w:val="24"/>
          <w:szCs w:val="24"/>
        </w:rPr>
        <w:t xml:space="preserve">to cut state spending radically, although as Figure 1.2 shows, spending in the UK (the dotted line) was already </w:t>
      </w:r>
      <w:r w:rsidR="00947636">
        <w:rPr>
          <w:rFonts w:ascii="Times New Roman" w:hAnsi="Times New Roman" w:cs="Times New Roman"/>
          <w:sz w:val="24"/>
          <w:szCs w:val="24"/>
        </w:rPr>
        <w:t>at the average of the G7</w:t>
      </w:r>
      <w:r w:rsidR="005E0406">
        <w:rPr>
          <w:rFonts w:ascii="Times New Roman" w:hAnsi="Times New Roman" w:cs="Times New Roman"/>
          <w:sz w:val="24"/>
          <w:szCs w:val="24"/>
        </w:rPr>
        <w:fldChar w:fldCharType="begin"/>
      </w:r>
      <w:r w:rsidR="003E1115">
        <w:instrText xml:space="preserve"> XE "</w:instrText>
      </w:r>
      <w:r w:rsidR="003E1115" w:rsidRPr="00126F1C">
        <w:rPr>
          <w:rFonts w:ascii="Times New Roman" w:hAnsi="Times New Roman" w:cs="Times New Roman"/>
          <w:sz w:val="24"/>
          <w:szCs w:val="24"/>
        </w:rPr>
        <w:instrText>G7</w:instrText>
      </w:r>
      <w:r w:rsidR="003E1115">
        <w:instrText xml:space="preserve">" </w:instrText>
      </w:r>
      <w:r w:rsidR="005E0406">
        <w:rPr>
          <w:rFonts w:ascii="Times New Roman" w:hAnsi="Times New Roman" w:cs="Times New Roman"/>
          <w:sz w:val="24"/>
          <w:szCs w:val="24"/>
        </w:rPr>
        <w:fldChar w:fldCharType="end"/>
      </w:r>
      <w:r w:rsidR="00947636">
        <w:rPr>
          <w:rFonts w:ascii="Times New Roman" w:hAnsi="Times New Roman" w:cs="Times New Roman"/>
          <w:sz w:val="24"/>
          <w:szCs w:val="24"/>
        </w:rPr>
        <w:t xml:space="preserve"> and </w:t>
      </w:r>
      <w:r w:rsidR="00703A96" w:rsidRPr="00D76399">
        <w:rPr>
          <w:rFonts w:ascii="Times New Roman" w:hAnsi="Times New Roman" w:cs="Times New Roman"/>
          <w:sz w:val="24"/>
          <w:szCs w:val="24"/>
        </w:rPr>
        <w:t xml:space="preserve">much lower than in the other major European </w:t>
      </w:r>
      <w:r>
        <w:rPr>
          <w:rFonts w:ascii="Times New Roman" w:hAnsi="Times New Roman" w:cs="Times New Roman"/>
          <w:sz w:val="24"/>
          <w:szCs w:val="24"/>
        </w:rPr>
        <w:t>countries</w:t>
      </w:r>
      <w:r w:rsidR="004732B5">
        <w:rPr>
          <w:rFonts w:ascii="Times New Roman" w:hAnsi="Times New Roman" w:cs="Times New Roman"/>
          <w:sz w:val="24"/>
          <w:szCs w:val="24"/>
        </w:rPr>
        <w:t xml:space="preserve"> </w:t>
      </w:r>
      <w:r w:rsidR="00E54B4B">
        <w:rPr>
          <w:rFonts w:ascii="Times New Roman" w:hAnsi="Times New Roman" w:cs="Times New Roman"/>
          <w:sz w:val="24"/>
          <w:szCs w:val="24"/>
        </w:rPr>
        <w:t xml:space="preserve">or </w:t>
      </w:r>
      <w:r w:rsidR="004732B5">
        <w:rPr>
          <w:rFonts w:ascii="Times New Roman" w:hAnsi="Times New Roman" w:cs="Times New Roman"/>
          <w:sz w:val="24"/>
          <w:szCs w:val="24"/>
        </w:rPr>
        <w:t>the EU average</w:t>
      </w:r>
      <w:r w:rsidR="009A704D">
        <w:rPr>
          <w:rFonts w:ascii="Times New Roman" w:hAnsi="Times New Roman" w:cs="Times New Roman"/>
          <w:sz w:val="24"/>
          <w:szCs w:val="24"/>
        </w:rPr>
        <w:t xml:space="preserve"> </w:t>
      </w:r>
      <w:r w:rsidR="00703A96" w:rsidRPr="00D76399">
        <w:rPr>
          <w:rFonts w:ascii="Times New Roman" w:hAnsi="Times New Roman" w:cs="Times New Roman"/>
          <w:sz w:val="24"/>
          <w:szCs w:val="24"/>
        </w:rPr>
        <w:t>in the better times of the early 2000s. The graph shows how spending has already fallen sharply</w:t>
      </w:r>
      <w:r w:rsidR="00581E72">
        <w:rPr>
          <w:rFonts w:ascii="Times New Roman" w:hAnsi="Times New Roman" w:cs="Times New Roman"/>
          <w:sz w:val="24"/>
          <w:szCs w:val="24"/>
        </w:rPr>
        <w:t xml:space="preserve">. </w:t>
      </w:r>
      <w:r w:rsidR="009A704D">
        <w:rPr>
          <w:rFonts w:ascii="Times New Roman" w:hAnsi="Times New Roman" w:cs="Times New Roman"/>
          <w:sz w:val="24"/>
          <w:szCs w:val="24"/>
        </w:rPr>
        <w:t>On current plans i</w:t>
      </w:r>
      <w:r w:rsidR="00581E72">
        <w:rPr>
          <w:rFonts w:ascii="Times New Roman" w:hAnsi="Times New Roman" w:cs="Times New Roman"/>
          <w:sz w:val="24"/>
          <w:szCs w:val="24"/>
        </w:rPr>
        <w:t>t will continue to decline even when</w:t>
      </w:r>
      <w:r w:rsidR="00703A96" w:rsidRPr="00D76399">
        <w:rPr>
          <w:rFonts w:ascii="Times New Roman" w:hAnsi="Times New Roman" w:cs="Times New Roman"/>
          <w:sz w:val="24"/>
          <w:szCs w:val="24"/>
        </w:rPr>
        <w:t xml:space="preserve"> the economy recovers. </w:t>
      </w:r>
      <w:r w:rsidR="009A704D">
        <w:rPr>
          <w:rFonts w:ascii="Times New Roman" w:hAnsi="Times New Roman" w:cs="Times New Roman"/>
          <w:sz w:val="24"/>
          <w:szCs w:val="24"/>
        </w:rPr>
        <w:t xml:space="preserve">This pattern </w:t>
      </w:r>
      <w:r w:rsidR="00046E5A">
        <w:rPr>
          <w:rFonts w:ascii="Times New Roman" w:hAnsi="Times New Roman" w:cs="Times New Roman"/>
          <w:sz w:val="24"/>
          <w:szCs w:val="24"/>
        </w:rPr>
        <w:t>differs</w:t>
      </w:r>
      <w:r w:rsidR="009A704D">
        <w:rPr>
          <w:rFonts w:ascii="Times New Roman" w:hAnsi="Times New Roman" w:cs="Times New Roman"/>
          <w:sz w:val="24"/>
          <w:szCs w:val="24"/>
        </w:rPr>
        <w:t xml:space="preserve"> from those elsewhere. Most countries tend to stabilise state spending close to or slightly above pre-recession levels when resources return. In the UK spending will sink</w:t>
      </w:r>
      <w:r w:rsidR="00581E72">
        <w:rPr>
          <w:rFonts w:ascii="Times New Roman" w:hAnsi="Times New Roman" w:cs="Times New Roman"/>
          <w:sz w:val="24"/>
          <w:szCs w:val="24"/>
        </w:rPr>
        <w:t xml:space="preserve"> further </w:t>
      </w:r>
      <w:r w:rsidR="009A704D">
        <w:rPr>
          <w:rFonts w:ascii="Times New Roman" w:hAnsi="Times New Roman" w:cs="Times New Roman"/>
          <w:sz w:val="24"/>
          <w:szCs w:val="24"/>
        </w:rPr>
        <w:t>below</w:t>
      </w:r>
      <w:r w:rsidR="00703A96" w:rsidRPr="00D76399">
        <w:rPr>
          <w:rFonts w:ascii="Times New Roman" w:hAnsi="Times New Roman" w:cs="Times New Roman"/>
          <w:sz w:val="24"/>
          <w:szCs w:val="24"/>
        </w:rPr>
        <w:t xml:space="preserve"> European spending levels to fall be</w:t>
      </w:r>
      <w:r w:rsidR="00581E72">
        <w:rPr>
          <w:rFonts w:ascii="Times New Roman" w:hAnsi="Times New Roman" w:cs="Times New Roman"/>
          <w:sz w:val="24"/>
          <w:szCs w:val="24"/>
        </w:rPr>
        <w:t>neath</w:t>
      </w:r>
      <w:r w:rsidR="00703A96" w:rsidRPr="00D76399">
        <w:rPr>
          <w:rFonts w:ascii="Times New Roman" w:hAnsi="Times New Roman" w:cs="Times New Roman"/>
          <w:sz w:val="24"/>
          <w:szCs w:val="24"/>
        </w:rPr>
        <w:t xml:space="preserve"> those in </w:t>
      </w:r>
      <w:r w:rsidR="009A704D">
        <w:rPr>
          <w:rFonts w:ascii="Times New Roman" w:hAnsi="Times New Roman" w:cs="Times New Roman"/>
          <w:sz w:val="24"/>
          <w:szCs w:val="24"/>
        </w:rPr>
        <w:t xml:space="preserve">the G7 by 2014-15 and in the </w:t>
      </w:r>
      <w:r w:rsidR="00703A96" w:rsidRPr="00D76399">
        <w:rPr>
          <w:rFonts w:ascii="Times New Roman" w:hAnsi="Times New Roman" w:cs="Times New Roman"/>
          <w:sz w:val="24"/>
          <w:szCs w:val="24"/>
        </w:rPr>
        <w:t>US by about 2016/17. Th</w:t>
      </w:r>
      <w:r w:rsidR="009A704D">
        <w:rPr>
          <w:rFonts w:ascii="Times New Roman" w:hAnsi="Times New Roman" w:cs="Times New Roman"/>
          <w:sz w:val="24"/>
          <w:szCs w:val="24"/>
        </w:rPr>
        <w:t>is marks a decisive shift in the level of government involvement in society and in the economy. Th</w:t>
      </w:r>
      <w:r w:rsidR="00703A96" w:rsidRPr="00D76399">
        <w:rPr>
          <w:rFonts w:ascii="Times New Roman" w:hAnsi="Times New Roman" w:cs="Times New Roman"/>
          <w:sz w:val="24"/>
          <w:szCs w:val="24"/>
        </w:rPr>
        <w:t xml:space="preserve">e UK has not spent a smaller </w:t>
      </w:r>
      <w:r w:rsidR="00703A96" w:rsidRPr="00D76399">
        <w:rPr>
          <w:rFonts w:ascii="Times New Roman" w:hAnsi="Times New Roman" w:cs="Times New Roman"/>
          <w:sz w:val="24"/>
          <w:szCs w:val="24"/>
        </w:rPr>
        <w:lastRenderedPageBreak/>
        <w:t xml:space="preserve">proportion of national resources on public services than the traditionally market-centred US </w:t>
      </w:r>
      <w:r w:rsidR="00F93600">
        <w:rPr>
          <w:rFonts w:ascii="Times New Roman" w:hAnsi="Times New Roman" w:cs="Times New Roman"/>
          <w:sz w:val="24"/>
          <w:szCs w:val="24"/>
        </w:rPr>
        <w:t>during the period of more than a century for which good records are conveniently available</w:t>
      </w:r>
      <w:r w:rsidR="00703A96" w:rsidRPr="00D76399">
        <w:rPr>
          <w:rFonts w:ascii="Times New Roman" w:hAnsi="Times New Roman" w:cs="Times New Roman"/>
          <w:sz w:val="24"/>
          <w:szCs w:val="24"/>
        </w:rPr>
        <w:t>.</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The cutbacks are combined with an equally profound programme of structural change. We consider the two aspects of reform, cuts and restructuring, separately.</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b/>
          <w:sz w:val="24"/>
          <w:szCs w:val="24"/>
        </w:rPr>
      </w:pPr>
      <w:r w:rsidRPr="00D76399">
        <w:rPr>
          <w:rFonts w:ascii="Times New Roman" w:hAnsi="Times New Roman" w:cs="Times New Roman"/>
          <w:b/>
          <w:i/>
          <w:sz w:val="24"/>
          <w:szCs w:val="24"/>
        </w:rPr>
        <w:t xml:space="preserve">Fig 1.2 about here </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b/>
          <w:sz w:val="24"/>
          <w:szCs w:val="24"/>
        </w:rPr>
      </w:pPr>
      <w:r w:rsidRPr="00D76399">
        <w:rPr>
          <w:rFonts w:ascii="Times New Roman" w:hAnsi="Times New Roman" w:cs="Times New Roman"/>
          <w:b/>
          <w:sz w:val="24"/>
          <w:szCs w:val="24"/>
        </w:rPr>
        <w:t>The cuts</w:t>
      </w:r>
      <w:r w:rsidR="0054482E">
        <w:rPr>
          <w:rFonts w:ascii="Times New Roman" w:hAnsi="Times New Roman" w:cs="Times New Roman"/>
          <w:b/>
          <w:sz w:val="24"/>
          <w:szCs w:val="24"/>
        </w:rPr>
        <w:fldChar w:fldCharType="begin"/>
      </w:r>
      <w:r w:rsidR="0054482E">
        <w:instrText xml:space="preserve"> XE "</w:instrText>
      </w:r>
      <w:r w:rsidR="0054482E" w:rsidRPr="006A0446">
        <w:instrText>cuts</w:instrText>
      </w:r>
      <w:r w:rsidR="0054482E">
        <w:instrText xml:space="preserve">" </w:instrText>
      </w:r>
      <w:r w:rsidR="0054482E">
        <w:rPr>
          <w:rFonts w:ascii="Times New Roman" w:hAnsi="Times New Roman" w:cs="Times New Roman"/>
          <w:b/>
          <w:sz w:val="24"/>
          <w:szCs w:val="24"/>
        </w:rPr>
        <w:fldChar w:fldCharType="end"/>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i/>
          <w:sz w:val="24"/>
          <w:szCs w:val="24"/>
        </w:rPr>
      </w:pPr>
      <w:r w:rsidRPr="00D76399">
        <w:rPr>
          <w:rFonts w:ascii="Times New Roman" w:hAnsi="Times New Roman" w:cs="Times New Roman"/>
          <w:sz w:val="24"/>
          <w:szCs w:val="24"/>
        </w:rPr>
        <w:t>The 2010 government set itself the objective of eliminating the budget deficit by 2014-5</w:t>
      </w:r>
      <w:r w:rsidR="00132434">
        <w:rPr>
          <w:rFonts w:ascii="Times New Roman" w:hAnsi="Times New Roman" w:cs="Times New Roman"/>
          <w:sz w:val="24"/>
          <w:szCs w:val="24"/>
        </w:rPr>
        <w:t>, revised to 2017-18 in 2012 as economic growth failed to return</w:t>
      </w:r>
      <w:r w:rsidR="00243F50">
        <w:rPr>
          <w:rFonts w:ascii="Times New Roman" w:hAnsi="Times New Roman" w:cs="Times New Roman"/>
          <w:sz w:val="24"/>
          <w:szCs w:val="24"/>
        </w:rPr>
        <w:t xml:space="preserve"> (HM Treasury</w:t>
      </w:r>
      <w:r w:rsidR="007F76FC">
        <w:rPr>
          <w:rFonts w:ascii="Times New Roman" w:hAnsi="Times New Roman" w:cs="Times New Roman"/>
          <w:sz w:val="24"/>
          <w:szCs w:val="24"/>
        </w:rPr>
        <w:fldChar w:fldCharType="begin"/>
      </w:r>
      <w:r w:rsidR="007F76FC">
        <w:instrText xml:space="preserve"> XE "</w:instrText>
      </w:r>
      <w:r w:rsidR="007F76FC" w:rsidRPr="005A432A">
        <w:rPr>
          <w:rFonts w:ascii="Times New Roman" w:hAnsi="Times New Roman" w:cs="Times New Roman"/>
          <w:sz w:val="24"/>
          <w:szCs w:val="24"/>
        </w:rPr>
        <w:instrText>Treasury</w:instrText>
      </w:r>
      <w:r w:rsidR="007F76FC">
        <w:instrText xml:space="preserve">" </w:instrText>
      </w:r>
      <w:r w:rsidR="007F76FC">
        <w:rPr>
          <w:rFonts w:ascii="Times New Roman" w:hAnsi="Times New Roman" w:cs="Times New Roman"/>
          <w:sz w:val="24"/>
          <w:szCs w:val="24"/>
        </w:rPr>
        <w:fldChar w:fldCharType="end"/>
      </w:r>
      <w:r w:rsidR="00243F50">
        <w:rPr>
          <w:rFonts w:ascii="Times New Roman" w:hAnsi="Times New Roman" w:cs="Times New Roman"/>
          <w:sz w:val="24"/>
          <w:szCs w:val="24"/>
        </w:rPr>
        <w:t xml:space="preserve"> 2010, 2012b)</w:t>
      </w:r>
      <w:r w:rsidRPr="00D76399">
        <w:rPr>
          <w:rFonts w:ascii="Times New Roman" w:hAnsi="Times New Roman" w:cs="Times New Roman"/>
          <w:sz w:val="24"/>
          <w:szCs w:val="24"/>
        </w:rPr>
        <w:t>. The programme set out in the 2010 Spending Review envisaged massive and rapid cuts in public spending</w:t>
      </w:r>
      <w:r w:rsidR="005B2DCA">
        <w:rPr>
          <w:rFonts w:ascii="Times New Roman" w:hAnsi="Times New Roman" w:cs="Times New Roman"/>
          <w:sz w:val="24"/>
          <w:szCs w:val="24"/>
        </w:rPr>
        <w:fldChar w:fldCharType="begin"/>
      </w:r>
      <w:r w:rsidR="005B2DCA">
        <w:instrText xml:space="preserve"> XE "</w:instrText>
      </w:r>
      <w:r w:rsidR="005B2DCA" w:rsidRPr="00FD7768">
        <w:rPr>
          <w:rFonts w:ascii="Times New Roman" w:hAnsi="Times New Roman" w:cs="Times New Roman"/>
          <w:sz w:val="24"/>
          <w:szCs w:val="24"/>
        </w:rPr>
        <w:instrText>public spending</w:instrText>
      </w:r>
      <w:r w:rsidR="005B2DCA">
        <w:instrText xml:space="preserve">" </w:instrText>
      </w:r>
      <w:r w:rsidR="005B2DCA">
        <w:rPr>
          <w:rFonts w:ascii="Times New Roman" w:hAnsi="Times New Roman" w:cs="Times New Roman"/>
          <w:sz w:val="24"/>
          <w:szCs w:val="24"/>
        </w:rPr>
        <w:fldChar w:fldCharType="end"/>
      </w:r>
      <w:r w:rsidRPr="00D76399">
        <w:rPr>
          <w:rFonts w:ascii="Times New Roman" w:hAnsi="Times New Roman" w:cs="Times New Roman"/>
          <w:sz w:val="24"/>
          <w:szCs w:val="24"/>
        </w:rPr>
        <w:t>, about £100 billion in all, including about one-fifth of the £166 billion budgeted for housing and community, environmental protection, law and order, defence, economic affairs and other public services in 2010, and about 18 per cent of the £105 billion budgeted for welfare for the poor</w:t>
      </w:r>
      <w:r w:rsidR="00581E72" w:rsidRPr="00D76399">
        <w:rPr>
          <w:rFonts w:ascii="Times New Roman" w:hAnsi="Times New Roman" w:cs="Times New Roman"/>
          <w:sz w:val="24"/>
          <w:szCs w:val="24"/>
        </w:rPr>
        <w:t>,</w:t>
      </w:r>
      <w:r w:rsidR="00581E72" w:rsidRPr="00D76399" w:rsidDel="00352F2C">
        <w:rPr>
          <w:rFonts w:ascii="Times New Roman" w:hAnsi="Times New Roman" w:cs="Times New Roman"/>
          <w:sz w:val="24"/>
          <w:szCs w:val="24"/>
        </w:rPr>
        <w:t xml:space="preserve"> </w:t>
      </w:r>
      <w:r w:rsidR="00581E72" w:rsidRPr="00D76399">
        <w:rPr>
          <w:rFonts w:ascii="Times New Roman" w:hAnsi="Times New Roman" w:cs="Times New Roman"/>
          <w:sz w:val="24"/>
          <w:szCs w:val="24"/>
        </w:rPr>
        <w:t>housing</w:t>
      </w:r>
      <w:r w:rsidRPr="00D76399">
        <w:rPr>
          <w:rFonts w:ascii="Times New Roman" w:hAnsi="Times New Roman" w:cs="Times New Roman"/>
          <w:sz w:val="24"/>
          <w:szCs w:val="24"/>
        </w:rPr>
        <w:t xml:space="preserve"> benefit</w:t>
      </w:r>
      <w:r w:rsidR="005B2DCA">
        <w:rPr>
          <w:rFonts w:ascii="Times New Roman" w:hAnsi="Times New Roman" w:cs="Times New Roman"/>
          <w:sz w:val="24"/>
          <w:szCs w:val="24"/>
        </w:rPr>
        <w:fldChar w:fldCharType="begin"/>
      </w:r>
      <w:r w:rsidR="005B2DCA">
        <w:instrText xml:space="preserve"> XE "</w:instrText>
      </w:r>
      <w:r w:rsidR="006848DE">
        <w:rPr>
          <w:rFonts w:ascii="Times New Roman" w:hAnsi="Times New Roman" w:cs="Times New Roman"/>
          <w:sz w:val="24"/>
          <w:szCs w:val="24"/>
        </w:rPr>
        <w:instrText>H</w:instrText>
      </w:r>
      <w:r w:rsidR="005B2DCA" w:rsidRPr="00FA53B3">
        <w:rPr>
          <w:rFonts w:ascii="Times New Roman" w:hAnsi="Times New Roman" w:cs="Times New Roman"/>
          <w:sz w:val="24"/>
          <w:szCs w:val="24"/>
        </w:rPr>
        <w:instrText xml:space="preserve">ousing </w:instrText>
      </w:r>
      <w:r w:rsidR="006848DE">
        <w:rPr>
          <w:rFonts w:ascii="Times New Roman" w:hAnsi="Times New Roman" w:cs="Times New Roman"/>
          <w:sz w:val="24"/>
          <w:szCs w:val="24"/>
        </w:rPr>
        <w:instrText>B</w:instrText>
      </w:r>
      <w:r w:rsidR="005B2DCA" w:rsidRPr="00FA53B3">
        <w:rPr>
          <w:rFonts w:ascii="Times New Roman" w:hAnsi="Times New Roman" w:cs="Times New Roman"/>
          <w:sz w:val="24"/>
          <w:szCs w:val="24"/>
        </w:rPr>
        <w:instrText>enefit</w:instrText>
      </w:r>
      <w:r w:rsidR="005B2DCA">
        <w:instrText xml:space="preserve">" </w:instrText>
      </w:r>
      <w:r w:rsidR="005B2DCA">
        <w:rPr>
          <w:rFonts w:ascii="Times New Roman" w:hAnsi="Times New Roman" w:cs="Times New Roman"/>
          <w:sz w:val="24"/>
          <w:szCs w:val="24"/>
        </w:rPr>
        <w:fldChar w:fldCharType="end"/>
      </w:r>
      <w:r w:rsidRPr="00D76399">
        <w:rPr>
          <w:rFonts w:ascii="Times New Roman" w:hAnsi="Times New Roman" w:cs="Times New Roman"/>
          <w:sz w:val="24"/>
          <w:szCs w:val="24"/>
        </w:rPr>
        <w:t>, unemployment and family benefits and for disabled people (HM Treasury 2010).</w:t>
      </w:r>
      <w:r w:rsidR="00E83547">
        <w:rPr>
          <w:rFonts w:ascii="Times New Roman" w:hAnsi="Times New Roman" w:cs="Times New Roman"/>
          <w:i/>
          <w:sz w:val="24"/>
          <w:szCs w:val="24"/>
        </w:rPr>
        <w:t xml:space="preserve"> </w:t>
      </w:r>
      <w:r w:rsidR="00243F50">
        <w:rPr>
          <w:rFonts w:ascii="Times New Roman" w:hAnsi="Times New Roman" w:cs="Times New Roman"/>
          <w:sz w:val="24"/>
          <w:szCs w:val="24"/>
        </w:rPr>
        <w:t xml:space="preserve">The </w:t>
      </w:r>
      <w:r w:rsidR="00E54B4B">
        <w:rPr>
          <w:rFonts w:ascii="Times New Roman" w:hAnsi="Times New Roman" w:cs="Times New Roman"/>
          <w:sz w:val="24"/>
          <w:szCs w:val="24"/>
        </w:rPr>
        <w:t xml:space="preserve">target for </w:t>
      </w:r>
      <w:r w:rsidR="00243F50">
        <w:rPr>
          <w:rFonts w:ascii="Times New Roman" w:hAnsi="Times New Roman" w:cs="Times New Roman"/>
          <w:sz w:val="24"/>
          <w:szCs w:val="24"/>
        </w:rPr>
        <w:t>benefit cuts</w:t>
      </w:r>
      <w:r w:rsidR="005E0406">
        <w:rPr>
          <w:rFonts w:ascii="Times New Roman" w:hAnsi="Times New Roman" w:cs="Times New Roman"/>
          <w:sz w:val="24"/>
          <w:szCs w:val="24"/>
        </w:rPr>
        <w:fldChar w:fldCharType="begin"/>
      </w:r>
      <w:r w:rsidR="004B163F">
        <w:instrText xml:space="preserve"> XE "</w:instrText>
      </w:r>
      <w:r w:rsidR="004B163F" w:rsidRPr="000B0828">
        <w:instrText>cuts:benefit cuts</w:instrText>
      </w:r>
      <w:r w:rsidR="004B163F">
        <w:instrText xml:space="preserve">" </w:instrText>
      </w:r>
      <w:r w:rsidR="005E0406">
        <w:rPr>
          <w:rFonts w:ascii="Times New Roman" w:hAnsi="Times New Roman" w:cs="Times New Roman"/>
          <w:sz w:val="24"/>
          <w:szCs w:val="24"/>
        </w:rPr>
        <w:fldChar w:fldCharType="end"/>
      </w:r>
      <w:r w:rsidR="00243F50">
        <w:rPr>
          <w:rFonts w:ascii="Times New Roman" w:hAnsi="Times New Roman" w:cs="Times New Roman"/>
          <w:sz w:val="24"/>
          <w:szCs w:val="24"/>
        </w:rPr>
        <w:t xml:space="preserve"> was raised to 22 per cent in 2012.</w:t>
      </w:r>
      <w:r w:rsidR="00243F50">
        <w:rPr>
          <w:rFonts w:ascii="Times New Roman" w:hAnsi="Times New Roman" w:cs="Times New Roman"/>
          <w:i/>
          <w:sz w:val="24"/>
          <w:szCs w:val="24"/>
        </w:rPr>
        <w:t xml:space="preserve"> </w:t>
      </w:r>
      <w:r w:rsidRPr="00D76399">
        <w:rPr>
          <w:rFonts w:ascii="Times New Roman" w:hAnsi="Times New Roman" w:cs="Times New Roman"/>
          <w:sz w:val="24"/>
          <w:szCs w:val="24"/>
        </w:rPr>
        <w:t xml:space="preserve">By contrast, the government chose to protect the mass welfare state services </w:t>
      </w:r>
      <w:r w:rsidR="00A567B3">
        <w:rPr>
          <w:rFonts w:ascii="Times New Roman" w:hAnsi="Times New Roman" w:cs="Times New Roman"/>
          <w:sz w:val="24"/>
          <w:szCs w:val="24"/>
        </w:rPr>
        <w:t>(health</w:t>
      </w:r>
      <w:r w:rsidR="005E0406">
        <w:rPr>
          <w:rFonts w:ascii="Times New Roman" w:hAnsi="Times New Roman" w:cs="Times New Roman"/>
          <w:sz w:val="24"/>
          <w:szCs w:val="24"/>
        </w:rPr>
        <w:fldChar w:fldCharType="begin"/>
      </w:r>
      <w:r w:rsidR="003E1115">
        <w:instrText xml:space="preserve"> XE "</w:instrText>
      </w:r>
      <w:r w:rsidR="003E1115" w:rsidRPr="00DA7633">
        <w:rPr>
          <w:rFonts w:ascii="Times New Roman" w:hAnsi="Times New Roman" w:cs="Times New Roman"/>
          <w:sz w:val="24"/>
          <w:szCs w:val="24"/>
        </w:rPr>
        <w:instrText>health</w:instrText>
      </w:r>
      <w:r w:rsidR="003E1115">
        <w:instrText xml:space="preserve">" </w:instrText>
      </w:r>
      <w:r w:rsidR="005E0406">
        <w:rPr>
          <w:rFonts w:ascii="Times New Roman" w:hAnsi="Times New Roman" w:cs="Times New Roman"/>
          <w:sz w:val="24"/>
          <w:szCs w:val="24"/>
        </w:rPr>
        <w:fldChar w:fldCharType="end"/>
      </w:r>
      <w:r w:rsidR="00A567B3">
        <w:rPr>
          <w:rFonts w:ascii="Times New Roman" w:hAnsi="Times New Roman" w:cs="Times New Roman"/>
          <w:sz w:val="24"/>
          <w:szCs w:val="24"/>
        </w:rPr>
        <w:t>, education</w:t>
      </w:r>
      <w:r w:rsidR="005E0406">
        <w:rPr>
          <w:rFonts w:ascii="Times New Roman" w:hAnsi="Times New Roman" w:cs="Times New Roman"/>
          <w:sz w:val="24"/>
          <w:szCs w:val="24"/>
        </w:rPr>
        <w:fldChar w:fldCharType="begin"/>
      </w:r>
      <w:r w:rsidR="003E1115">
        <w:instrText xml:space="preserve"> XE "</w:instrText>
      </w:r>
      <w:r w:rsidR="003E1115" w:rsidRPr="001E38D5">
        <w:rPr>
          <w:rFonts w:ascii="Times New Roman" w:hAnsi="Times New Roman" w:cs="Times New Roman"/>
          <w:sz w:val="24"/>
          <w:szCs w:val="24"/>
        </w:rPr>
        <w:instrText>education</w:instrText>
      </w:r>
      <w:r w:rsidR="003E1115">
        <w:instrText xml:space="preserve">" </w:instrText>
      </w:r>
      <w:r w:rsidR="005E0406">
        <w:rPr>
          <w:rFonts w:ascii="Times New Roman" w:hAnsi="Times New Roman" w:cs="Times New Roman"/>
          <w:sz w:val="24"/>
          <w:szCs w:val="24"/>
        </w:rPr>
        <w:fldChar w:fldCharType="end"/>
      </w:r>
      <w:r w:rsidR="00A567B3">
        <w:rPr>
          <w:rFonts w:ascii="Times New Roman" w:hAnsi="Times New Roman" w:cs="Times New Roman"/>
          <w:sz w:val="24"/>
          <w:szCs w:val="24"/>
        </w:rPr>
        <w:t xml:space="preserve"> and pensions</w:t>
      </w:r>
      <w:r w:rsidR="005E0406">
        <w:rPr>
          <w:rFonts w:ascii="Times New Roman" w:hAnsi="Times New Roman" w:cs="Times New Roman"/>
          <w:sz w:val="24"/>
          <w:szCs w:val="24"/>
        </w:rPr>
        <w:fldChar w:fldCharType="begin"/>
      </w:r>
      <w:r w:rsidR="003E1115">
        <w:instrText xml:space="preserve"> XE "</w:instrText>
      </w:r>
      <w:r w:rsidR="002A7776">
        <w:rPr>
          <w:rFonts w:ascii="Times New Roman" w:hAnsi="Times New Roman" w:cs="Times New Roman"/>
          <w:sz w:val="24"/>
          <w:szCs w:val="24"/>
        </w:rPr>
        <w:instrText>pension</w:instrText>
      </w:r>
      <w:r w:rsidR="003E1115">
        <w:instrText xml:space="preserve">" </w:instrText>
      </w:r>
      <w:r w:rsidR="005E0406">
        <w:rPr>
          <w:rFonts w:ascii="Times New Roman" w:hAnsi="Times New Roman" w:cs="Times New Roman"/>
          <w:sz w:val="24"/>
          <w:szCs w:val="24"/>
        </w:rPr>
        <w:fldChar w:fldCharType="end"/>
      </w:r>
      <w:r w:rsidR="00A567B3">
        <w:rPr>
          <w:rFonts w:ascii="Times New Roman" w:hAnsi="Times New Roman" w:cs="Times New Roman"/>
          <w:sz w:val="24"/>
          <w:szCs w:val="24"/>
        </w:rPr>
        <w:t xml:space="preserve">) </w:t>
      </w:r>
      <w:r w:rsidRPr="00D76399">
        <w:rPr>
          <w:rFonts w:ascii="Times New Roman" w:hAnsi="Times New Roman" w:cs="Times New Roman"/>
          <w:sz w:val="24"/>
          <w:szCs w:val="24"/>
        </w:rPr>
        <w:t>which account for about 60 per cent of state spending. These experienced relatively minor cutbacks in current spending, although capital spending plunged headlong, by</w:t>
      </w:r>
      <w:r w:rsidR="00654D98">
        <w:rPr>
          <w:rFonts w:ascii="Times New Roman" w:hAnsi="Times New Roman" w:cs="Times New Roman"/>
          <w:sz w:val="24"/>
          <w:szCs w:val="24"/>
        </w:rPr>
        <w:t xml:space="preserve"> three</w:t>
      </w:r>
      <w:r w:rsidRPr="00D76399">
        <w:rPr>
          <w:rFonts w:ascii="Times New Roman" w:hAnsi="Times New Roman" w:cs="Times New Roman"/>
          <w:sz w:val="24"/>
          <w:szCs w:val="24"/>
        </w:rPr>
        <w:t>-</w:t>
      </w:r>
      <w:r w:rsidR="00654D98">
        <w:rPr>
          <w:rFonts w:ascii="Times New Roman" w:hAnsi="Times New Roman" w:cs="Times New Roman"/>
          <w:sz w:val="24"/>
          <w:szCs w:val="24"/>
        </w:rPr>
        <w:t>fifths</w:t>
      </w:r>
      <w:r w:rsidRPr="00D76399">
        <w:rPr>
          <w:rFonts w:ascii="Times New Roman" w:hAnsi="Times New Roman" w:cs="Times New Roman"/>
          <w:sz w:val="24"/>
          <w:szCs w:val="24"/>
        </w:rPr>
        <w:t xml:space="preserve"> for education and one-fifth for health services (IFS</w:t>
      </w:r>
      <w:r w:rsidR="00D553FF">
        <w:rPr>
          <w:rFonts w:ascii="Times New Roman" w:hAnsi="Times New Roman" w:cs="Times New Roman"/>
          <w:sz w:val="24"/>
          <w:szCs w:val="24"/>
        </w:rPr>
        <w:fldChar w:fldCharType="begin"/>
      </w:r>
      <w:r w:rsidR="00D553FF">
        <w:instrText xml:space="preserve"> XE "</w:instrText>
      </w:r>
      <w:r w:rsidR="00D553FF" w:rsidRPr="00F56AA6">
        <w:rPr>
          <w:rFonts w:ascii="Times New Roman" w:hAnsi="Times New Roman" w:cs="Times New Roman"/>
          <w:sz w:val="24"/>
          <w:szCs w:val="24"/>
        </w:rPr>
        <w:instrText>IFS</w:instrText>
      </w:r>
      <w:r w:rsidR="00D553FF">
        <w:instrText xml:space="preserve">" </w:instrText>
      </w:r>
      <w:r w:rsidR="00D553FF">
        <w:rPr>
          <w:rFonts w:ascii="Times New Roman" w:hAnsi="Times New Roman" w:cs="Times New Roman"/>
          <w:sz w:val="24"/>
          <w:szCs w:val="24"/>
        </w:rPr>
        <w:fldChar w:fldCharType="end"/>
      </w:r>
      <w:r w:rsidRPr="00D76399">
        <w:rPr>
          <w:rFonts w:ascii="Times New Roman" w:hAnsi="Times New Roman" w:cs="Times New Roman"/>
          <w:sz w:val="24"/>
          <w:szCs w:val="24"/>
        </w:rPr>
        <w:t xml:space="preserve"> 2011, 138</w:t>
      </w:r>
      <w:r w:rsidR="00C1454E">
        <w:rPr>
          <w:rFonts w:ascii="Times New Roman" w:hAnsi="Times New Roman" w:cs="Times New Roman"/>
          <w:sz w:val="24"/>
          <w:szCs w:val="24"/>
        </w:rPr>
        <w:t>; Chowdry and Sibieta 2011, 4</w:t>
      </w:r>
      <w:r w:rsidRPr="00D76399">
        <w:rPr>
          <w:rFonts w:ascii="Times New Roman" w:hAnsi="Times New Roman" w:cs="Times New Roman"/>
          <w:sz w:val="24"/>
          <w:szCs w:val="24"/>
        </w:rPr>
        <w:t>). The decision to ring-fence current spending on the more popular services resulted in much greater damage to benefits for low income people and to less popular areas of state provision.</w:t>
      </w:r>
    </w:p>
    <w:p w:rsidR="00703A96" w:rsidRPr="00D76399" w:rsidRDefault="00703A96" w:rsidP="00F34DAD">
      <w:pPr>
        <w:jc w:val="left"/>
        <w:rPr>
          <w:rFonts w:ascii="Times New Roman" w:hAnsi="Times New Roman" w:cs="Times New Roman"/>
          <w:i/>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 xml:space="preserve">The cuts accounted for some three-fifths of the resources required to balance the budget and tax rises </w:t>
      </w:r>
      <w:r w:rsidR="00CD4C3B">
        <w:rPr>
          <w:rFonts w:ascii="Times New Roman" w:hAnsi="Times New Roman" w:cs="Times New Roman"/>
          <w:sz w:val="24"/>
          <w:szCs w:val="24"/>
        </w:rPr>
        <w:t xml:space="preserve">(mainly a legacy from the 2005-10 government) </w:t>
      </w:r>
      <w:r w:rsidRPr="00D76399">
        <w:rPr>
          <w:rFonts w:ascii="Times New Roman" w:hAnsi="Times New Roman" w:cs="Times New Roman"/>
          <w:sz w:val="24"/>
          <w:szCs w:val="24"/>
        </w:rPr>
        <w:t>some two-fifths. They included a rise to 50 per cent in the top rate paid by the two to three per cent of taxpayers with incomes over £150,000 (later cut to 45 per cent), a rise in National Insurance</w:t>
      </w:r>
      <w:r w:rsidR="00BE30B5">
        <w:rPr>
          <w:rFonts w:ascii="Times New Roman" w:hAnsi="Times New Roman" w:cs="Times New Roman"/>
          <w:sz w:val="24"/>
          <w:szCs w:val="24"/>
        </w:rPr>
        <w:fldChar w:fldCharType="begin"/>
      </w:r>
      <w:r w:rsidR="00BE30B5">
        <w:instrText xml:space="preserve"> XE "</w:instrText>
      </w:r>
      <w:r w:rsidR="00BE30B5" w:rsidRPr="007E7671">
        <w:instrText>national insurance</w:instrText>
      </w:r>
      <w:r w:rsidR="00BE30B5">
        <w:instrText xml:space="preserve">" </w:instrText>
      </w:r>
      <w:r w:rsidR="00BE30B5">
        <w:rPr>
          <w:rFonts w:ascii="Times New Roman" w:hAnsi="Times New Roman" w:cs="Times New Roman"/>
          <w:sz w:val="24"/>
          <w:szCs w:val="24"/>
        </w:rPr>
        <w:fldChar w:fldCharType="end"/>
      </w:r>
      <w:r w:rsidRPr="00D76399">
        <w:rPr>
          <w:rFonts w:ascii="Times New Roman" w:hAnsi="Times New Roman" w:cs="Times New Roman"/>
          <w:sz w:val="24"/>
          <w:szCs w:val="24"/>
        </w:rPr>
        <w:t xml:space="preserve"> contributions for all employees of 1 per cent, and an increase in the mildly regressive VAT</w:t>
      </w:r>
      <w:r w:rsidR="00E54B4B">
        <w:rPr>
          <w:rFonts w:ascii="Times New Roman" w:hAnsi="Times New Roman" w:cs="Times New Roman"/>
          <w:sz w:val="24"/>
          <w:szCs w:val="24"/>
        </w:rPr>
        <w:t>,</w:t>
      </w:r>
      <w:r w:rsidRPr="00D76399">
        <w:rPr>
          <w:rFonts w:ascii="Times New Roman" w:hAnsi="Times New Roman" w:cs="Times New Roman"/>
          <w:sz w:val="24"/>
          <w:szCs w:val="24"/>
        </w:rPr>
        <w:t xml:space="preserve"> plus a one-off banking levy, a rise in Capital Gains Tax</w:t>
      </w:r>
      <w:r w:rsidR="00BE30B5">
        <w:rPr>
          <w:rFonts w:ascii="Times New Roman" w:hAnsi="Times New Roman" w:cs="Times New Roman"/>
          <w:sz w:val="24"/>
          <w:szCs w:val="24"/>
        </w:rPr>
        <w:fldChar w:fldCharType="begin"/>
      </w:r>
      <w:r w:rsidR="00BE30B5">
        <w:instrText xml:space="preserve"> XE "</w:instrText>
      </w:r>
      <w:r w:rsidR="00BE30B5" w:rsidRPr="005B138F">
        <w:rPr>
          <w:rFonts w:ascii="Times New Roman" w:hAnsi="Times New Roman" w:cs="Times New Roman"/>
          <w:sz w:val="24"/>
          <w:szCs w:val="24"/>
        </w:rPr>
        <w:instrText>Capital Gains Tax</w:instrText>
      </w:r>
      <w:r w:rsidR="00BE30B5">
        <w:instrText xml:space="preserve">" </w:instrText>
      </w:r>
      <w:r w:rsidR="00BE30B5">
        <w:rPr>
          <w:rFonts w:ascii="Times New Roman" w:hAnsi="Times New Roman" w:cs="Times New Roman"/>
          <w:sz w:val="24"/>
          <w:szCs w:val="24"/>
        </w:rPr>
        <w:fldChar w:fldCharType="end"/>
      </w:r>
      <w:r w:rsidR="00243F50">
        <w:rPr>
          <w:rFonts w:ascii="Times New Roman" w:hAnsi="Times New Roman" w:cs="Times New Roman"/>
          <w:sz w:val="24"/>
          <w:szCs w:val="24"/>
        </w:rPr>
        <w:t xml:space="preserve"> (later reversed)</w:t>
      </w:r>
      <w:r w:rsidRPr="00D76399">
        <w:rPr>
          <w:rFonts w:ascii="Times New Roman" w:hAnsi="Times New Roman" w:cs="Times New Roman"/>
          <w:sz w:val="24"/>
          <w:szCs w:val="24"/>
        </w:rPr>
        <w:t xml:space="preserve"> and increases in alcohol and fuel duty.</w:t>
      </w:r>
    </w:p>
    <w:p w:rsidR="00703A96" w:rsidRPr="00D76399" w:rsidRDefault="00703A96" w:rsidP="00F34DAD">
      <w:pPr>
        <w:jc w:val="left"/>
        <w:rPr>
          <w:rFonts w:ascii="Times New Roman" w:hAnsi="Times New Roman" w:cs="Times New Roman"/>
          <w:i/>
          <w:sz w:val="24"/>
          <w:szCs w:val="24"/>
        </w:rPr>
      </w:pPr>
    </w:p>
    <w:p w:rsidR="00703A96" w:rsidRPr="00D76399" w:rsidRDefault="00703A96" w:rsidP="00F34DAD">
      <w:pPr>
        <w:jc w:val="left"/>
        <w:rPr>
          <w:rFonts w:ascii="Times New Roman" w:hAnsi="Times New Roman" w:cs="Times New Roman"/>
          <w:b/>
          <w:sz w:val="24"/>
          <w:szCs w:val="24"/>
        </w:rPr>
      </w:pPr>
      <w:r w:rsidRPr="00D76399">
        <w:rPr>
          <w:rFonts w:ascii="Times New Roman" w:hAnsi="Times New Roman" w:cs="Times New Roman"/>
          <w:sz w:val="24"/>
          <w:szCs w:val="24"/>
        </w:rPr>
        <w:t>The cut-backs coupled with immediate stimuli intended to promote a return to growth, such as the 2009-10 car scrappage subsidy, cuts in corporation tax</w:t>
      </w:r>
      <w:r w:rsidR="00BE30B5">
        <w:rPr>
          <w:rFonts w:ascii="Times New Roman" w:hAnsi="Times New Roman" w:cs="Times New Roman"/>
          <w:sz w:val="24"/>
          <w:szCs w:val="24"/>
        </w:rPr>
        <w:fldChar w:fldCharType="begin"/>
      </w:r>
      <w:r w:rsidR="00BE30B5">
        <w:instrText xml:space="preserve"> XE "</w:instrText>
      </w:r>
      <w:r w:rsidR="00BE30B5" w:rsidRPr="006E6009">
        <w:rPr>
          <w:rFonts w:ascii="Times New Roman" w:hAnsi="Times New Roman" w:cs="Times New Roman"/>
          <w:sz w:val="24"/>
          <w:szCs w:val="24"/>
        </w:rPr>
        <w:instrText>corporation tax</w:instrText>
      </w:r>
      <w:r w:rsidR="00BE30B5">
        <w:instrText xml:space="preserve">" </w:instrText>
      </w:r>
      <w:r w:rsidR="00BE30B5">
        <w:rPr>
          <w:rFonts w:ascii="Times New Roman" w:hAnsi="Times New Roman" w:cs="Times New Roman"/>
          <w:sz w:val="24"/>
          <w:szCs w:val="24"/>
        </w:rPr>
        <w:fldChar w:fldCharType="end"/>
      </w:r>
      <w:r w:rsidRPr="00D76399">
        <w:rPr>
          <w:rFonts w:ascii="Times New Roman" w:hAnsi="Times New Roman" w:cs="Times New Roman"/>
          <w:sz w:val="24"/>
          <w:szCs w:val="24"/>
        </w:rPr>
        <w:t>and other taxes on business, further tightening of public spending, and £375bn of ‘quantitative easing’ (whereby the Treasury encourages private sector lending by increasing the availability of money to banks), failed t</w:t>
      </w:r>
      <w:r w:rsidR="00AD2EC9">
        <w:rPr>
          <w:rFonts w:ascii="Times New Roman" w:hAnsi="Times New Roman" w:cs="Times New Roman"/>
          <w:sz w:val="24"/>
          <w:szCs w:val="24"/>
        </w:rPr>
        <w:t xml:space="preserve">o prevent a further slide into </w:t>
      </w:r>
      <w:r w:rsidRPr="00D76399">
        <w:rPr>
          <w:rFonts w:ascii="Times New Roman" w:hAnsi="Times New Roman" w:cs="Times New Roman"/>
          <w:sz w:val="24"/>
          <w:szCs w:val="24"/>
        </w:rPr>
        <w:t xml:space="preserve">recession in 2011-12. </w:t>
      </w:r>
      <w:r w:rsidR="00243F50">
        <w:rPr>
          <w:rFonts w:ascii="Times New Roman" w:hAnsi="Times New Roman" w:cs="Times New Roman"/>
          <w:sz w:val="24"/>
          <w:szCs w:val="24"/>
        </w:rPr>
        <w:t>By 2012 O</w:t>
      </w:r>
      <w:r w:rsidR="00AD2EC9">
        <w:rPr>
          <w:rFonts w:ascii="Times New Roman" w:hAnsi="Times New Roman" w:cs="Times New Roman"/>
          <w:sz w:val="24"/>
          <w:szCs w:val="24"/>
        </w:rPr>
        <w:t>ffice for Budgetary Responsibility</w:t>
      </w:r>
      <w:r w:rsidR="00243F50">
        <w:rPr>
          <w:rFonts w:ascii="Times New Roman" w:hAnsi="Times New Roman" w:cs="Times New Roman"/>
          <w:sz w:val="24"/>
          <w:szCs w:val="24"/>
        </w:rPr>
        <w:t xml:space="preserve"> projections indicated that</w:t>
      </w:r>
      <w:r w:rsidRPr="00D76399">
        <w:rPr>
          <w:rFonts w:ascii="Times New Roman" w:hAnsi="Times New Roman" w:cs="Times New Roman"/>
          <w:sz w:val="24"/>
          <w:szCs w:val="24"/>
        </w:rPr>
        <w:t xml:space="preserve"> the budget deficit w</w:t>
      </w:r>
      <w:r w:rsidR="00E67DF0">
        <w:rPr>
          <w:rFonts w:ascii="Times New Roman" w:hAnsi="Times New Roman" w:cs="Times New Roman"/>
          <w:sz w:val="24"/>
          <w:szCs w:val="24"/>
        </w:rPr>
        <w:t>ould</w:t>
      </w:r>
      <w:r w:rsidRPr="00D76399">
        <w:rPr>
          <w:rFonts w:ascii="Times New Roman" w:hAnsi="Times New Roman" w:cs="Times New Roman"/>
          <w:sz w:val="24"/>
          <w:szCs w:val="24"/>
        </w:rPr>
        <w:t xml:space="preserve"> not be eliminated until </w:t>
      </w:r>
      <w:r w:rsidR="00E67DF0">
        <w:rPr>
          <w:rFonts w:ascii="Times New Roman" w:hAnsi="Times New Roman" w:cs="Times New Roman"/>
          <w:sz w:val="24"/>
          <w:szCs w:val="24"/>
        </w:rPr>
        <w:t xml:space="preserve">after </w:t>
      </w:r>
      <w:r w:rsidRPr="00D76399">
        <w:rPr>
          <w:rFonts w:ascii="Times New Roman" w:hAnsi="Times New Roman" w:cs="Times New Roman"/>
          <w:sz w:val="24"/>
          <w:szCs w:val="24"/>
        </w:rPr>
        <w:t>2017-18</w:t>
      </w:r>
      <w:r w:rsidR="00243F50">
        <w:rPr>
          <w:rFonts w:ascii="Times New Roman" w:hAnsi="Times New Roman" w:cs="Times New Roman"/>
          <w:sz w:val="24"/>
          <w:szCs w:val="24"/>
        </w:rPr>
        <w:t xml:space="preserve"> and</w:t>
      </w:r>
      <w:r w:rsidRPr="00D76399">
        <w:rPr>
          <w:rFonts w:ascii="Times New Roman" w:hAnsi="Times New Roman" w:cs="Times New Roman"/>
          <w:sz w:val="24"/>
          <w:szCs w:val="24"/>
        </w:rPr>
        <w:t xml:space="preserve"> that there is little hope of extra buoyancy to compensate for the lost production of the years of recession</w:t>
      </w:r>
      <w:r w:rsidR="00D553FF">
        <w:rPr>
          <w:rFonts w:ascii="Times New Roman" w:hAnsi="Times New Roman" w:cs="Times New Roman"/>
          <w:sz w:val="24"/>
          <w:szCs w:val="24"/>
        </w:rPr>
        <w:fldChar w:fldCharType="begin"/>
      </w:r>
      <w:r w:rsidR="00D553FF">
        <w:instrText xml:space="preserve"> XE "</w:instrText>
      </w:r>
      <w:r w:rsidR="00D553FF" w:rsidRPr="0006412A">
        <w:rPr>
          <w:rFonts w:ascii="Times New Roman" w:hAnsi="Times New Roman" w:cs="Times New Roman"/>
          <w:sz w:val="24"/>
          <w:szCs w:val="24"/>
        </w:rPr>
        <w:instrText>recession</w:instrText>
      </w:r>
      <w:r w:rsidR="00D553FF">
        <w:instrText xml:space="preserve">" </w:instrText>
      </w:r>
      <w:r w:rsidR="00D553FF">
        <w:rPr>
          <w:rFonts w:ascii="Times New Roman" w:hAnsi="Times New Roman" w:cs="Times New Roman"/>
          <w:sz w:val="24"/>
          <w:szCs w:val="24"/>
        </w:rPr>
        <w:fldChar w:fldCharType="end"/>
      </w:r>
      <w:r w:rsidR="007E18DA">
        <w:rPr>
          <w:rFonts w:ascii="Times New Roman" w:hAnsi="Times New Roman" w:cs="Times New Roman"/>
          <w:sz w:val="24"/>
          <w:szCs w:val="24"/>
        </w:rPr>
        <w:t xml:space="preserve"> (OBR</w:t>
      </w:r>
      <w:r w:rsidR="00D553FF">
        <w:rPr>
          <w:rFonts w:ascii="Times New Roman" w:hAnsi="Times New Roman" w:cs="Times New Roman"/>
          <w:sz w:val="24"/>
          <w:szCs w:val="24"/>
        </w:rPr>
        <w:fldChar w:fldCharType="begin"/>
      </w:r>
      <w:r w:rsidR="00D553FF">
        <w:instrText xml:space="preserve"> XE "</w:instrText>
      </w:r>
      <w:r w:rsidR="00D553FF" w:rsidRPr="002C6859">
        <w:rPr>
          <w:rFonts w:ascii="Times New Roman" w:hAnsi="Times New Roman" w:cs="Times New Roman"/>
          <w:sz w:val="24"/>
          <w:szCs w:val="24"/>
        </w:rPr>
        <w:instrText>OBR</w:instrText>
      </w:r>
      <w:r w:rsidR="00D553FF">
        <w:instrText xml:space="preserve">" </w:instrText>
      </w:r>
      <w:r w:rsidR="00D553FF">
        <w:rPr>
          <w:rFonts w:ascii="Times New Roman" w:hAnsi="Times New Roman" w:cs="Times New Roman"/>
          <w:sz w:val="24"/>
          <w:szCs w:val="24"/>
        </w:rPr>
        <w:fldChar w:fldCharType="end"/>
      </w:r>
      <w:r w:rsidR="007E18DA">
        <w:rPr>
          <w:rFonts w:ascii="Times New Roman" w:hAnsi="Times New Roman" w:cs="Times New Roman"/>
          <w:sz w:val="24"/>
          <w:szCs w:val="24"/>
        </w:rPr>
        <w:t xml:space="preserve"> 2012a, </w:t>
      </w:r>
      <w:r w:rsidR="00E67DF0">
        <w:rPr>
          <w:rFonts w:ascii="Times New Roman" w:hAnsi="Times New Roman" w:cs="Times New Roman"/>
          <w:sz w:val="24"/>
          <w:szCs w:val="24"/>
        </w:rPr>
        <w:t>Table 1.2)</w:t>
      </w:r>
      <w:r w:rsidR="00243F50">
        <w:rPr>
          <w:rFonts w:ascii="Times New Roman" w:hAnsi="Times New Roman" w:cs="Times New Roman"/>
          <w:sz w:val="24"/>
          <w:szCs w:val="24"/>
        </w:rPr>
        <w:t>. T</w:t>
      </w:r>
      <w:r w:rsidRPr="00D76399">
        <w:rPr>
          <w:rFonts w:ascii="Times New Roman" w:hAnsi="Times New Roman" w:cs="Times New Roman"/>
          <w:sz w:val="24"/>
          <w:szCs w:val="24"/>
        </w:rPr>
        <w:t xml:space="preserve">he government </w:t>
      </w:r>
      <w:r w:rsidR="00243F50">
        <w:rPr>
          <w:rFonts w:ascii="Times New Roman" w:hAnsi="Times New Roman" w:cs="Times New Roman"/>
          <w:sz w:val="24"/>
          <w:szCs w:val="24"/>
        </w:rPr>
        <w:t>remains committed to</w:t>
      </w:r>
      <w:r w:rsidRPr="00D76399">
        <w:rPr>
          <w:rFonts w:ascii="Times New Roman" w:hAnsi="Times New Roman" w:cs="Times New Roman"/>
          <w:sz w:val="24"/>
          <w:szCs w:val="24"/>
        </w:rPr>
        <w:t xml:space="preserve"> </w:t>
      </w:r>
      <w:r w:rsidRPr="00D76399">
        <w:rPr>
          <w:rFonts w:ascii="Times New Roman" w:hAnsi="Times New Roman" w:cs="Times New Roman"/>
          <w:sz w:val="24"/>
          <w:szCs w:val="24"/>
        </w:rPr>
        <w:lastRenderedPageBreak/>
        <w:t>further cut-backs focused again on short-term benefits and local government</w:t>
      </w:r>
      <w:r w:rsidR="00243F50">
        <w:rPr>
          <w:rFonts w:ascii="Times New Roman" w:hAnsi="Times New Roman" w:cs="Times New Roman"/>
          <w:sz w:val="24"/>
          <w:szCs w:val="24"/>
        </w:rPr>
        <w:t>, in an attempt to stimulate private sector led recovery.</w:t>
      </w:r>
    </w:p>
    <w:p w:rsidR="00703A96" w:rsidRDefault="00703A96" w:rsidP="00F34DAD">
      <w:pPr>
        <w:jc w:val="left"/>
        <w:rPr>
          <w:rFonts w:ascii="Times New Roman" w:hAnsi="Times New Roman" w:cs="Times New Roman"/>
          <w:sz w:val="24"/>
          <w:szCs w:val="24"/>
        </w:rPr>
      </w:pPr>
    </w:p>
    <w:p w:rsidR="001B027E" w:rsidRDefault="001B027E" w:rsidP="00F34DAD">
      <w:pPr>
        <w:jc w:val="left"/>
        <w:rPr>
          <w:rFonts w:ascii="Times New Roman" w:hAnsi="Times New Roman" w:cs="Times New Roman"/>
          <w:sz w:val="24"/>
          <w:szCs w:val="24"/>
        </w:rPr>
      </w:pPr>
      <w:r>
        <w:rPr>
          <w:rFonts w:ascii="Times New Roman" w:hAnsi="Times New Roman" w:cs="Times New Roman"/>
          <w:sz w:val="24"/>
          <w:szCs w:val="24"/>
        </w:rPr>
        <w:t>This programme failed to achieve its goals of reducing the deficit</w:t>
      </w:r>
      <w:r w:rsidRPr="001B027E">
        <w:rPr>
          <w:rFonts w:ascii="Times New Roman" w:hAnsi="Times New Roman" w:cs="Times New Roman"/>
          <w:sz w:val="24"/>
          <w:szCs w:val="24"/>
        </w:rPr>
        <w:t xml:space="preserve"> </w:t>
      </w:r>
      <w:r>
        <w:rPr>
          <w:rFonts w:ascii="Times New Roman" w:hAnsi="Times New Roman" w:cs="Times New Roman"/>
          <w:sz w:val="24"/>
          <w:szCs w:val="24"/>
        </w:rPr>
        <w:t xml:space="preserve">and stimulating growth. Further cut-backs in benefits were introduced in 2013, </w:t>
      </w:r>
      <w:r w:rsidR="00E67DF0">
        <w:rPr>
          <w:rFonts w:ascii="Times New Roman" w:hAnsi="Times New Roman" w:cs="Times New Roman"/>
          <w:sz w:val="24"/>
          <w:szCs w:val="24"/>
        </w:rPr>
        <w:t xml:space="preserve">with </w:t>
      </w:r>
      <w:r>
        <w:rPr>
          <w:rFonts w:ascii="Times New Roman" w:hAnsi="Times New Roman" w:cs="Times New Roman"/>
          <w:sz w:val="24"/>
          <w:szCs w:val="24"/>
        </w:rPr>
        <w:t>£5bn diverted from public services to investment</w:t>
      </w:r>
      <w:r w:rsidR="005E0406">
        <w:rPr>
          <w:rFonts w:ascii="Times New Roman" w:hAnsi="Times New Roman" w:cs="Times New Roman"/>
          <w:sz w:val="24"/>
          <w:szCs w:val="24"/>
        </w:rPr>
        <w:fldChar w:fldCharType="begin"/>
      </w:r>
      <w:r w:rsidR="003E1115">
        <w:instrText xml:space="preserve"> XE "</w:instrText>
      </w:r>
      <w:r w:rsidR="003E1115" w:rsidRPr="00694610">
        <w:rPr>
          <w:rFonts w:ascii="Times New Roman" w:hAnsi="Times New Roman" w:cs="Times New Roman"/>
          <w:sz w:val="24"/>
          <w:szCs w:val="24"/>
        </w:rPr>
        <w:instrText>investment</w:instrText>
      </w:r>
      <w:r w:rsidR="003E1115">
        <w:instrText xml:space="preserve">" </w:instrText>
      </w:r>
      <w:r w:rsidR="005E0406">
        <w:rPr>
          <w:rFonts w:ascii="Times New Roman" w:hAnsi="Times New Roman" w:cs="Times New Roman"/>
          <w:sz w:val="24"/>
          <w:szCs w:val="24"/>
        </w:rPr>
        <w:fldChar w:fldCharType="end"/>
      </w:r>
      <w:r>
        <w:rPr>
          <w:rFonts w:ascii="Times New Roman" w:hAnsi="Times New Roman" w:cs="Times New Roman"/>
          <w:sz w:val="24"/>
          <w:szCs w:val="24"/>
        </w:rPr>
        <w:t xml:space="preserve"> in infrastructure and corporation tax cut to 21 per cent, </w:t>
      </w:r>
      <w:r w:rsidR="00BA5337">
        <w:rPr>
          <w:rFonts w:ascii="Times New Roman" w:hAnsi="Times New Roman" w:cs="Times New Roman"/>
          <w:sz w:val="24"/>
          <w:szCs w:val="24"/>
        </w:rPr>
        <w:t>the lowest rate since the tax was introduced in 1965 (</w:t>
      </w:r>
      <w:r w:rsidR="00132434">
        <w:rPr>
          <w:rFonts w:ascii="Times New Roman" w:hAnsi="Times New Roman" w:cs="Times New Roman"/>
          <w:sz w:val="24"/>
          <w:szCs w:val="24"/>
        </w:rPr>
        <w:t>HM Treasury 2012b</w:t>
      </w:r>
      <w:r w:rsidR="00BA5337">
        <w:rPr>
          <w:rFonts w:ascii="Times New Roman" w:hAnsi="Times New Roman" w:cs="Times New Roman"/>
          <w:sz w:val="24"/>
          <w:szCs w:val="24"/>
        </w:rPr>
        <w:t>).</w:t>
      </w:r>
      <w:r>
        <w:rPr>
          <w:rFonts w:ascii="Times New Roman" w:hAnsi="Times New Roman" w:cs="Times New Roman"/>
          <w:sz w:val="24"/>
          <w:szCs w:val="24"/>
        </w:rPr>
        <w:t xml:space="preserve"> </w:t>
      </w:r>
    </w:p>
    <w:p w:rsidR="00BA5337" w:rsidRPr="00D76399" w:rsidRDefault="00BA5337"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Cut-backs on this scale are exceptional in British policy-making and have been much discussed (for example Crouch 2011, Gamble</w:t>
      </w:r>
      <w:r w:rsidR="007F76FC">
        <w:rPr>
          <w:rFonts w:ascii="Times New Roman" w:hAnsi="Times New Roman" w:cs="Times New Roman"/>
          <w:sz w:val="24"/>
          <w:szCs w:val="24"/>
        </w:rPr>
        <w:fldChar w:fldCharType="begin"/>
      </w:r>
      <w:r w:rsidR="007F76FC">
        <w:instrText xml:space="preserve"> XE "</w:instrText>
      </w:r>
      <w:r w:rsidR="007F76FC" w:rsidRPr="006E31B2">
        <w:rPr>
          <w:rFonts w:ascii="Times New Roman" w:hAnsi="Times New Roman" w:cs="Times New Roman"/>
          <w:sz w:val="24"/>
          <w:szCs w:val="24"/>
        </w:rPr>
        <w:instrText>Gamble</w:instrText>
      </w:r>
      <w:r w:rsidR="007F76FC">
        <w:instrText xml:space="preserve">" </w:instrText>
      </w:r>
      <w:r w:rsidR="007F76FC">
        <w:rPr>
          <w:rFonts w:ascii="Times New Roman" w:hAnsi="Times New Roman" w:cs="Times New Roman"/>
          <w:sz w:val="24"/>
          <w:szCs w:val="24"/>
        </w:rPr>
        <w:fldChar w:fldCharType="end"/>
      </w:r>
      <w:r w:rsidRPr="00D76399">
        <w:rPr>
          <w:rFonts w:ascii="Times New Roman" w:hAnsi="Times New Roman" w:cs="Times New Roman"/>
          <w:sz w:val="24"/>
          <w:szCs w:val="24"/>
        </w:rPr>
        <w:t xml:space="preserve"> 2011, Gough</w:t>
      </w:r>
      <w:r w:rsidR="007F76FC">
        <w:rPr>
          <w:rFonts w:ascii="Times New Roman" w:hAnsi="Times New Roman" w:cs="Times New Roman"/>
          <w:sz w:val="24"/>
          <w:szCs w:val="24"/>
        </w:rPr>
        <w:fldChar w:fldCharType="begin"/>
      </w:r>
      <w:r w:rsidR="007F76FC">
        <w:instrText xml:space="preserve"> XE "</w:instrText>
      </w:r>
      <w:r w:rsidR="007F76FC" w:rsidRPr="006E31B2">
        <w:rPr>
          <w:rFonts w:ascii="Times New Roman" w:hAnsi="Times New Roman" w:cs="Times New Roman"/>
          <w:sz w:val="24"/>
          <w:szCs w:val="24"/>
        </w:rPr>
        <w:instrText>Gough</w:instrText>
      </w:r>
      <w:r w:rsidR="007F76FC">
        <w:instrText xml:space="preserve">" </w:instrText>
      </w:r>
      <w:r w:rsidR="007F76FC">
        <w:rPr>
          <w:rFonts w:ascii="Times New Roman" w:hAnsi="Times New Roman" w:cs="Times New Roman"/>
          <w:sz w:val="24"/>
          <w:szCs w:val="24"/>
        </w:rPr>
        <w:fldChar w:fldCharType="end"/>
      </w:r>
      <w:r w:rsidRPr="00D76399">
        <w:rPr>
          <w:rFonts w:ascii="Times New Roman" w:hAnsi="Times New Roman" w:cs="Times New Roman"/>
          <w:sz w:val="24"/>
          <w:szCs w:val="24"/>
        </w:rPr>
        <w:t xml:space="preserve"> 2011a, Skidelsky</w:t>
      </w:r>
      <w:r w:rsidR="007F76FC">
        <w:rPr>
          <w:rFonts w:ascii="Times New Roman" w:hAnsi="Times New Roman" w:cs="Times New Roman"/>
          <w:sz w:val="24"/>
          <w:szCs w:val="24"/>
        </w:rPr>
        <w:fldChar w:fldCharType="begin"/>
      </w:r>
      <w:r w:rsidR="007F76FC">
        <w:instrText xml:space="preserve"> XE "</w:instrText>
      </w:r>
      <w:r w:rsidR="007F76FC" w:rsidRPr="00B72197">
        <w:rPr>
          <w:rFonts w:ascii="Times New Roman" w:hAnsi="Times New Roman" w:cs="Times New Roman"/>
          <w:sz w:val="24"/>
          <w:szCs w:val="24"/>
        </w:rPr>
        <w:instrText>Skidelsky</w:instrText>
      </w:r>
      <w:r w:rsidR="007F76FC">
        <w:instrText xml:space="preserve">" </w:instrText>
      </w:r>
      <w:r w:rsidR="007F76FC">
        <w:rPr>
          <w:rFonts w:ascii="Times New Roman" w:hAnsi="Times New Roman" w:cs="Times New Roman"/>
          <w:sz w:val="24"/>
          <w:szCs w:val="24"/>
        </w:rPr>
        <w:fldChar w:fldCharType="end"/>
      </w:r>
      <w:r w:rsidRPr="00D76399">
        <w:rPr>
          <w:rFonts w:ascii="Times New Roman" w:hAnsi="Times New Roman" w:cs="Times New Roman"/>
          <w:sz w:val="24"/>
          <w:szCs w:val="24"/>
        </w:rPr>
        <w:t xml:space="preserve"> 2012). Here we outline the government’s underlying assumptions, examine how the cut-backs are structured to achieve a specific impact and consider the risks run in pursuing these policies. </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b/>
          <w:i/>
          <w:sz w:val="24"/>
          <w:szCs w:val="24"/>
        </w:rPr>
        <w:t xml:space="preserve">Assumptions underlying the cuts: </w:t>
      </w:r>
      <w:r w:rsidRPr="00D76399">
        <w:rPr>
          <w:rFonts w:ascii="Times New Roman" w:hAnsi="Times New Roman" w:cs="Times New Roman"/>
          <w:sz w:val="24"/>
          <w:szCs w:val="24"/>
        </w:rPr>
        <w:t>In recent years most governments in developed economies have pursued economic policies that balance two underlying approaches. Those inspired by Keynesian counter-cyclical theory</w:t>
      </w:r>
      <w:r w:rsidR="005E0406">
        <w:rPr>
          <w:rFonts w:ascii="Times New Roman" w:hAnsi="Times New Roman" w:cs="Times New Roman"/>
          <w:sz w:val="24"/>
          <w:szCs w:val="24"/>
        </w:rPr>
        <w:fldChar w:fldCharType="begin"/>
      </w:r>
      <w:r w:rsidR="003E1115">
        <w:instrText xml:space="preserve"> XE "</w:instrText>
      </w:r>
      <w:r w:rsidR="003E1115" w:rsidRPr="00C946D2">
        <w:rPr>
          <w:rFonts w:ascii="Times New Roman" w:hAnsi="Times New Roman" w:cs="Times New Roman"/>
          <w:sz w:val="24"/>
          <w:szCs w:val="24"/>
        </w:rPr>
        <w:instrText>Keynesian theory</w:instrText>
      </w:r>
      <w:r w:rsidR="003E1115">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see the problems of economic downturn in terms of the resources (factories, people, investment capital) that lie idle. They argue that government must make up for the contraction in private investment. This can be financed by borrowing which temporarily increases indebtedness but can be paid off out of the proceeds of future growth. An alternative liberal</w:t>
      </w:r>
      <w:r w:rsidR="005E0406">
        <w:rPr>
          <w:rFonts w:ascii="Times New Roman" w:hAnsi="Times New Roman" w:cs="Times New Roman"/>
          <w:sz w:val="24"/>
          <w:szCs w:val="24"/>
        </w:rPr>
        <w:fldChar w:fldCharType="begin"/>
      </w:r>
      <w:r w:rsidR="003E1115">
        <w:instrText xml:space="preserve"> XE "</w:instrText>
      </w:r>
      <w:r w:rsidR="003E1115" w:rsidRPr="00B40076">
        <w:rPr>
          <w:rFonts w:ascii="Times New Roman" w:hAnsi="Times New Roman" w:cs="Times New Roman"/>
          <w:sz w:val="24"/>
          <w:szCs w:val="24"/>
        </w:rPr>
        <w:instrText>liberalism</w:instrText>
      </w:r>
      <w:r w:rsidR="003E1115">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approach argues that the long-term solution must rely on competitiveness in international markets and hence on low public deficits and free markets providing good investment opportunities to attract private capital. The latter view is more appealing to those who believe that there are structural weaknesses (as they see many of the restrictions on market freedoms) in national economies that currently damage competitiveness and that may now be corrected.</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Both viewpoints have influenced policy in developed countries, but the balance has shifted more in the liberal direction as stagnation has continued (Skidelsky 2012, Crouch 2011</w:t>
      </w:r>
      <w:r w:rsidR="00581E72">
        <w:rPr>
          <w:rFonts w:ascii="Times New Roman" w:hAnsi="Times New Roman" w:cs="Times New Roman"/>
          <w:sz w:val="24"/>
          <w:szCs w:val="24"/>
        </w:rPr>
        <w:t>, Davies 2011</w:t>
      </w:r>
      <w:r w:rsidRPr="00D76399">
        <w:rPr>
          <w:rFonts w:ascii="Times New Roman" w:hAnsi="Times New Roman" w:cs="Times New Roman"/>
          <w:sz w:val="24"/>
          <w:szCs w:val="24"/>
        </w:rPr>
        <w:t>).</w:t>
      </w:r>
      <w:r w:rsidR="00E83547">
        <w:rPr>
          <w:rFonts w:ascii="Times New Roman" w:hAnsi="Times New Roman" w:cs="Times New Roman"/>
          <w:sz w:val="24"/>
          <w:szCs w:val="24"/>
        </w:rPr>
        <w:t xml:space="preserve"> </w:t>
      </w:r>
      <w:r w:rsidRPr="00D76399">
        <w:rPr>
          <w:rFonts w:ascii="Times New Roman" w:hAnsi="Times New Roman" w:cs="Times New Roman"/>
          <w:sz w:val="24"/>
          <w:szCs w:val="24"/>
        </w:rPr>
        <w:t xml:space="preserve">The second graph above shows that the response to the second recession of 2011-12 (the slight upswing in state spending in those years) was much weaker than that to the first recession in 2008-9. The UK is the leading exponent of liberal economic remedies, cutting spending harder and faster than any of the major developed economies, indeed than any European economy apart from those compelled to do so as a condition of IMF, ECB and EU loans. </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b/>
          <w:i/>
          <w:sz w:val="24"/>
          <w:szCs w:val="24"/>
        </w:rPr>
        <w:t xml:space="preserve">Structure and impact of the cuts: </w:t>
      </w:r>
      <w:r w:rsidRPr="00D76399">
        <w:rPr>
          <w:rFonts w:ascii="Times New Roman" w:hAnsi="Times New Roman" w:cs="Times New Roman"/>
          <w:sz w:val="24"/>
          <w:szCs w:val="24"/>
        </w:rPr>
        <w:t>The UK cuts are indeed exceptional. Roughly two-thirds of government spending is directed at welfare state provision, in order of scale</w:t>
      </w:r>
      <w:r w:rsidR="003E1115">
        <w:rPr>
          <w:rFonts w:ascii="Times New Roman" w:hAnsi="Times New Roman" w:cs="Times New Roman"/>
          <w:sz w:val="24"/>
          <w:szCs w:val="24"/>
        </w:rPr>
        <w:t>:</w:t>
      </w:r>
      <w:r w:rsidRPr="00D76399">
        <w:rPr>
          <w:rFonts w:ascii="Times New Roman" w:hAnsi="Times New Roman" w:cs="Times New Roman"/>
          <w:sz w:val="24"/>
          <w:szCs w:val="24"/>
        </w:rPr>
        <w:t xml:space="preserve"> the NHS, pensions, education, other cash benefits including housing benefit</w:t>
      </w:r>
      <w:r w:rsidR="005B2DCA">
        <w:rPr>
          <w:rFonts w:ascii="Times New Roman" w:hAnsi="Times New Roman" w:cs="Times New Roman"/>
          <w:sz w:val="24"/>
          <w:szCs w:val="24"/>
        </w:rPr>
        <w:fldChar w:fldCharType="begin"/>
      </w:r>
      <w:r w:rsidR="005B2DCA">
        <w:instrText xml:space="preserve"> XE "</w:instrText>
      </w:r>
      <w:r w:rsidR="006848DE">
        <w:rPr>
          <w:rFonts w:ascii="Times New Roman" w:hAnsi="Times New Roman" w:cs="Times New Roman"/>
          <w:sz w:val="24"/>
          <w:szCs w:val="24"/>
        </w:rPr>
        <w:instrText>H</w:instrText>
      </w:r>
      <w:r w:rsidR="005B2DCA" w:rsidRPr="00BF6E29">
        <w:rPr>
          <w:rFonts w:ascii="Times New Roman" w:hAnsi="Times New Roman" w:cs="Times New Roman"/>
          <w:sz w:val="24"/>
          <w:szCs w:val="24"/>
        </w:rPr>
        <w:instrText xml:space="preserve">ousing </w:instrText>
      </w:r>
      <w:r w:rsidR="006848DE">
        <w:rPr>
          <w:rFonts w:ascii="Times New Roman" w:hAnsi="Times New Roman" w:cs="Times New Roman"/>
          <w:sz w:val="24"/>
          <w:szCs w:val="24"/>
        </w:rPr>
        <w:instrText>B</w:instrText>
      </w:r>
      <w:r w:rsidR="005B2DCA" w:rsidRPr="00BF6E29">
        <w:rPr>
          <w:rFonts w:ascii="Times New Roman" w:hAnsi="Times New Roman" w:cs="Times New Roman"/>
          <w:sz w:val="24"/>
          <w:szCs w:val="24"/>
        </w:rPr>
        <w:instrText>enefit</w:instrText>
      </w:r>
      <w:r w:rsidR="005B2DCA">
        <w:instrText xml:space="preserve">" </w:instrText>
      </w:r>
      <w:r w:rsidR="005B2DCA">
        <w:rPr>
          <w:rFonts w:ascii="Times New Roman" w:hAnsi="Times New Roman" w:cs="Times New Roman"/>
          <w:sz w:val="24"/>
          <w:szCs w:val="24"/>
        </w:rPr>
        <w:fldChar w:fldCharType="end"/>
      </w:r>
      <w:r w:rsidR="003E1115">
        <w:rPr>
          <w:rFonts w:ascii="Times New Roman" w:hAnsi="Times New Roman" w:cs="Times New Roman"/>
          <w:sz w:val="24"/>
          <w:szCs w:val="24"/>
        </w:rPr>
        <w:t xml:space="preserve"> and</w:t>
      </w:r>
      <w:r w:rsidRPr="00D76399">
        <w:rPr>
          <w:rFonts w:ascii="Times New Roman" w:hAnsi="Times New Roman" w:cs="Times New Roman"/>
          <w:sz w:val="24"/>
          <w:szCs w:val="24"/>
        </w:rPr>
        <w:t xml:space="preserve"> benefits for disabled people, social care and social housing. The remainder goes on the military, police and prisons, the rest of local government (apart from education, social housing and social care), transport and environmental policies, again in order of spending. This complex interactive mechanism disposes of about a third of GDP, of everything that all economic activity in the country generates in a year. The cuts affect all areas but are not spread evenly. Non-welfare </w:t>
      </w:r>
      <w:r w:rsidRPr="00D76399">
        <w:rPr>
          <w:rFonts w:ascii="Times New Roman" w:hAnsi="Times New Roman" w:cs="Times New Roman"/>
          <w:sz w:val="24"/>
          <w:szCs w:val="24"/>
        </w:rPr>
        <w:lastRenderedPageBreak/>
        <w:t>services lose roughly a fifth (IFS</w:t>
      </w:r>
      <w:r w:rsidR="00D553FF">
        <w:rPr>
          <w:rFonts w:ascii="Times New Roman" w:hAnsi="Times New Roman" w:cs="Times New Roman"/>
          <w:sz w:val="24"/>
          <w:szCs w:val="24"/>
        </w:rPr>
        <w:fldChar w:fldCharType="begin"/>
      </w:r>
      <w:r w:rsidR="00D553FF">
        <w:instrText xml:space="preserve"> XE "</w:instrText>
      </w:r>
      <w:r w:rsidR="00D553FF" w:rsidRPr="001A238B">
        <w:rPr>
          <w:rFonts w:ascii="Times New Roman" w:hAnsi="Times New Roman" w:cs="Times New Roman"/>
          <w:sz w:val="24"/>
          <w:szCs w:val="24"/>
        </w:rPr>
        <w:instrText>IFS</w:instrText>
      </w:r>
      <w:r w:rsidR="00D553FF">
        <w:instrText xml:space="preserve">" </w:instrText>
      </w:r>
      <w:r w:rsidR="00D553FF">
        <w:rPr>
          <w:rFonts w:ascii="Times New Roman" w:hAnsi="Times New Roman" w:cs="Times New Roman"/>
          <w:sz w:val="24"/>
          <w:szCs w:val="24"/>
        </w:rPr>
        <w:fldChar w:fldCharType="end"/>
      </w:r>
      <w:r w:rsidRPr="00D76399">
        <w:rPr>
          <w:rFonts w:ascii="Times New Roman" w:hAnsi="Times New Roman" w:cs="Times New Roman"/>
          <w:sz w:val="24"/>
          <w:szCs w:val="24"/>
        </w:rPr>
        <w:t xml:space="preserve"> 2011, Figure 6.3). When it comes to the welfare state, the cuts are targeted away from the most expensive and popular areas which are used by large numbers of voters, such as the NHS</w:t>
      </w:r>
      <w:r w:rsidR="005E0406">
        <w:rPr>
          <w:rFonts w:ascii="Times New Roman" w:hAnsi="Times New Roman" w:cs="Times New Roman"/>
          <w:sz w:val="24"/>
          <w:szCs w:val="24"/>
        </w:rPr>
        <w:fldChar w:fldCharType="begin"/>
      </w:r>
      <w:r w:rsidR="00BA15F3">
        <w:instrText xml:space="preserve"> XE "</w:instrText>
      </w:r>
      <w:r w:rsidR="00BA15F3" w:rsidRPr="00E16472">
        <w:rPr>
          <w:rFonts w:ascii="Times New Roman" w:hAnsi="Times New Roman" w:cs="Times New Roman"/>
          <w:sz w:val="24"/>
          <w:szCs w:val="24"/>
        </w:rPr>
        <w:instrText>NHS</w:instrText>
      </w:r>
      <w:r w:rsidR="00BA15F3">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education</w:t>
      </w:r>
      <w:r w:rsidR="005E0406">
        <w:rPr>
          <w:rFonts w:ascii="Times New Roman" w:hAnsi="Times New Roman" w:cs="Times New Roman"/>
          <w:sz w:val="24"/>
          <w:szCs w:val="24"/>
        </w:rPr>
        <w:fldChar w:fldCharType="begin"/>
      </w:r>
      <w:r w:rsidR="00BA15F3">
        <w:instrText xml:space="preserve"> XE "</w:instrText>
      </w:r>
      <w:r w:rsidR="00BA15F3" w:rsidRPr="009C31CF">
        <w:rPr>
          <w:rFonts w:ascii="Times New Roman" w:hAnsi="Times New Roman" w:cs="Times New Roman"/>
          <w:sz w:val="24"/>
          <w:szCs w:val="24"/>
        </w:rPr>
        <w:instrText>education</w:instrText>
      </w:r>
      <w:r w:rsidR="00BA15F3">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and pension</w:t>
      </w:r>
      <w:r w:rsidR="005E0406">
        <w:rPr>
          <w:rFonts w:ascii="Times New Roman" w:hAnsi="Times New Roman" w:cs="Times New Roman"/>
          <w:sz w:val="24"/>
          <w:szCs w:val="24"/>
        </w:rPr>
        <w:fldChar w:fldCharType="begin"/>
      </w:r>
      <w:r w:rsidR="00BA15F3">
        <w:instrText xml:space="preserve"> XE "</w:instrText>
      </w:r>
      <w:r w:rsidR="00BA15F3" w:rsidRPr="00112B6D">
        <w:rPr>
          <w:rFonts w:ascii="Times New Roman" w:hAnsi="Times New Roman" w:cs="Times New Roman"/>
          <w:sz w:val="24"/>
          <w:szCs w:val="24"/>
        </w:rPr>
        <w:instrText>pension</w:instrText>
      </w:r>
      <w:r w:rsidR="00BA15F3">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s. Instead they are concentrated on the rather lower spending but less popular benefits and services for lower income people</w:t>
      </w:r>
      <w:r w:rsidR="005E0406">
        <w:rPr>
          <w:rFonts w:ascii="Times New Roman" w:hAnsi="Times New Roman" w:cs="Times New Roman"/>
          <w:sz w:val="24"/>
          <w:szCs w:val="24"/>
        </w:rPr>
        <w:fldChar w:fldCharType="begin"/>
      </w:r>
      <w:r w:rsidR="003E1115">
        <w:instrText xml:space="preserve"> XE "</w:instrText>
      </w:r>
      <w:r w:rsidR="003E1115" w:rsidRPr="007200D5">
        <w:rPr>
          <w:rFonts w:ascii="Times New Roman" w:hAnsi="Times New Roman" w:cs="Times New Roman"/>
          <w:sz w:val="24"/>
          <w:szCs w:val="24"/>
        </w:rPr>
        <w:instrText>low income people</w:instrText>
      </w:r>
      <w:r w:rsidR="003E1115">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of working age: benefits for </w:t>
      </w:r>
      <w:r w:rsidR="00CD4C3B">
        <w:rPr>
          <w:rFonts w:ascii="Times New Roman" w:hAnsi="Times New Roman" w:cs="Times New Roman"/>
          <w:sz w:val="24"/>
          <w:szCs w:val="24"/>
        </w:rPr>
        <w:t xml:space="preserve">low-paid, </w:t>
      </w:r>
      <w:r w:rsidRPr="00D76399">
        <w:rPr>
          <w:rFonts w:ascii="Times New Roman" w:hAnsi="Times New Roman" w:cs="Times New Roman"/>
          <w:sz w:val="24"/>
          <w:szCs w:val="24"/>
        </w:rPr>
        <w:t>unemployed and disabled people, for families and children, and for housing.</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The cuts will save about 27 per cent of planned spending on disabled people</w:t>
      </w:r>
      <w:r w:rsidR="005E0406">
        <w:rPr>
          <w:rFonts w:ascii="Times New Roman" w:hAnsi="Times New Roman" w:cs="Times New Roman"/>
          <w:sz w:val="24"/>
          <w:szCs w:val="24"/>
        </w:rPr>
        <w:fldChar w:fldCharType="begin"/>
      </w:r>
      <w:r w:rsidR="00BA15F3">
        <w:instrText xml:space="preserve"> XE "</w:instrText>
      </w:r>
      <w:r w:rsidR="00BA15F3" w:rsidRPr="00D318B9">
        <w:rPr>
          <w:rFonts w:ascii="Times New Roman" w:hAnsi="Times New Roman" w:cs="Times New Roman"/>
          <w:sz w:val="24"/>
          <w:szCs w:val="24"/>
        </w:rPr>
        <w:instrText>disabled people</w:instrText>
      </w:r>
      <w:r w:rsidR="00BA15F3">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of working age (some £1</w:t>
      </w:r>
      <w:r w:rsidR="00272F44">
        <w:rPr>
          <w:rFonts w:ascii="Times New Roman" w:hAnsi="Times New Roman" w:cs="Times New Roman"/>
          <w:sz w:val="24"/>
          <w:szCs w:val="24"/>
        </w:rPr>
        <w:t>6.4</w:t>
      </w:r>
      <w:r w:rsidRPr="00D76399">
        <w:rPr>
          <w:rFonts w:ascii="Times New Roman" w:hAnsi="Times New Roman" w:cs="Times New Roman"/>
          <w:sz w:val="24"/>
          <w:szCs w:val="24"/>
        </w:rPr>
        <w:t xml:space="preserve">bn) through reforms to </w:t>
      </w:r>
      <w:r w:rsidR="00CB1968" w:rsidRPr="00D76399">
        <w:rPr>
          <w:rFonts w:ascii="Times New Roman" w:hAnsi="Times New Roman" w:cs="Times New Roman"/>
          <w:sz w:val="24"/>
          <w:szCs w:val="24"/>
        </w:rPr>
        <w:t xml:space="preserve">employment support allowance, </w:t>
      </w:r>
      <w:r w:rsidR="000746EB">
        <w:rPr>
          <w:rFonts w:ascii="Times New Roman" w:hAnsi="Times New Roman" w:cs="Times New Roman"/>
          <w:sz w:val="24"/>
          <w:szCs w:val="24"/>
        </w:rPr>
        <w:t xml:space="preserve">the replacement of </w:t>
      </w:r>
      <w:r w:rsidR="00CB1968" w:rsidRPr="00D76399">
        <w:rPr>
          <w:rFonts w:ascii="Times New Roman" w:hAnsi="Times New Roman" w:cs="Times New Roman"/>
          <w:sz w:val="24"/>
          <w:szCs w:val="24"/>
        </w:rPr>
        <w:t xml:space="preserve">disability living allowance </w:t>
      </w:r>
      <w:r w:rsidR="00AD2EC9">
        <w:rPr>
          <w:rFonts w:ascii="Times New Roman" w:hAnsi="Times New Roman" w:cs="Times New Roman"/>
          <w:sz w:val="24"/>
          <w:szCs w:val="24"/>
        </w:rPr>
        <w:t xml:space="preserve">by the less generous personal independence payments </w:t>
      </w:r>
      <w:r w:rsidR="00CB1968" w:rsidRPr="00D76399">
        <w:rPr>
          <w:rFonts w:ascii="Times New Roman" w:hAnsi="Times New Roman" w:cs="Times New Roman"/>
          <w:sz w:val="24"/>
          <w:szCs w:val="24"/>
        </w:rPr>
        <w:t>and more stringent wor</w:t>
      </w:r>
      <w:r w:rsidRPr="00D76399">
        <w:rPr>
          <w:rFonts w:ascii="Times New Roman" w:hAnsi="Times New Roman" w:cs="Times New Roman"/>
          <w:sz w:val="24"/>
          <w:szCs w:val="24"/>
        </w:rPr>
        <w:t>k tests</w:t>
      </w:r>
      <w:r w:rsidR="005E0406">
        <w:rPr>
          <w:rFonts w:ascii="Times New Roman" w:hAnsi="Times New Roman" w:cs="Times New Roman"/>
          <w:sz w:val="24"/>
          <w:szCs w:val="24"/>
        </w:rPr>
        <w:fldChar w:fldCharType="begin"/>
      </w:r>
      <w:r w:rsidR="00BA15F3">
        <w:instrText xml:space="preserve"> XE "</w:instrText>
      </w:r>
      <w:r w:rsidR="00BB11DD">
        <w:rPr>
          <w:rFonts w:ascii="Times New Roman" w:hAnsi="Times New Roman" w:cs="Times New Roman"/>
          <w:sz w:val="24"/>
          <w:szCs w:val="24"/>
        </w:rPr>
        <w:instrText>work test</w:instrText>
      </w:r>
      <w:r w:rsidR="00BA15F3">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(DWP</w:t>
      </w:r>
      <w:r w:rsidR="007F76FC">
        <w:rPr>
          <w:rFonts w:ascii="Times New Roman" w:hAnsi="Times New Roman" w:cs="Times New Roman"/>
          <w:sz w:val="24"/>
          <w:szCs w:val="24"/>
        </w:rPr>
        <w:fldChar w:fldCharType="begin"/>
      </w:r>
      <w:r w:rsidR="007F76FC">
        <w:instrText xml:space="preserve"> XE "</w:instrText>
      </w:r>
      <w:r w:rsidR="007F76FC" w:rsidRPr="005626F0">
        <w:rPr>
          <w:rFonts w:ascii="Times New Roman" w:hAnsi="Times New Roman" w:cs="Times New Roman"/>
          <w:sz w:val="24"/>
          <w:szCs w:val="24"/>
        </w:rPr>
        <w:instrText>DWP</w:instrText>
      </w:r>
      <w:r w:rsidR="007F76FC">
        <w:instrText xml:space="preserve">" </w:instrText>
      </w:r>
      <w:r w:rsidR="007F76FC">
        <w:rPr>
          <w:rFonts w:ascii="Times New Roman" w:hAnsi="Times New Roman" w:cs="Times New Roman"/>
          <w:sz w:val="24"/>
          <w:szCs w:val="24"/>
        </w:rPr>
        <w:fldChar w:fldCharType="end"/>
      </w:r>
      <w:r w:rsidRPr="00D76399">
        <w:rPr>
          <w:rFonts w:ascii="Times New Roman" w:hAnsi="Times New Roman" w:cs="Times New Roman"/>
          <w:sz w:val="24"/>
          <w:szCs w:val="24"/>
        </w:rPr>
        <w:t xml:space="preserve"> 2012a, 2012b). They will freeze child benefit</w:t>
      </w:r>
      <w:r w:rsidR="004152F7">
        <w:rPr>
          <w:rFonts w:ascii="Times New Roman" w:hAnsi="Times New Roman" w:cs="Times New Roman"/>
          <w:sz w:val="24"/>
          <w:szCs w:val="24"/>
        </w:rPr>
        <w:fldChar w:fldCharType="begin"/>
      </w:r>
      <w:r w:rsidR="004152F7">
        <w:instrText xml:space="preserve"> XE "</w:instrText>
      </w:r>
      <w:r w:rsidR="004152F7" w:rsidRPr="00C371B9">
        <w:rPr>
          <w:rFonts w:ascii="Times New Roman" w:hAnsi="Times New Roman" w:cs="Times New Roman"/>
          <w:sz w:val="24"/>
          <w:szCs w:val="24"/>
        </w:rPr>
        <w:instrText>child benefit</w:instrText>
      </w:r>
      <w:r w:rsidR="004152F7">
        <w:instrText xml:space="preserve">" </w:instrText>
      </w:r>
      <w:r w:rsidR="004152F7">
        <w:rPr>
          <w:rFonts w:ascii="Times New Roman" w:hAnsi="Times New Roman" w:cs="Times New Roman"/>
          <w:sz w:val="24"/>
          <w:szCs w:val="24"/>
        </w:rPr>
        <w:fldChar w:fldCharType="end"/>
      </w:r>
      <w:r w:rsidRPr="00D76399">
        <w:rPr>
          <w:rFonts w:ascii="Times New Roman" w:hAnsi="Times New Roman" w:cs="Times New Roman"/>
          <w:sz w:val="24"/>
          <w:szCs w:val="24"/>
        </w:rPr>
        <w:t xml:space="preserve"> </w:t>
      </w:r>
      <w:r w:rsidR="00E67DF0">
        <w:rPr>
          <w:rFonts w:ascii="Times New Roman" w:hAnsi="Times New Roman" w:cs="Times New Roman"/>
          <w:sz w:val="24"/>
          <w:szCs w:val="24"/>
        </w:rPr>
        <w:t xml:space="preserve">until 2013 </w:t>
      </w:r>
      <w:r w:rsidRPr="00D76399">
        <w:rPr>
          <w:rFonts w:ascii="Times New Roman" w:hAnsi="Times New Roman" w:cs="Times New Roman"/>
          <w:sz w:val="24"/>
          <w:szCs w:val="24"/>
        </w:rPr>
        <w:t xml:space="preserve">and remove it from the better off, cut </w:t>
      </w:r>
      <w:r w:rsidR="00CB1968" w:rsidRPr="00D76399">
        <w:rPr>
          <w:rFonts w:ascii="Times New Roman" w:hAnsi="Times New Roman" w:cs="Times New Roman"/>
          <w:sz w:val="24"/>
          <w:szCs w:val="24"/>
        </w:rPr>
        <w:t>working families tax credit</w:t>
      </w:r>
      <w:r w:rsidRPr="00D76399">
        <w:rPr>
          <w:rFonts w:ascii="Times New Roman" w:hAnsi="Times New Roman" w:cs="Times New Roman"/>
          <w:sz w:val="24"/>
          <w:szCs w:val="24"/>
        </w:rPr>
        <w:t xml:space="preserve">, reduce the social housing budget by three-quarters (IFS 2011 Table 6.2) and introduce harsher entitlement rules and a series of cuts to housing benefit that will limit entitlement for single </w:t>
      </w:r>
      <w:r w:rsidR="00436D0F">
        <w:rPr>
          <w:rFonts w:ascii="Times New Roman" w:hAnsi="Times New Roman" w:cs="Times New Roman"/>
          <w:sz w:val="24"/>
          <w:szCs w:val="24"/>
        </w:rPr>
        <w:t xml:space="preserve">and for younger </w:t>
      </w:r>
      <w:r w:rsidR="00581E72" w:rsidRPr="00D76399">
        <w:rPr>
          <w:rFonts w:ascii="Times New Roman" w:hAnsi="Times New Roman" w:cs="Times New Roman"/>
          <w:sz w:val="24"/>
          <w:szCs w:val="24"/>
        </w:rPr>
        <w:t>people,</w:t>
      </w:r>
      <w:r w:rsidRPr="00D76399">
        <w:rPr>
          <w:rFonts w:ascii="Times New Roman" w:hAnsi="Times New Roman" w:cs="Times New Roman"/>
          <w:sz w:val="24"/>
          <w:szCs w:val="24"/>
        </w:rPr>
        <w:t xml:space="preserve"> make it difficult to claim outside low income areas and for many kinds of housing and reduce benefit levels sharply.</w:t>
      </w:r>
      <w:r w:rsidR="00581E72">
        <w:rPr>
          <w:rFonts w:ascii="Times New Roman" w:hAnsi="Times New Roman" w:cs="Times New Roman"/>
          <w:sz w:val="24"/>
          <w:szCs w:val="24"/>
        </w:rPr>
        <w:t xml:space="preserve"> These cuts impact</w:t>
      </w:r>
      <w:r w:rsidR="00CD4C3B">
        <w:rPr>
          <w:rFonts w:ascii="Times New Roman" w:hAnsi="Times New Roman" w:cs="Times New Roman"/>
          <w:sz w:val="24"/>
          <w:szCs w:val="24"/>
        </w:rPr>
        <w:t xml:space="preserve"> particularly severely on women</w:t>
      </w:r>
      <w:r w:rsidR="004152F7">
        <w:rPr>
          <w:rFonts w:ascii="Times New Roman" w:hAnsi="Times New Roman" w:cs="Times New Roman"/>
          <w:sz w:val="24"/>
          <w:szCs w:val="24"/>
        </w:rPr>
        <w:fldChar w:fldCharType="begin"/>
      </w:r>
      <w:r w:rsidR="004152F7">
        <w:instrText xml:space="preserve"> XE "</w:instrText>
      </w:r>
      <w:r w:rsidR="004152F7" w:rsidRPr="008104CE">
        <w:rPr>
          <w:rFonts w:ascii="Times New Roman" w:hAnsi="Times New Roman" w:cs="Times New Roman"/>
          <w:sz w:val="24"/>
          <w:szCs w:val="24"/>
        </w:rPr>
        <w:instrText>women</w:instrText>
      </w:r>
      <w:r w:rsidR="004152F7">
        <w:instrText xml:space="preserve">" </w:instrText>
      </w:r>
      <w:r w:rsidR="004152F7">
        <w:rPr>
          <w:rFonts w:ascii="Times New Roman" w:hAnsi="Times New Roman" w:cs="Times New Roman"/>
          <w:sz w:val="24"/>
          <w:szCs w:val="24"/>
        </w:rPr>
        <w:fldChar w:fldCharType="end"/>
      </w:r>
      <w:r w:rsidR="00CD4C3B">
        <w:rPr>
          <w:rFonts w:ascii="Times New Roman" w:hAnsi="Times New Roman" w:cs="Times New Roman"/>
          <w:sz w:val="24"/>
          <w:szCs w:val="24"/>
        </w:rPr>
        <w:t xml:space="preserve">, </w:t>
      </w:r>
      <w:r w:rsidR="00581E72">
        <w:rPr>
          <w:rFonts w:ascii="Times New Roman" w:hAnsi="Times New Roman" w:cs="Times New Roman"/>
          <w:sz w:val="24"/>
          <w:szCs w:val="24"/>
        </w:rPr>
        <w:t>who are the main recipients of child benefit</w:t>
      </w:r>
      <w:r w:rsidR="000746EB">
        <w:rPr>
          <w:rFonts w:ascii="Times New Roman" w:hAnsi="Times New Roman" w:cs="Times New Roman"/>
          <w:sz w:val="24"/>
          <w:szCs w:val="24"/>
        </w:rPr>
        <w:t>,</w:t>
      </w:r>
      <w:r w:rsidR="00581E72">
        <w:rPr>
          <w:rFonts w:ascii="Times New Roman" w:hAnsi="Times New Roman" w:cs="Times New Roman"/>
          <w:sz w:val="24"/>
          <w:szCs w:val="24"/>
        </w:rPr>
        <w:t xml:space="preserve"> tax credit </w:t>
      </w:r>
      <w:r w:rsidR="000746EB">
        <w:rPr>
          <w:rFonts w:ascii="Times New Roman" w:hAnsi="Times New Roman" w:cs="Times New Roman"/>
          <w:sz w:val="24"/>
          <w:szCs w:val="24"/>
        </w:rPr>
        <w:t>and housing benefit</w:t>
      </w:r>
      <w:r w:rsidR="005B2DCA">
        <w:rPr>
          <w:rFonts w:ascii="Times New Roman" w:hAnsi="Times New Roman" w:cs="Times New Roman"/>
          <w:sz w:val="24"/>
          <w:szCs w:val="24"/>
        </w:rPr>
        <w:fldChar w:fldCharType="begin"/>
      </w:r>
      <w:r w:rsidR="005B2DCA">
        <w:instrText xml:space="preserve"> XE "</w:instrText>
      </w:r>
      <w:r w:rsidR="006848DE">
        <w:rPr>
          <w:rFonts w:ascii="Times New Roman" w:hAnsi="Times New Roman" w:cs="Times New Roman"/>
          <w:sz w:val="24"/>
          <w:szCs w:val="24"/>
        </w:rPr>
        <w:instrText>H</w:instrText>
      </w:r>
      <w:r w:rsidR="005B2DCA" w:rsidRPr="00026582">
        <w:rPr>
          <w:rFonts w:ascii="Times New Roman" w:hAnsi="Times New Roman" w:cs="Times New Roman"/>
          <w:sz w:val="24"/>
          <w:szCs w:val="24"/>
        </w:rPr>
        <w:instrText xml:space="preserve">ousing </w:instrText>
      </w:r>
      <w:r w:rsidR="006848DE">
        <w:rPr>
          <w:rFonts w:ascii="Times New Roman" w:hAnsi="Times New Roman" w:cs="Times New Roman"/>
          <w:sz w:val="24"/>
          <w:szCs w:val="24"/>
        </w:rPr>
        <w:instrText>B</w:instrText>
      </w:r>
      <w:r w:rsidR="005B2DCA" w:rsidRPr="00026582">
        <w:rPr>
          <w:rFonts w:ascii="Times New Roman" w:hAnsi="Times New Roman" w:cs="Times New Roman"/>
          <w:sz w:val="24"/>
          <w:szCs w:val="24"/>
        </w:rPr>
        <w:instrText>enefit</w:instrText>
      </w:r>
      <w:r w:rsidR="005B2DCA">
        <w:instrText xml:space="preserve">" </w:instrText>
      </w:r>
      <w:r w:rsidR="005B2DCA">
        <w:rPr>
          <w:rFonts w:ascii="Times New Roman" w:hAnsi="Times New Roman" w:cs="Times New Roman"/>
          <w:sz w:val="24"/>
          <w:szCs w:val="24"/>
        </w:rPr>
        <w:fldChar w:fldCharType="end"/>
      </w:r>
      <w:r w:rsidR="000746EB">
        <w:rPr>
          <w:rFonts w:ascii="Times New Roman" w:hAnsi="Times New Roman" w:cs="Times New Roman"/>
          <w:sz w:val="24"/>
          <w:szCs w:val="24"/>
        </w:rPr>
        <w:t xml:space="preserve">, </w:t>
      </w:r>
      <w:r w:rsidR="00581E72">
        <w:rPr>
          <w:rFonts w:ascii="Times New Roman" w:hAnsi="Times New Roman" w:cs="Times New Roman"/>
          <w:sz w:val="24"/>
          <w:szCs w:val="24"/>
        </w:rPr>
        <w:t>and make up some ni</w:t>
      </w:r>
      <w:r w:rsidR="00CD4C3B">
        <w:rPr>
          <w:rFonts w:ascii="Times New Roman" w:hAnsi="Times New Roman" w:cs="Times New Roman"/>
          <w:sz w:val="24"/>
          <w:szCs w:val="24"/>
        </w:rPr>
        <w:t>nety per cent of single parents,</w:t>
      </w:r>
      <w:r w:rsidR="00581E72">
        <w:rPr>
          <w:rFonts w:ascii="Times New Roman" w:hAnsi="Times New Roman" w:cs="Times New Roman"/>
          <w:sz w:val="24"/>
          <w:szCs w:val="24"/>
        </w:rPr>
        <w:t xml:space="preserve"> and children.</w:t>
      </w:r>
    </w:p>
    <w:p w:rsidR="00703A96" w:rsidRPr="00D76399" w:rsidRDefault="00703A96" w:rsidP="00F34DAD">
      <w:pPr>
        <w:jc w:val="left"/>
        <w:rPr>
          <w:rFonts w:ascii="Times New Roman" w:hAnsi="Times New Roman" w:cs="Times New Roman"/>
          <w:sz w:val="24"/>
          <w:szCs w:val="24"/>
        </w:rPr>
      </w:pPr>
    </w:p>
    <w:p w:rsidR="00703A96" w:rsidRPr="00D76399" w:rsidRDefault="00477340" w:rsidP="00F34DAD">
      <w:pPr>
        <w:jc w:val="left"/>
        <w:rPr>
          <w:rFonts w:ascii="Times New Roman" w:hAnsi="Times New Roman" w:cs="Times New Roman"/>
          <w:sz w:val="24"/>
          <w:szCs w:val="24"/>
        </w:rPr>
      </w:pPr>
      <w:r>
        <w:rPr>
          <w:rFonts w:ascii="Times New Roman" w:hAnsi="Times New Roman" w:cs="Times New Roman"/>
          <w:sz w:val="24"/>
          <w:szCs w:val="24"/>
        </w:rPr>
        <w:t>Changes to the benefit uprating</w:t>
      </w:r>
      <w:r w:rsidR="005E0406">
        <w:rPr>
          <w:rFonts w:ascii="Times New Roman" w:hAnsi="Times New Roman" w:cs="Times New Roman"/>
          <w:sz w:val="24"/>
          <w:szCs w:val="24"/>
        </w:rPr>
        <w:fldChar w:fldCharType="begin"/>
      </w:r>
      <w:r w:rsidR="00BA15F3">
        <w:instrText xml:space="preserve"> XE "</w:instrText>
      </w:r>
      <w:r w:rsidR="00BA15F3" w:rsidRPr="00065974">
        <w:rPr>
          <w:rFonts w:ascii="Times New Roman" w:hAnsi="Times New Roman" w:cs="Times New Roman"/>
          <w:sz w:val="24"/>
          <w:szCs w:val="24"/>
        </w:rPr>
        <w:instrText>benefit uprating</w:instrText>
      </w:r>
      <w:r w:rsidR="00BA15F3">
        <w:instrText xml:space="preserve">" </w:instrText>
      </w:r>
      <w:r w:rsidR="005E0406">
        <w:rPr>
          <w:rFonts w:ascii="Times New Roman" w:hAnsi="Times New Roman" w:cs="Times New Roman"/>
          <w:sz w:val="24"/>
          <w:szCs w:val="24"/>
        </w:rPr>
        <w:fldChar w:fldCharType="end"/>
      </w:r>
      <w:r>
        <w:rPr>
          <w:rFonts w:ascii="Times New Roman" w:hAnsi="Times New Roman" w:cs="Times New Roman"/>
          <w:sz w:val="24"/>
          <w:szCs w:val="24"/>
        </w:rPr>
        <w:t xml:space="preserve"> rules will result in further reductions in spending on benefits for people of working age that will continue to drive down costs indefinitely. </w:t>
      </w:r>
      <w:r w:rsidR="00970782">
        <w:rPr>
          <w:rFonts w:ascii="Times New Roman" w:hAnsi="Times New Roman" w:cs="Times New Roman"/>
          <w:sz w:val="24"/>
          <w:szCs w:val="24"/>
        </w:rPr>
        <w:t>Uprating</w:t>
      </w:r>
      <w:r>
        <w:rPr>
          <w:rFonts w:ascii="Times New Roman" w:hAnsi="Times New Roman" w:cs="Times New Roman"/>
          <w:sz w:val="24"/>
          <w:szCs w:val="24"/>
        </w:rPr>
        <w:t xml:space="preserve"> for pensions will be set at </w:t>
      </w:r>
      <w:r w:rsidR="00970782">
        <w:rPr>
          <w:rFonts w:ascii="Times New Roman" w:hAnsi="Times New Roman" w:cs="Times New Roman"/>
          <w:sz w:val="24"/>
          <w:szCs w:val="24"/>
        </w:rPr>
        <w:t>the</w:t>
      </w:r>
      <w:r>
        <w:rPr>
          <w:rFonts w:ascii="Times New Roman" w:hAnsi="Times New Roman" w:cs="Times New Roman"/>
          <w:sz w:val="24"/>
          <w:szCs w:val="24"/>
        </w:rPr>
        <w:t xml:space="preserve"> highest of the retail price index, rises in earnings or 2.5 per cent, ensuring that this group share the improvements in living </w:t>
      </w:r>
      <w:r w:rsidR="00970782">
        <w:rPr>
          <w:rFonts w:ascii="Times New Roman" w:hAnsi="Times New Roman" w:cs="Times New Roman"/>
          <w:sz w:val="24"/>
          <w:szCs w:val="24"/>
        </w:rPr>
        <w:t xml:space="preserve">standards of the mass of the population. Rises in benefits for those of working age (child benefit, housing benefit, job seeker’s allowance, income support and tax credits) will be limited to one per cent between 2013-14 and 2015-16 and then linked </w:t>
      </w:r>
      <w:r w:rsidR="00CD4C3B">
        <w:rPr>
          <w:rFonts w:ascii="Times New Roman" w:hAnsi="Times New Roman" w:cs="Times New Roman"/>
          <w:sz w:val="24"/>
          <w:szCs w:val="24"/>
        </w:rPr>
        <w:t>to the</w:t>
      </w:r>
      <w:r w:rsidR="00970782">
        <w:rPr>
          <w:rFonts w:ascii="Times New Roman" w:hAnsi="Times New Roman" w:cs="Times New Roman"/>
          <w:sz w:val="24"/>
          <w:szCs w:val="24"/>
        </w:rPr>
        <w:t xml:space="preserve"> </w:t>
      </w:r>
      <w:r w:rsidR="00703A96" w:rsidRPr="00D76399">
        <w:rPr>
          <w:rFonts w:ascii="Times New Roman" w:hAnsi="Times New Roman" w:cs="Times New Roman"/>
          <w:sz w:val="24"/>
          <w:szCs w:val="24"/>
        </w:rPr>
        <w:t>consumer price index</w:t>
      </w:r>
      <w:r w:rsidR="005E0406">
        <w:rPr>
          <w:rFonts w:ascii="Times New Roman" w:hAnsi="Times New Roman" w:cs="Times New Roman"/>
          <w:sz w:val="24"/>
          <w:szCs w:val="24"/>
        </w:rPr>
        <w:fldChar w:fldCharType="begin"/>
      </w:r>
      <w:r w:rsidR="00BA15F3">
        <w:instrText xml:space="preserve"> XE "</w:instrText>
      </w:r>
      <w:r w:rsidR="00BA15F3" w:rsidRPr="001A775B">
        <w:rPr>
          <w:rFonts w:ascii="Times New Roman" w:hAnsi="Times New Roman" w:cs="Times New Roman"/>
          <w:sz w:val="24"/>
          <w:szCs w:val="24"/>
        </w:rPr>
        <w:instrText>consumer price index</w:instrText>
      </w:r>
      <w:r w:rsidR="00BA15F3">
        <w:instrText xml:space="preserve">" </w:instrText>
      </w:r>
      <w:r w:rsidR="005E0406">
        <w:rPr>
          <w:rFonts w:ascii="Times New Roman" w:hAnsi="Times New Roman" w:cs="Times New Roman"/>
          <w:sz w:val="24"/>
          <w:szCs w:val="24"/>
        </w:rPr>
        <w:fldChar w:fldCharType="end"/>
      </w:r>
      <w:r w:rsidR="00970782">
        <w:rPr>
          <w:rFonts w:ascii="Times New Roman" w:hAnsi="Times New Roman" w:cs="Times New Roman"/>
          <w:sz w:val="24"/>
          <w:szCs w:val="24"/>
        </w:rPr>
        <w:t>. This</w:t>
      </w:r>
      <w:r w:rsidR="00703A96" w:rsidRPr="00D76399">
        <w:rPr>
          <w:rFonts w:ascii="Times New Roman" w:hAnsi="Times New Roman" w:cs="Times New Roman"/>
          <w:sz w:val="24"/>
          <w:szCs w:val="24"/>
        </w:rPr>
        <w:t xml:space="preserve"> </w:t>
      </w:r>
      <w:r w:rsidR="00CD4C3B">
        <w:rPr>
          <w:rFonts w:ascii="Times New Roman" w:hAnsi="Times New Roman" w:cs="Times New Roman"/>
          <w:sz w:val="24"/>
          <w:szCs w:val="24"/>
        </w:rPr>
        <w:t xml:space="preserve">index </w:t>
      </w:r>
      <w:r w:rsidR="00703A96" w:rsidRPr="00D76399">
        <w:rPr>
          <w:rFonts w:ascii="Times New Roman" w:hAnsi="Times New Roman" w:cs="Times New Roman"/>
          <w:sz w:val="24"/>
          <w:szCs w:val="24"/>
        </w:rPr>
        <w:t xml:space="preserve">does not include mortgage interest and calculates below the arithmetic average of prices for the items </w:t>
      </w:r>
      <w:r w:rsidR="00970782">
        <w:rPr>
          <w:rFonts w:ascii="Times New Roman" w:hAnsi="Times New Roman" w:cs="Times New Roman"/>
          <w:sz w:val="24"/>
          <w:szCs w:val="24"/>
        </w:rPr>
        <w:t>included</w:t>
      </w:r>
      <w:r w:rsidR="00703A96" w:rsidRPr="00D76399">
        <w:rPr>
          <w:rFonts w:ascii="Times New Roman" w:hAnsi="Times New Roman" w:cs="Times New Roman"/>
          <w:sz w:val="24"/>
          <w:szCs w:val="24"/>
        </w:rPr>
        <w:t xml:space="preserve"> on the assumption that purchasers will </w:t>
      </w:r>
      <w:r w:rsidR="000746EB">
        <w:rPr>
          <w:rFonts w:ascii="Times New Roman" w:hAnsi="Times New Roman" w:cs="Times New Roman"/>
          <w:sz w:val="24"/>
          <w:szCs w:val="24"/>
        </w:rPr>
        <w:t xml:space="preserve">continually </w:t>
      </w:r>
      <w:r w:rsidR="00703A96" w:rsidRPr="00D76399">
        <w:rPr>
          <w:rFonts w:ascii="Times New Roman" w:hAnsi="Times New Roman" w:cs="Times New Roman"/>
          <w:sz w:val="24"/>
          <w:szCs w:val="24"/>
        </w:rPr>
        <w:t xml:space="preserve">substitute cheaper for more expensive ones. The projected outcome is to reduce </w:t>
      </w:r>
      <w:r w:rsidR="00B23437">
        <w:rPr>
          <w:rFonts w:ascii="Times New Roman" w:hAnsi="Times New Roman" w:cs="Times New Roman"/>
          <w:sz w:val="24"/>
          <w:szCs w:val="24"/>
        </w:rPr>
        <w:t>the rate at which benefits</w:t>
      </w:r>
      <w:r w:rsidR="00703A96" w:rsidRPr="00D76399">
        <w:rPr>
          <w:rFonts w:ascii="Times New Roman" w:hAnsi="Times New Roman" w:cs="Times New Roman"/>
          <w:sz w:val="24"/>
          <w:szCs w:val="24"/>
        </w:rPr>
        <w:t xml:space="preserve"> rise</w:t>
      </w:r>
      <w:r w:rsidR="00B23437">
        <w:rPr>
          <w:rFonts w:ascii="Times New Roman" w:hAnsi="Times New Roman" w:cs="Times New Roman"/>
          <w:sz w:val="24"/>
          <w:szCs w:val="24"/>
        </w:rPr>
        <w:t xml:space="preserve"> every year by</w:t>
      </w:r>
      <w:r w:rsidR="00703A96" w:rsidRPr="00D76399">
        <w:rPr>
          <w:rFonts w:ascii="Times New Roman" w:hAnsi="Times New Roman" w:cs="Times New Roman"/>
          <w:sz w:val="24"/>
          <w:szCs w:val="24"/>
        </w:rPr>
        <w:t xml:space="preserve"> between one and two per cent indefinitely. Lower-income families </w:t>
      </w:r>
      <w:r w:rsidR="00970782">
        <w:rPr>
          <w:rFonts w:ascii="Times New Roman" w:hAnsi="Times New Roman" w:cs="Times New Roman"/>
          <w:sz w:val="24"/>
          <w:szCs w:val="24"/>
        </w:rPr>
        <w:t xml:space="preserve">of working age </w:t>
      </w:r>
      <w:r w:rsidR="00703A96" w:rsidRPr="00D76399">
        <w:rPr>
          <w:rFonts w:ascii="Times New Roman" w:hAnsi="Times New Roman" w:cs="Times New Roman"/>
          <w:sz w:val="24"/>
          <w:szCs w:val="24"/>
        </w:rPr>
        <w:t xml:space="preserve">will experience harsh immediate cuts in living standards and a continuing downward pressure, which will exacerbate </w:t>
      </w:r>
      <w:r w:rsidR="00970782">
        <w:rPr>
          <w:rFonts w:ascii="Times New Roman" w:hAnsi="Times New Roman" w:cs="Times New Roman"/>
          <w:sz w:val="24"/>
          <w:szCs w:val="24"/>
        </w:rPr>
        <w:t>the division</w:t>
      </w:r>
      <w:r w:rsidR="00703A96" w:rsidRPr="00D76399">
        <w:rPr>
          <w:rFonts w:ascii="Times New Roman" w:hAnsi="Times New Roman" w:cs="Times New Roman"/>
          <w:sz w:val="24"/>
          <w:szCs w:val="24"/>
        </w:rPr>
        <w:t xml:space="preserve"> between better and worse</w:t>
      </w:r>
      <w:r w:rsidR="00970782">
        <w:rPr>
          <w:rFonts w:ascii="Times New Roman" w:hAnsi="Times New Roman" w:cs="Times New Roman"/>
          <w:sz w:val="24"/>
          <w:szCs w:val="24"/>
        </w:rPr>
        <w:t>-</w:t>
      </w:r>
      <w:r w:rsidR="00703A96" w:rsidRPr="00D76399">
        <w:rPr>
          <w:rFonts w:ascii="Times New Roman" w:hAnsi="Times New Roman" w:cs="Times New Roman"/>
          <w:sz w:val="24"/>
          <w:szCs w:val="24"/>
        </w:rPr>
        <w:t>off groups.</w:t>
      </w:r>
      <w:r w:rsidR="00CD4C3B">
        <w:rPr>
          <w:rFonts w:ascii="Times New Roman" w:hAnsi="Times New Roman" w:cs="Times New Roman"/>
          <w:sz w:val="24"/>
          <w:szCs w:val="24"/>
        </w:rPr>
        <w:t xml:space="preserve"> About two-thirds of the money saved will come from benefits paid to women</w:t>
      </w:r>
      <w:r w:rsidR="005E0406">
        <w:rPr>
          <w:rFonts w:ascii="Times New Roman" w:hAnsi="Times New Roman" w:cs="Times New Roman"/>
          <w:sz w:val="24"/>
          <w:szCs w:val="24"/>
        </w:rPr>
        <w:fldChar w:fldCharType="begin"/>
      </w:r>
      <w:r w:rsidR="003E1115">
        <w:instrText xml:space="preserve"> XE "</w:instrText>
      </w:r>
      <w:r w:rsidR="003E1115" w:rsidRPr="006B7992">
        <w:rPr>
          <w:rFonts w:ascii="Times New Roman" w:hAnsi="Times New Roman" w:cs="Times New Roman"/>
          <w:sz w:val="24"/>
          <w:szCs w:val="24"/>
        </w:rPr>
        <w:instrText>women</w:instrText>
      </w:r>
      <w:r w:rsidR="003E1115">
        <w:instrText xml:space="preserve">" </w:instrText>
      </w:r>
      <w:r w:rsidR="005E0406">
        <w:rPr>
          <w:rFonts w:ascii="Times New Roman" w:hAnsi="Times New Roman" w:cs="Times New Roman"/>
          <w:sz w:val="24"/>
          <w:szCs w:val="24"/>
        </w:rPr>
        <w:fldChar w:fldCharType="end"/>
      </w:r>
      <w:r w:rsidR="00CD4C3B">
        <w:rPr>
          <w:rFonts w:ascii="Times New Roman" w:hAnsi="Times New Roman" w:cs="Times New Roman"/>
          <w:sz w:val="24"/>
          <w:szCs w:val="24"/>
        </w:rPr>
        <w:t xml:space="preserve"> (WBG</w:t>
      </w:r>
      <w:r w:rsidR="007F76FC">
        <w:rPr>
          <w:rFonts w:ascii="Times New Roman" w:hAnsi="Times New Roman" w:cs="Times New Roman"/>
          <w:sz w:val="24"/>
          <w:szCs w:val="24"/>
        </w:rPr>
        <w:fldChar w:fldCharType="begin"/>
      </w:r>
      <w:r w:rsidR="007F76FC">
        <w:instrText xml:space="preserve"> XE "</w:instrText>
      </w:r>
      <w:r w:rsidR="007F76FC" w:rsidRPr="00A9578E">
        <w:rPr>
          <w:rFonts w:ascii="Times New Roman" w:hAnsi="Times New Roman" w:cs="Times New Roman"/>
          <w:sz w:val="24"/>
          <w:szCs w:val="24"/>
        </w:rPr>
        <w:instrText>WBG</w:instrText>
      </w:r>
      <w:r w:rsidR="007F76FC">
        <w:instrText xml:space="preserve">" </w:instrText>
      </w:r>
      <w:r w:rsidR="007F76FC">
        <w:rPr>
          <w:rFonts w:ascii="Times New Roman" w:hAnsi="Times New Roman" w:cs="Times New Roman"/>
          <w:sz w:val="24"/>
          <w:szCs w:val="24"/>
        </w:rPr>
        <w:fldChar w:fldCharType="end"/>
      </w:r>
      <w:r w:rsidR="00CD4C3B">
        <w:rPr>
          <w:rFonts w:ascii="Times New Roman" w:hAnsi="Times New Roman" w:cs="Times New Roman"/>
          <w:sz w:val="24"/>
          <w:szCs w:val="24"/>
        </w:rPr>
        <w:t xml:space="preserve"> 2012b, 3).</w:t>
      </w:r>
    </w:p>
    <w:p w:rsidR="00703A96" w:rsidRPr="00D76399" w:rsidRDefault="00703A96" w:rsidP="00F34DAD">
      <w:pPr>
        <w:jc w:val="left"/>
        <w:rPr>
          <w:rFonts w:ascii="Times New Roman" w:hAnsi="Times New Roman" w:cs="Times New Roman"/>
          <w:i/>
          <w:sz w:val="24"/>
          <w:szCs w:val="24"/>
        </w:rPr>
      </w:pPr>
    </w:p>
    <w:p w:rsidR="00D464C8" w:rsidRDefault="00970782" w:rsidP="00F34DAD">
      <w:pPr>
        <w:jc w:val="left"/>
        <w:rPr>
          <w:rFonts w:ascii="Times New Roman" w:hAnsi="Times New Roman" w:cs="Times New Roman"/>
          <w:sz w:val="24"/>
          <w:szCs w:val="24"/>
        </w:rPr>
      </w:pPr>
      <w:r>
        <w:rPr>
          <w:rFonts w:ascii="Times New Roman" w:hAnsi="Times New Roman" w:cs="Times New Roman"/>
          <w:sz w:val="24"/>
          <w:szCs w:val="24"/>
        </w:rPr>
        <w:t xml:space="preserve">The division between welfare for working age poor and for pensioners will be embodied in a re-configuration of the benefit system. </w:t>
      </w:r>
      <w:r w:rsidR="00703A96" w:rsidRPr="00D76399">
        <w:rPr>
          <w:rFonts w:ascii="Times New Roman" w:hAnsi="Times New Roman" w:cs="Times New Roman"/>
          <w:sz w:val="24"/>
          <w:szCs w:val="24"/>
        </w:rPr>
        <w:t>All benefits except child benefit and those for pensioners will be combined into a new Universal Credit</w:t>
      </w:r>
      <w:r w:rsidR="005E0406">
        <w:rPr>
          <w:rFonts w:ascii="Times New Roman" w:hAnsi="Times New Roman" w:cs="Times New Roman"/>
          <w:sz w:val="24"/>
          <w:szCs w:val="24"/>
        </w:rPr>
        <w:fldChar w:fldCharType="begin"/>
      </w:r>
      <w:r w:rsidR="00BA15F3">
        <w:instrText xml:space="preserve"> XE "</w:instrText>
      </w:r>
      <w:r w:rsidR="00BA15F3" w:rsidRPr="001F4E8D">
        <w:rPr>
          <w:rFonts w:ascii="Times New Roman" w:hAnsi="Times New Roman" w:cs="Times New Roman"/>
          <w:sz w:val="24"/>
          <w:szCs w:val="24"/>
        </w:rPr>
        <w:instrText>Universal Credit</w:instrText>
      </w:r>
      <w:r w:rsidR="00BA15F3">
        <w:instrText xml:space="preserve">" </w:instrText>
      </w:r>
      <w:r w:rsidR="005E0406">
        <w:rPr>
          <w:rFonts w:ascii="Times New Roman" w:hAnsi="Times New Roman" w:cs="Times New Roman"/>
          <w:sz w:val="24"/>
          <w:szCs w:val="24"/>
        </w:rPr>
        <w:fldChar w:fldCharType="end"/>
      </w:r>
      <w:r w:rsidR="00703A96" w:rsidRPr="00D76399">
        <w:rPr>
          <w:rFonts w:ascii="Times New Roman" w:hAnsi="Times New Roman" w:cs="Times New Roman"/>
          <w:sz w:val="24"/>
          <w:szCs w:val="24"/>
        </w:rPr>
        <w:t xml:space="preserve"> from 2013. The new system will have the advantages of simplicity and transparency and will mitigate slightly the ‘poverty trap’</w:t>
      </w:r>
      <w:r w:rsidR="00E67DF0">
        <w:rPr>
          <w:rFonts w:ascii="Times New Roman" w:hAnsi="Times New Roman" w:cs="Times New Roman"/>
          <w:sz w:val="24"/>
          <w:szCs w:val="24"/>
        </w:rPr>
        <w:t xml:space="preserve">, </w:t>
      </w:r>
      <w:r w:rsidR="00703A96" w:rsidRPr="00D76399">
        <w:rPr>
          <w:rFonts w:ascii="Times New Roman" w:hAnsi="Times New Roman" w:cs="Times New Roman"/>
          <w:sz w:val="24"/>
          <w:szCs w:val="24"/>
        </w:rPr>
        <w:t>whereby people moving off benefit into paid work may only experience a small increase in net income because they risk losing</w:t>
      </w:r>
      <w:r w:rsidR="00E83547">
        <w:rPr>
          <w:rFonts w:ascii="Times New Roman" w:hAnsi="Times New Roman" w:cs="Times New Roman"/>
          <w:sz w:val="24"/>
          <w:szCs w:val="24"/>
        </w:rPr>
        <w:t xml:space="preserve"> </w:t>
      </w:r>
      <w:r w:rsidR="00703A96" w:rsidRPr="00D76399">
        <w:rPr>
          <w:rFonts w:ascii="Times New Roman" w:hAnsi="Times New Roman" w:cs="Times New Roman"/>
          <w:sz w:val="24"/>
          <w:szCs w:val="24"/>
        </w:rPr>
        <w:t xml:space="preserve">benefits nearly pound for pound against any extra money they earn. Of the 7.1 million people likely to be claiming the benefit, some 2.9 million working-age families will experience a short-term net gain, against some 1.8 million, mainly single people, who will lose out (IFS 2012c). However the cuts in uprating and other </w:t>
      </w:r>
      <w:r w:rsidR="00703A96" w:rsidRPr="00D76399">
        <w:rPr>
          <w:rFonts w:ascii="Times New Roman" w:hAnsi="Times New Roman" w:cs="Times New Roman"/>
          <w:sz w:val="24"/>
          <w:szCs w:val="24"/>
        </w:rPr>
        <w:lastRenderedPageBreak/>
        <w:t xml:space="preserve">restrictions </w:t>
      </w:r>
      <w:r w:rsidR="00B23437">
        <w:rPr>
          <w:rFonts w:ascii="Times New Roman" w:hAnsi="Times New Roman" w:cs="Times New Roman"/>
          <w:sz w:val="24"/>
          <w:szCs w:val="24"/>
        </w:rPr>
        <w:t xml:space="preserve">described above </w:t>
      </w:r>
      <w:r w:rsidR="00703A96" w:rsidRPr="00D76399">
        <w:rPr>
          <w:rFonts w:ascii="Times New Roman" w:hAnsi="Times New Roman" w:cs="Times New Roman"/>
          <w:sz w:val="24"/>
          <w:szCs w:val="24"/>
        </w:rPr>
        <w:t>will continue to drive down living standards for the poor.</w:t>
      </w:r>
      <w:r w:rsidR="00477340">
        <w:rPr>
          <w:rFonts w:ascii="Times New Roman" w:hAnsi="Times New Roman" w:cs="Times New Roman"/>
          <w:sz w:val="24"/>
          <w:szCs w:val="24"/>
        </w:rPr>
        <w:t xml:space="preserve"> Th</w:t>
      </w:r>
      <w:r w:rsidR="000746EB">
        <w:rPr>
          <w:rFonts w:ascii="Times New Roman" w:hAnsi="Times New Roman" w:cs="Times New Roman"/>
          <w:sz w:val="24"/>
          <w:szCs w:val="24"/>
        </w:rPr>
        <w:t>e pressures on benefits will be intensified</w:t>
      </w:r>
      <w:r w:rsidR="00477340">
        <w:rPr>
          <w:rFonts w:ascii="Times New Roman" w:hAnsi="Times New Roman" w:cs="Times New Roman"/>
          <w:sz w:val="24"/>
          <w:szCs w:val="24"/>
        </w:rPr>
        <w:t xml:space="preserve"> by further cuts in the 2013 budget of about</w:t>
      </w:r>
      <w:r>
        <w:rPr>
          <w:rFonts w:ascii="Times New Roman" w:hAnsi="Times New Roman" w:cs="Times New Roman"/>
          <w:sz w:val="24"/>
          <w:szCs w:val="24"/>
        </w:rPr>
        <w:t xml:space="preserve"> £1.2bn (Adam 2012). </w:t>
      </w:r>
      <w:r w:rsidR="00D464C8">
        <w:rPr>
          <w:rFonts w:ascii="Times New Roman" w:hAnsi="Times New Roman" w:cs="Times New Roman"/>
          <w:sz w:val="24"/>
          <w:szCs w:val="24"/>
        </w:rPr>
        <w:t xml:space="preserve">Current proposals will direct the new benefit to the chief earner in the household, typically a male partner in a couple, so that women will tend to lose </w:t>
      </w:r>
      <w:r w:rsidR="00CD4C3B">
        <w:rPr>
          <w:rFonts w:ascii="Times New Roman" w:hAnsi="Times New Roman" w:cs="Times New Roman"/>
          <w:sz w:val="24"/>
          <w:szCs w:val="24"/>
        </w:rPr>
        <w:t>control</w:t>
      </w:r>
      <w:r w:rsidR="00D464C8">
        <w:rPr>
          <w:rFonts w:ascii="Times New Roman" w:hAnsi="Times New Roman" w:cs="Times New Roman"/>
          <w:sz w:val="24"/>
          <w:szCs w:val="24"/>
        </w:rPr>
        <w:t xml:space="preserve"> over benefit incomes (WBG 2011b). DWP</w:t>
      </w:r>
      <w:r w:rsidR="007F76FC">
        <w:rPr>
          <w:rFonts w:ascii="Times New Roman" w:hAnsi="Times New Roman" w:cs="Times New Roman"/>
          <w:sz w:val="24"/>
          <w:szCs w:val="24"/>
        </w:rPr>
        <w:fldChar w:fldCharType="begin"/>
      </w:r>
      <w:r w:rsidR="007F76FC">
        <w:instrText xml:space="preserve"> XE "</w:instrText>
      </w:r>
      <w:r w:rsidR="007F76FC" w:rsidRPr="008D6363">
        <w:rPr>
          <w:rFonts w:ascii="Times New Roman" w:hAnsi="Times New Roman" w:cs="Times New Roman"/>
          <w:sz w:val="24"/>
          <w:szCs w:val="24"/>
        </w:rPr>
        <w:instrText>DWP</w:instrText>
      </w:r>
      <w:r w:rsidR="007F76FC">
        <w:instrText xml:space="preserve">" </w:instrText>
      </w:r>
      <w:r w:rsidR="007F76FC">
        <w:rPr>
          <w:rFonts w:ascii="Times New Roman" w:hAnsi="Times New Roman" w:cs="Times New Roman"/>
          <w:sz w:val="24"/>
          <w:szCs w:val="24"/>
        </w:rPr>
        <w:fldChar w:fldCharType="end"/>
      </w:r>
      <w:r w:rsidR="00D464C8">
        <w:rPr>
          <w:rFonts w:ascii="Times New Roman" w:hAnsi="Times New Roman" w:cs="Times New Roman"/>
          <w:sz w:val="24"/>
          <w:szCs w:val="24"/>
        </w:rPr>
        <w:t xml:space="preserve"> modelling shows that the rates at which benefits are lost if income rises are on average higher for women, so that the incentive to work more is reduced, again leading to outcomes in which women are more dependent on men (DWP 2011a,16).</w:t>
      </w:r>
    </w:p>
    <w:p w:rsidR="004256BD" w:rsidRDefault="004256BD" w:rsidP="00F34DAD">
      <w:pPr>
        <w:jc w:val="left"/>
        <w:rPr>
          <w:rFonts w:ascii="Times New Roman" w:hAnsi="Times New Roman" w:cs="Times New Roman"/>
          <w:sz w:val="24"/>
          <w:szCs w:val="24"/>
        </w:rPr>
      </w:pPr>
    </w:p>
    <w:p w:rsidR="004256BD" w:rsidRDefault="00AF6CB2" w:rsidP="004B384E">
      <w:pPr>
        <w:jc w:val="left"/>
        <w:rPr>
          <w:rFonts w:ascii="Times New Roman" w:hAnsi="Times New Roman" w:cs="Times New Roman"/>
          <w:sz w:val="24"/>
          <w:szCs w:val="24"/>
        </w:rPr>
      </w:pPr>
      <w:r>
        <w:rPr>
          <w:rFonts w:ascii="Times New Roman" w:hAnsi="Times New Roman" w:cs="Times New Roman"/>
          <w:sz w:val="24"/>
          <w:szCs w:val="24"/>
        </w:rPr>
        <w:t>New policies cut back means-testing for pension</w:t>
      </w:r>
      <w:r w:rsidR="005E0406">
        <w:rPr>
          <w:rFonts w:ascii="Times New Roman" w:hAnsi="Times New Roman" w:cs="Times New Roman"/>
          <w:sz w:val="24"/>
          <w:szCs w:val="24"/>
        </w:rPr>
        <w:fldChar w:fldCharType="begin"/>
      </w:r>
      <w:r w:rsidR="003E1115">
        <w:instrText xml:space="preserve"> XE "</w:instrText>
      </w:r>
      <w:r w:rsidR="003E1115" w:rsidRPr="0077668C">
        <w:rPr>
          <w:rFonts w:ascii="Times New Roman" w:hAnsi="Times New Roman" w:cs="Times New Roman"/>
          <w:sz w:val="24"/>
          <w:szCs w:val="24"/>
        </w:rPr>
        <w:instrText>pension</w:instrText>
      </w:r>
      <w:r w:rsidR="003E1115">
        <w:instrText xml:space="preserve">" </w:instrText>
      </w:r>
      <w:r w:rsidR="005E0406">
        <w:rPr>
          <w:rFonts w:ascii="Times New Roman" w:hAnsi="Times New Roman" w:cs="Times New Roman"/>
          <w:sz w:val="24"/>
          <w:szCs w:val="24"/>
        </w:rPr>
        <w:fldChar w:fldCharType="end"/>
      </w:r>
      <w:r>
        <w:rPr>
          <w:rFonts w:ascii="Times New Roman" w:hAnsi="Times New Roman" w:cs="Times New Roman"/>
          <w:sz w:val="24"/>
          <w:szCs w:val="24"/>
        </w:rPr>
        <w:t xml:space="preserve">ers just as they extend it for those of working age. </w:t>
      </w:r>
      <w:r w:rsidR="004256BD">
        <w:rPr>
          <w:rFonts w:ascii="Times New Roman" w:hAnsi="Times New Roman" w:cs="Times New Roman"/>
          <w:sz w:val="24"/>
          <w:szCs w:val="24"/>
        </w:rPr>
        <w:t>A new single-tier</w:t>
      </w:r>
      <w:r w:rsidR="004C5788">
        <w:rPr>
          <w:rFonts w:ascii="Times New Roman" w:hAnsi="Times New Roman" w:cs="Times New Roman"/>
          <w:sz w:val="24"/>
          <w:szCs w:val="24"/>
        </w:rPr>
        <w:fldChar w:fldCharType="begin"/>
      </w:r>
      <w:r w:rsidR="004C5788">
        <w:instrText xml:space="preserve"> XE "</w:instrText>
      </w:r>
      <w:r w:rsidR="004C5788" w:rsidRPr="00BA2E9A">
        <w:rPr>
          <w:rFonts w:ascii="Times New Roman" w:hAnsi="Times New Roman" w:cs="Times New Roman"/>
          <w:sz w:val="24"/>
          <w:szCs w:val="24"/>
        </w:rPr>
        <w:instrText>pension:</w:instrText>
      </w:r>
      <w:r w:rsidR="004C5788" w:rsidRPr="00BA2E9A">
        <w:instrText>single-tier</w:instrText>
      </w:r>
      <w:r w:rsidR="004C5788">
        <w:instrText xml:space="preserve">" </w:instrText>
      </w:r>
      <w:r w:rsidR="004C5788">
        <w:rPr>
          <w:rFonts w:ascii="Times New Roman" w:hAnsi="Times New Roman" w:cs="Times New Roman"/>
          <w:sz w:val="24"/>
          <w:szCs w:val="24"/>
        </w:rPr>
        <w:fldChar w:fldCharType="end"/>
      </w:r>
      <w:r w:rsidR="004256BD">
        <w:rPr>
          <w:rFonts w:ascii="Times New Roman" w:hAnsi="Times New Roman" w:cs="Times New Roman"/>
          <w:sz w:val="24"/>
          <w:szCs w:val="24"/>
        </w:rPr>
        <w:t xml:space="preserve"> flat-rate pension will be introduced in 2017, to replace the current National Insurance Basic, some of the means-tested Pension Credit to which those without other sources of income </w:t>
      </w:r>
      <w:r w:rsidR="004B5CF5">
        <w:rPr>
          <w:rFonts w:ascii="Times New Roman" w:hAnsi="Times New Roman" w:cs="Times New Roman"/>
          <w:sz w:val="24"/>
          <w:szCs w:val="24"/>
        </w:rPr>
        <w:t xml:space="preserve">are </w:t>
      </w:r>
      <w:r w:rsidR="004256BD">
        <w:rPr>
          <w:rFonts w:ascii="Times New Roman" w:hAnsi="Times New Roman" w:cs="Times New Roman"/>
          <w:sz w:val="24"/>
          <w:szCs w:val="24"/>
        </w:rPr>
        <w:t>entitle</w:t>
      </w:r>
      <w:r w:rsidR="004B5CF5">
        <w:rPr>
          <w:rFonts w:ascii="Times New Roman" w:hAnsi="Times New Roman" w:cs="Times New Roman"/>
          <w:sz w:val="24"/>
          <w:szCs w:val="24"/>
        </w:rPr>
        <w:t>d,</w:t>
      </w:r>
      <w:r w:rsidR="004256BD">
        <w:rPr>
          <w:rFonts w:ascii="Times New Roman" w:hAnsi="Times New Roman" w:cs="Times New Roman"/>
          <w:sz w:val="24"/>
          <w:szCs w:val="24"/>
        </w:rPr>
        <w:t xml:space="preserve"> and the additional State Second Pension</w:t>
      </w:r>
      <w:r w:rsidR="004B5CF5">
        <w:rPr>
          <w:rFonts w:ascii="Times New Roman" w:hAnsi="Times New Roman" w:cs="Times New Roman"/>
          <w:sz w:val="24"/>
          <w:szCs w:val="24"/>
        </w:rPr>
        <w:t xml:space="preserve"> to which those above a minimum income level contribute. The new pension has the advantage of simplicity and is set at a level slightly higher (some two pounds) than the amount all pensioners are entitled to under Pension Credit. It will benefit those on low incomes </w:t>
      </w:r>
      <w:r w:rsidR="00D862CE">
        <w:rPr>
          <w:rFonts w:ascii="Times New Roman" w:hAnsi="Times New Roman" w:cs="Times New Roman"/>
          <w:sz w:val="24"/>
          <w:szCs w:val="24"/>
        </w:rPr>
        <w:t xml:space="preserve">and self-employed people. It is unclear how many of those </w:t>
      </w:r>
      <w:r w:rsidR="004B5CF5">
        <w:rPr>
          <w:rFonts w:ascii="Times New Roman" w:hAnsi="Times New Roman" w:cs="Times New Roman"/>
          <w:sz w:val="24"/>
          <w:szCs w:val="24"/>
        </w:rPr>
        <w:t>with interrupted work records (mainly women) who c</w:t>
      </w:r>
      <w:r w:rsidR="00D862CE">
        <w:rPr>
          <w:rFonts w:ascii="Times New Roman" w:hAnsi="Times New Roman" w:cs="Times New Roman"/>
          <w:sz w:val="24"/>
          <w:szCs w:val="24"/>
        </w:rPr>
        <w:t>urrently rely on pension credit will gain from the reform. A</w:t>
      </w:r>
      <w:r w:rsidR="004B5CF5">
        <w:rPr>
          <w:rFonts w:ascii="Times New Roman" w:hAnsi="Times New Roman" w:cs="Times New Roman"/>
          <w:sz w:val="24"/>
          <w:szCs w:val="24"/>
        </w:rPr>
        <w:t xml:space="preserve"> 35 year contribution record is required to receive full </w:t>
      </w:r>
      <w:r>
        <w:rPr>
          <w:rFonts w:ascii="Times New Roman" w:hAnsi="Times New Roman" w:cs="Times New Roman"/>
          <w:sz w:val="24"/>
          <w:szCs w:val="24"/>
        </w:rPr>
        <w:t xml:space="preserve">single-tier </w:t>
      </w:r>
      <w:r w:rsidR="004B5CF5">
        <w:rPr>
          <w:rFonts w:ascii="Times New Roman" w:hAnsi="Times New Roman" w:cs="Times New Roman"/>
          <w:sz w:val="24"/>
          <w:szCs w:val="24"/>
        </w:rPr>
        <w:t>pension</w:t>
      </w:r>
      <w:r>
        <w:rPr>
          <w:rFonts w:ascii="Times New Roman" w:hAnsi="Times New Roman" w:cs="Times New Roman"/>
          <w:sz w:val="24"/>
          <w:szCs w:val="24"/>
        </w:rPr>
        <w:t xml:space="preserve">. Those with caring responsibilities will have </w:t>
      </w:r>
      <w:r w:rsidR="00D862CE">
        <w:rPr>
          <w:rFonts w:ascii="Times New Roman" w:hAnsi="Times New Roman" w:cs="Times New Roman"/>
          <w:sz w:val="24"/>
          <w:szCs w:val="24"/>
        </w:rPr>
        <w:t xml:space="preserve">some </w:t>
      </w:r>
      <w:r w:rsidR="004B384E">
        <w:rPr>
          <w:rFonts w:ascii="Times New Roman" w:hAnsi="Times New Roman" w:cs="Times New Roman"/>
          <w:sz w:val="24"/>
          <w:szCs w:val="24"/>
        </w:rPr>
        <w:t>contributions credited</w:t>
      </w:r>
      <w:r w:rsidR="00D862CE">
        <w:rPr>
          <w:rFonts w:ascii="Times New Roman" w:hAnsi="Times New Roman" w:cs="Times New Roman"/>
          <w:sz w:val="24"/>
          <w:szCs w:val="24"/>
        </w:rPr>
        <w:t xml:space="preserve"> but an extended work record is required to gain from the new benefit.</w:t>
      </w:r>
      <w:r w:rsidR="004B5CF5">
        <w:rPr>
          <w:rFonts w:ascii="Times New Roman" w:hAnsi="Times New Roman" w:cs="Times New Roman"/>
          <w:sz w:val="24"/>
          <w:szCs w:val="24"/>
        </w:rPr>
        <w:t xml:space="preserve"> Those who pay into an additional private or occupational pension and their employers will lose the current relief on NI contributions (DWP 2013, 9-10). The government expects more people to enrol in private </w:t>
      </w:r>
      <w:r w:rsidR="004B384E">
        <w:rPr>
          <w:rFonts w:ascii="Times New Roman" w:hAnsi="Times New Roman" w:cs="Times New Roman"/>
          <w:sz w:val="24"/>
          <w:szCs w:val="24"/>
        </w:rPr>
        <w:t xml:space="preserve">top-up </w:t>
      </w:r>
      <w:r w:rsidR="004B5CF5">
        <w:rPr>
          <w:rFonts w:ascii="Times New Roman" w:hAnsi="Times New Roman" w:cs="Times New Roman"/>
          <w:sz w:val="24"/>
          <w:szCs w:val="24"/>
        </w:rPr>
        <w:t xml:space="preserve">pensions as the size of the state </w:t>
      </w:r>
      <w:r>
        <w:rPr>
          <w:rFonts w:ascii="Times New Roman" w:hAnsi="Times New Roman" w:cs="Times New Roman"/>
          <w:sz w:val="24"/>
          <w:szCs w:val="24"/>
        </w:rPr>
        <w:t>pension</w:t>
      </w:r>
      <w:r w:rsidR="004B5CF5">
        <w:rPr>
          <w:rFonts w:ascii="Times New Roman" w:hAnsi="Times New Roman" w:cs="Times New Roman"/>
          <w:sz w:val="24"/>
          <w:szCs w:val="24"/>
        </w:rPr>
        <w:t xml:space="preserve"> becomes clearer</w:t>
      </w:r>
      <w:r w:rsidR="00D862CE">
        <w:rPr>
          <w:rFonts w:ascii="Times New Roman" w:hAnsi="Times New Roman" w:cs="Times New Roman"/>
          <w:sz w:val="24"/>
          <w:szCs w:val="24"/>
        </w:rPr>
        <w:t>. T</w:t>
      </w:r>
      <w:r w:rsidR="004B384E">
        <w:rPr>
          <w:rFonts w:ascii="Times New Roman" w:hAnsi="Times New Roman" w:cs="Times New Roman"/>
          <w:sz w:val="24"/>
          <w:szCs w:val="24"/>
        </w:rPr>
        <w:t xml:space="preserve">hese pensions will receive less </w:t>
      </w:r>
      <w:r w:rsidR="00D862CE">
        <w:rPr>
          <w:rFonts w:ascii="Times New Roman" w:hAnsi="Times New Roman" w:cs="Times New Roman"/>
          <w:sz w:val="24"/>
          <w:szCs w:val="24"/>
        </w:rPr>
        <w:t>subsidy through reduced National Insurance contributions, cutting benefits.</w:t>
      </w:r>
    </w:p>
    <w:p w:rsidR="00BC6F7A" w:rsidRDefault="00BC6F7A" w:rsidP="00F34DAD">
      <w:pPr>
        <w:jc w:val="left"/>
        <w:rPr>
          <w:rFonts w:ascii="Times New Roman" w:hAnsi="Times New Roman" w:cs="Times New Roman"/>
          <w:sz w:val="24"/>
          <w:szCs w:val="24"/>
        </w:rPr>
      </w:pPr>
    </w:p>
    <w:p w:rsidR="00BC6F7A" w:rsidRDefault="00BC6F7A" w:rsidP="00F34DAD">
      <w:pPr>
        <w:jc w:val="left"/>
        <w:rPr>
          <w:rFonts w:ascii="Times New Roman" w:hAnsi="Times New Roman" w:cs="Times New Roman"/>
          <w:sz w:val="24"/>
          <w:szCs w:val="24"/>
        </w:rPr>
      </w:pPr>
      <w:r>
        <w:rPr>
          <w:rFonts w:ascii="Times New Roman" w:hAnsi="Times New Roman" w:cs="Times New Roman"/>
          <w:sz w:val="24"/>
          <w:szCs w:val="24"/>
        </w:rPr>
        <w:t xml:space="preserve">The </w:t>
      </w:r>
      <w:r w:rsidR="00272F44">
        <w:rPr>
          <w:rFonts w:ascii="Times New Roman" w:hAnsi="Times New Roman" w:cs="Times New Roman"/>
          <w:sz w:val="24"/>
          <w:szCs w:val="24"/>
        </w:rPr>
        <w:t>scale of the cutbacks for</w:t>
      </w:r>
      <w:r>
        <w:rPr>
          <w:rFonts w:ascii="Times New Roman" w:hAnsi="Times New Roman" w:cs="Times New Roman"/>
          <w:sz w:val="24"/>
          <w:szCs w:val="24"/>
        </w:rPr>
        <w:t xml:space="preserve"> </w:t>
      </w:r>
      <w:r w:rsidR="00272F44">
        <w:rPr>
          <w:rFonts w:ascii="Times New Roman" w:hAnsi="Times New Roman" w:cs="Times New Roman"/>
          <w:sz w:val="24"/>
          <w:szCs w:val="24"/>
        </w:rPr>
        <w:t>benefits for</w:t>
      </w:r>
      <w:r>
        <w:rPr>
          <w:rFonts w:ascii="Times New Roman" w:hAnsi="Times New Roman" w:cs="Times New Roman"/>
          <w:sz w:val="24"/>
          <w:szCs w:val="24"/>
        </w:rPr>
        <w:t xml:space="preserve"> sick and disabled people</w:t>
      </w:r>
      <w:r w:rsidR="005E0406">
        <w:rPr>
          <w:rFonts w:ascii="Times New Roman" w:hAnsi="Times New Roman" w:cs="Times New Roman"/>
          <w:sz w:val="24"/>
          <w:szCs w:val="24"/>
        </w:rPr>
        <w:fldChar w:fldCharType="begin"/>
      </w:r>
      <w:r w:rsidR="003E1115">
        <w:instrText xml:space="preserve"> XE "</w:instrText>
      </w:r>
      <w:r w:rsidR="003E1115" w:rsidRPr="0096665E">
        <w:rPr>
          <w:rFonts w:ascii="Times New Roman" w:hAnsi="Times New Roman" w:cs="Times New Roman"/>
          <w:sz w:val="24"/>
          <w:szCs w:val="24"/>
        </w:rPr>
        <w:instrText>disabled people</w:instrText>
      </w:r>
      <w:r w:rsidR="003E1115">
        <w:instrText xml:space="preserve">" </w:instrText>
      </w:r>
      <w:r w:rsidR="005E0406">
        <w:rPr>
          <w:rFonts w:ascii="Times New Roman" w:hAnsi="Times New Roman" w:cs="Times New Roman"/>
          <w:sz w:val="24"/>
          <w:szCs w:val="24"/>
        </w:rPr>
        <w:fldChar w:fldCharType="end"/>
      </w:r>
      <w:r>
        <w:rPr>
          <w:rFonts w:ascii="Times New Roman" w:hAnsi="Times New Roman" w:cs="Times New Roman"/>
          <w:sz w:val="24"/>
          <w:szCs w:val="24"/>
        </w:rPr>
        <w:t xml:space="preserve"> of working age has attracted some surprise. This group typically attracts low levels of stigma since it is not seen as responsible for its inability to work. </w:t>
      </w:r>
      <w:r w:rsidR="00272F44">
        <w:rPr>
          <w:rFonts w:ascii="Times New Roman" w:hAnsi="Times New Roman" w:cs="Times New Roman"/>
          <w:sz w:val="24"/>
          <w:szCs w:val="24"/>
        </w:rPr>
        <w:t xml:space="preserve">Policy announcements have stressed the role of work-tests in implementing these cuts. </w:t>
      </w:r>
      <w:r>
        <w:rPr>
          <w:rFonts w:ascii="Times New Roman" w:hAnsi="Times New Roman" w:cs="Times New Roman"/>
          <w:sz w:val="24"/>
          <w:szCs w:val="24"/>
        </w:rPr>
        <w:t xml:space="preserve">Part of the explanation </w:t>
      </w:r>
      <w:r w:rsidR="00436D0F">
        <w:rPr>
          <w:rFonts w:ascii="Times New Roman" w:hAnsi="Times New Roman" w:cs="Times New Roman"/>
          <w:sz w:val="24"/>
          <w:szCs w:val="24"/>
        </w:rPr>
        <w:t xml:space="preserve">for these cuts </w:t>
      </w:r>
      <w:r>
        <w:rPr>
          <w:rFonts w:ascii="Times New Roman" w:hAnsi="Times New Roman" w:cs="Times New Roman"/>
          <w:sz w:val="24"/>
          <w:szCs w:val="24"/>
        </w:rPr>
        <w:t xml:space="preserve">may be the sums involved: </w:t>
      </w:r>
      <w:r w:rsidR="00272F44">
        <w:rPr>
          <w:rFonts w:ascii="Times New Roman" w:hAnsi="Times New Roman" w:cs="Times New Roman"/>
          <w:sz w:val="24"/>
          <w:szCs w:val="24"/>
        </w:rPr>
        <w:t>more than nine per cent of all</w:t>
      </w:r>
      <w:r>
        <w:rPr>
          <w:rFonts w:ascii="Times New Roman" w:hAnsi="Times New Roman" w:cs="Times New Roman"/>
          <w:sz w:val="24"/>
          <w:szCs w:val="24"/>
        </w:rPr>
        <w:t xml:space="preserve"> benefit spending (Browne and Hood</w:t>
      </w:r>
      <w:r w:rsidR="007F76FC">
        <w:rPr>
          <w:rFonts w:ascii="Times New Roman" w:hAnsi="Times New Roman" w:cs="Times New Roman"/>
          <w:sz w:val="24"/>
          <w:szCs w:val="24"/>
        </w:rPr>
        <w:fldChar w:fldCharType="begin"/>
      </w:r>
      <w:r w:rsidR="007F76FC">
        <w:instrText xml:space="preserve"> XE "</w:instrText>
      </w:r>
      <w:r w:rsidR="007F76FC">
        <w:rPr>
          <w:rFonts w:ascii="Times New Roman" w:hAnsi="Times New Roman" w:cs="Times New Roman"/>
          <w:sz w:val="24"/>
          <w:szCs w:val="24"/>
        </w:rPr>
        <w:instrText>Browne</w:instrText>
      </w:r>
      <w:r w:rsidR="007F76FC">
        <w:instrText xml:space="preserve">" </w:instrText>
      </w:r>
      <w:r w:rsidR="007F76FC">
        <w:rPr>
          <w:rFonts w:ascii="Times New Roman" w:hAnsi="Times New Roman" w:cs="Times New Roman"/>
          <w:sz w:val="24"/>
          <w:szCs w:val="24"/>
        </w:rPr>
        <w:fldChar w:fldCharType="end"/>
      </w:r>
      <w:r>
        <w:rPr>
          <w:rFonts w:ascii="Times New Roman" w:hAnsi="Times New Roman" w:cs="Times New Roman"/>
          <w:sz w:val="24"/>
          <w:szCs w:val="24"/>
        </w:rPr>
        <w:t xml:space="preserve"> 2012, Table 2.1).</w:t>
      </w:r>
      <w:r w:rsidR="00272F44">
        <w:rPr>
          <w:rFonts w:ascii="Times New Roman" w:hAnsi="Times New Roman" w:cs="Times New Roman"/>
          <w:sz w:val="24"/>
          <w:szCs w:val="24"/>
        </w:rPr>
        <w:t xml:space="preserve"> Part may be the fact that the risk of disability is concentrated among lower social groups, attracting less sympathy from the middle mass. Those in routine and manual work report roughly twice as much limiting long-standing illness or disability as those in professional or managerial jobs (Palmer 2011, Graph 5). </w:t>
      </w:r>
    </w:p>
    <w:p w:rsidR="00D464C8" w:rsidRPr="00D76399" w:rsidRDefault="00D464C8" w:rsidP="00F34DAD">
      <w:pPr>
        <w:jc w:val="left"/>
        <w:rPr>
          <w:rFonts w:ascii="Times New Roman" w:hAnsi="Times New Roman" w:cs="Times New Roman"/>
          <w:sz w:val="24"/>
          <w:szCs w:val="24"/>
        </w:rPr>
      </w:pPr>
    </w:p>
    <w:p w:rsidR="00477340" w:rsidRDefault="00970782" w:rsidP="00F34DAD">
      <w:pPr>
        <w:jc w:val="left"/>
        <w:rPr>
          <w:rFonts w:ascii="Times New Roman" w:hAnsi="Times New Roman" w:cs="Times New Roman"/>
          <w:sz w:val="24"/>
          <w:szCs w:val="24"/>
        </w:rPr>
      </w:pPr>
      <w:r>
        <w:rPr>
          <w:rFonts w:ascii="Times New Roman" w:hAnsi="Times New Roman" w:cs="Times New Roman"/>
          <w:sz w:val="24"/>
          <w:szCs w:val="24"/>
        </w:rPr>
        <w:t>Figure 1.3</w:t>
      </w:r>
      <w:r w:rsidR="0000207A">
        <w:rPr>
          <w:rFonts w:ascii="Times New Roman" w:hAnsi="Times New Roman" w:cs="Times New Roman"/>
          <w:sz w:val="24"/>
          <w:szCs w:val="24"/>
        </w:rPr>
        <w:t xml:space="preserve"> shows the percentage fall in income as a result of the tax</w:t>
      </w:r>
      <w:r w:rsidR="005E0406">
        <w:rPr>
          <w:rFonts w:ascii="Times New Roman" w:hAnsi="Times New Roman" w:cs="Times New Roman"/>
          <w:sz w:val="24"/>
          <w:szCs w:val="24"/>
        </w:rPr>
        <w:fldChar w:fldCharType="begin"/>
      </w:r>
      <w:r w:rsidR="003E1115">
        <w:instrText xml:space="preserve"> XE "</w:instrText>
      </w:r>
      <w:r w:rsidR="003E1115" w:rsidRPr="00D17EC5">
        <w:rPr>
          <w:rFonts w:ascii="Times New Roman" w:hAnsi="Times New Roman" w:cs="Times New Roman"/>
          <w:sz w:val="24"/>
          <w:szCs w:val="24"/>
        </w:rPr>
        <w:instrText>tax</w:instrText>
      </w:r>
      <w:r w:rsidR="003E1115">
        <w:instrText xml:space="preserve">" </w:instrText>
      </w:r>
      <w:r w:rsidR="005E0406">
        <w:rPr>
          <w:rFonts w:ascii="Times New Roman" w:hAnsi="Times New Roman" w:cs="Times New Roman"/>
          <w:sz w:val="24"/>
          <w:szCs w:val="24"/>
        </w:rPr>
        <w:fldChar w:fldCharType="end"/>
      </w:r>
      <w:r w:rsidR="0000207A">
        <w:rPr>
          <w:rFonts w:ascii="Times New Roman" w:hAnsi="Times New Roman" w:cs="Times New Roman"/>
          <w:sz w:val="24"/>
          <w:szCs w:val="24"/>
        </w:rPr>
        <w:t xml:space="preserve"> and benefit changes for different tenths of the income distribution, from poorest to richest, and for pensioners, households with children and those without. It brings home two points: in general it is a small minority of the richest who are hit hardest as a result of the tax changes</w:t>
      </w:r>
      <w:r w:rsidR="00642A30">
        <w:rPr>
          <w:rFonts w:ascii="Times New Roman" w:hAnsi="Times New Roman" w:cs="Times New Roman"/>
          <w:sz w:val="24"/>
          <w:szCs w:val="24"/>
        </w:rPr>
        <w:t>, but those at the bottom who lose benefits also suffer</w:t>
      </w:r>
      <w:r w:rsidR="00436D0F">
        <w:rPr>
          <w:rFonts w:ascii="Times New Roman" w:hAnsi="Times New Roman" w:cs="Times New Roman"/>
          <w:sz w:val="24"/>
          <w:szCs w:val="24"/>
        </w:rPr>
        <w:t xml:space="preserve"> di</w:t>
      </w:r>
      <w:r w:rsidR="003B20AA">
        <w:rPr>
          <w:rFonts w:ascii="Times New Roman" w:hAnsi="Times New Roman" w:cs="Times New Roman"/>
          <w:sz w:val="24"/>
          <w:szCs w:val="24"/>
        </w:rPr>
        <w:t>sproportionately</w:t>
      </w:r>
      <w:r w:rsidR="00642A30">
        <w:rPr>
          <w:rFonts w:ascii="Times New Roman" w:hAnsi="Times New Roman" w:cs="Times New Roman"/>
          <w:sz w:val="24"/>
          <w:szCs w:val="24"/>
        </w:rPr>
        <w:t xml:space="preserve"> (HM Treasury 2012a, Chart 1b)</w:t>
      </w:r>
      <w:r w:rsidR="0000207A">
        <w:rPr>
          <w:rFonts w:ascii="Times New Roman" w:hAnsi="Times New Roman" w:cs="Times New Roman"/>
          <w:sz w:val="24"/>
          <w:szCs w:val="24"/>
        </w:rPr>
        <w:t xml:space="preserve">. Secondly the impact on other groups is very different according to household type. Pensioners mostly are relatively well protected. Among household with children the bottom </w:t>
      </w:r>
      <w:r w:rsidR="0000207A">
        <w:rPr>
          <w:rFonts w:ascii="Times New Roman" w:hAnsi="Times New Roman" w:cs="Times New Roman"/>
          <w:sz w:val="24"/>
          <w:szCs w:val="24"/>
        </w:rPr>
        <w:lastRenderedPageBreak/>
        <w:t xml:space="preserve">three income groups are hit relatively hard. Among those without children the cuts for those at the bottom are very harsh indeed. This group includes people with low skills and poor work opportunities who are vulnerable to severe poverty. </w:t>
      </w:r>
      <w:r w:rsidR="00703A96" w:rsidRPr="00D76399">
        <w:rPr>
          <w:rFonts w:ascii="Times New Roman" w:hAnsi="Times New Roman" w:cs="Times New Roman"/>
          <w:sz w:val="24"/>
          <w:szCs w:val="24"/>
        </w:rPr>
        <w:t>Poverty</w:t>
      </w:r>
      <w:r w:rsidR="005E0406">
        <w:rPr>
          <w:rFonts w:ascii="Times New Roman" w:hAnsi="Times New Roman" w:cs="Times New Roman"/>
          <w:sz w:val="24"/>
          <w:szCs w:val="24"/>
        </w:rPr>
        <w:fldChar w:fldCharType="begin"/>
      </w:r>
      <w:r w:rsidR="003E1115">
        <w:instrText xml:space="preserve"> XE "</w:instrText>
      </w:r>
      <w:r w:rsidR="003E1115" w:rsidRPr="00143AE6">
        <w:rPr>
          <w:rFonts w:ascii="Times New Roman" w:hAnsi="Times New Roman" w:cs="Times New Roman"/>
          <w:sz w:val="24"/>
          <w:szCs w:val="24"/>
        </w:rPr>
        <w:instrText>poverty</w:instrText>
      </w:r>
      <w:r w:rsidR="003E1115">
        <w:instrText xml:space="preserve">" </w:instrText>
      </w:r>
      <w:r w:rsidR="005E0406">
        <w:rPr>
          <w:rFonts w:ascii="Times New Roman" w:hAnsi="Times New Roman" w:cs="Times New Roman"/>
          <w:sz w:val="24"/>
          <w:szCs w:val="24"/>
        </w:rPr>
        <w:fldChar w:fldCharType="end"/>
      </w:r>
      <w:r w:rsidR="00703A96" w:rsidRPr="00D76399">
        <w:rPr>
          <w:rFonts w:ascii="Times New Roman" w:hAnsi="Times New Roman" w:cs="Times New Roman"/>
          <w:sz w:val="24"/>
          <w:szCs w:val="24"/>
        </w:rPr>
        <w:t xml:space="preserve"> (understood as income below 60 per cent of the average) will continue to rise, from 19.1 to 20.8 per cent among households with children and from 15.4 to 16.8 per cent among working age adults by 2015 (Joyce 2012, Table 3).</w:t>
      </w:r>
      <w:r w:rsidR="00D464C8">
        <w:rPr>
          <w:rFonts w:ascii="Times New Roman" w:hAnsi="Times New Roman" w:cs="Times New Roman"/>
          <w:sz w:val="24"/>
          <w:szCs w:val="24"/>
        </w:rPr>
        <w:t xml:space="preserve"> Cuts in social services provision affecting health and social care</w:t>
      </w:r>
      <w:r w:rsidR="002A7776">
        <w:rPr>
          <w:rFonts w:ascii="Times New Roman" w:hAnsi="Times New Roman" w:cs="Times New Roman"/>
          <w:sz w:val="24"/>
          <w:szCs w:val="24"/>
        </w:rPr>
        <w:fldChar w:fldCharType="begin"/>
      </w:r>
      <w:r w:rsidR="002A7776">
        <w:instrText xml:space="preserve"> XE "</w:instrText>
      </w:r>
      <w:r w:rsidR="002A7776" w:rsidRPr="0080030B">
        <w:rPr>
          <w:rFonts w:ascii="Times New Roman" w:hAnsi="Times New Roman" w:cs="Times New Roman"/>
          <w:sz w:val="24"/>
          <w:szCs w:val="24"/>
        </w:rPr>
        <w:instrText>social care</w:instrText>
      </w:r>
      <w:r w:rsidR="002A7776">
        <w:instrText xml:space="preserve">" </w:instrText>
      </w:r>
      <w:r w:rsidR="002A7776">
        <w:rPr>
          <w:rFonts w:ascii="Times New Roman" w:hAnsi="Times New Roman" w:cs="Times New Roman"/>
          <w:sz w:val="24"/>
          <w:szCs w:val="24"/>
        </w:rPr>
        <w:fldChar w:fldCharType="end"/>
      </w:r>
      <w:r w:rsidR="00D464C8">
        <w:rPr>
          <w:rFonts w:ascii="Times New Roman" w:hAnsi="Times New Roman" w:cs="Times New Roman"/>
          <w:sz w:val="24"/>
          <w:szCs w:val="24"/>
        </w:rPr>
        <w:t>, nurseries, housing and local government services will also impact more heavily on the poor.</w:t>
      </w:r>
    </w:p>
    <w:p w:rsidR="00477340" w:rsidRDefault="00477340" w:rsidP="00F34DAD">
      <w:pPr>
        <w:jc w:val="left"/>
        <w:rPr>
          <w:rFonts w:ascii="Times New Roman" w:hAnsi="Times New Roman" w:cs="Times New Roman"/>
          <w:sz w:val="24"/>
          <w:szCs w:val="24"/>
        </w:rPr>
      </w:pPr>
    </w:p>
    <w:p w:rsidR="0000207A" w:rsidRPr="0000207A" w:rsidRDefault="0000207A" w:rsidP="00F34DAD">
      <w:pPr>
        <w:jc w:val="left"/>
        <w:rPr>
          <w:rFonts w:ascii="Times New Roman" w:hAnsi="Times New Roman" w:cs="Times New Roman"/>
          <w:b/>
          <w:i/>
          <w:sz w:val="24"/>
          <w:szCs w:val="24"/>
        </w:rPr>
      </w:pPr>
      <w:r w:rsidRPr="0000207A">
        <w:rPr>
          <w:rFonts w:ascii="Times New Roman" w:hAnsi="Times New Roman" w:cs="Times New Roman"/>
          <w:b/>
          <w:i/>
          <w:sz w:val="24"/>
          <w:szCs w:val="24"/>
        </w:rPr>
        <w:t>Figure 1.3 about here</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The overall local government</w:t>
      </w:r>
      <w:r w:rsidR="005E0406">
        <w:rPr>
          <w:rFonts w:ascii="Times New Roman" w:hAnsi="Times New Roman" w:cs="Times New Roman"/>
          <w:sz w:val="24"/>
          <w:szCs w:val="24"/>
        </w:rPr>
        <w:fldChar w:fldCharType="begin"/>
      </w:r>
      <w:r w:rsidR="003E1115">
        <w:instrText xml:space="preserve"> XE "</w:instrText>
      </w:r>
      <w:r w:rsidR="003E1115" w:rsidRPr="0056646D">
        <w:rPr>
          <w:rFonts w:ascii="Times New Roman" w:hAnsi="Times New Roman" w:cs="Times New Roman"/>
          <w:sz w:val="24"/>
          <w:szCs w:val="24"/>
        </w:rPr>
        <w:instrText>local government</w:instrText>
      </w:r>
      <w:r w:rsidR="003E1115">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cutback is </w:t>
      </w:r>
      <w:r w:rsidR="000746EB">
        <w:rPr>
          <w:rFonts w:ascii="Times New Roman" w:hAnsi="Times New Roman" w:cs="Times New Roman"/>
          <w:sz w:val="24"/>
          <w:szCs w:val="24"/>
        </w:rPr>
        <w:t>30</w:t>
      </w:r>
      <w:r w:rsidRPr="00D76399">
        <w:rPr>
          <w:rFonts w:ascii="Times New Roman" w:hAnsi="Times New Roman" w:cs="Times New Roman"/>
          <w:sz w:val="24"/>
          <w:szCs w:val="24"/>
        </w:rPr>
        <w:t xml:space="preserve"> per cent over f</w:t>
      </w:r>
      <w:r w:rsidR="000746EB">
        <w:rPr>
          <w:rFonts w:ascii="Times New Roman" w:hAnsi="Times New Roman" w:cs="Times New Roman"/>
          <w:sz w:val="24"/>
          <w:szCs w:val="24"/>
        </w:rPr>
        <w:t>ive</w:t>
      </w:r>
      <w:r w:rsidRPr="00D76399">
        <w:rPr>
          <w:rFonts w:ascii="Times New Roman" w:hAnsi="Times New Roman" w:cs="Times New Roman"/>
          <w:sz w:val="24"/>
          <w:szCs w:val="24"/>
        </w:rPr>
        <w:t xml:space="preserve"> years, affecting pre-school and 16-19 college education, the careers service, local housing and transport, youth work, public health and most importantly care for frail and older people and for children, and social housing. Councils will differ in how they prioritise spending challenges. We have already noted that the main source of support for social housing, the communities’ budget, is cut by three-quarters. The changes to the formula for allocating funding from central to local government, which makes up about three quarters of local spending, more in poorer, lower community charge areas, visit cuts emphatically on these areas.</w:t>
      </w:r>
      <w:r w:rsidR="00E83547">
        <w:rPr>
          <w:rFonts w:ascii="Times New Roman" w:hAnsi="Times New Roman" w:cs="Times New Roman"/>
          <w:sz w:val="24"/>
          <w:szCs w:val="24"/>
        </w:rPr>
        <w:t xml:space="preserve"> </w:t>
      </w:r>
      <w:r w:rsidRPr="00D76399">
        <w:rPr>
          <w:rFonts w:ascii="Times New Roman" w:hAnsi="Times New Roman" w:cs="Times New Roman"/>
          <w:sz w:val="24"/>
          <w:szCs w:val="24"/>
        </w:rPr>
        <w:t xml:space="preserve">Support falls by roughly three times as much in </w:t>
      </w:r>
      <w:r w:rsidR="003B20AA">
        <w:rPr>
          <w:rFonts w:ascii="Times New Roman" w:hAnsi="Times New Roman" w:cs="Times New Roman"/>
          <w:sz w:val="24"/>
          <w:szCs w:val="24"/>
        </w:rPr>
        <w:t>inner-city</w:t>
      </w:r>
      <w:r w:rsidRPr="00D76399">
        <w:rPr>
          <w:rFonts w:ascii="Times New Roman" w:hAnsi="Times New Roman" w:cs="Times New Roman"/>
          <w:sz w:val="24"/>
          <w:szCs w:val="24"/>
        </w:rPr>
        <w:t xml:space="preserve"> and poorer parts of England than in more affluent rural and suburban districts (IFS 2012b, ch. 6; see also HoC Library</w:t>
      </w:r>
      <w:r w:rsidR="00D553FF">
        <w:rPr>
          <w:rFonts w:ascii="Times New Roman" w:hAnsi="Times New Roman" w:cs="Times New Roman"/>
          <w:sz w:val="24"/>
          <w:szCs w:val="24"/>
        </w:rPr>
        <w:fldChar w:fldCharType="begin"/>
      </w:r>
      <w:r w:rsidR="00D553FF">
        <w:instrText xml:space="preserve"> XE "</w:instrText>
      </w:r>
      <w:r w:rsidR="00D553FF" w:rsidRPr="00A27A36">
        <w:rPr>
          <w:rFonts w:ascii="Times New Roman" w:hAnsi="Times New Roman" w:cs="Times New Roman"/>
          <w:sz w:val="24"/>
          <w:szCs w:val="24"/>
        </w:rPr>
        <w:instrText>HoC Library</w:instrText>
      </w:r>
      <w:r w:rsidR="00D553FF">
        <w:instrText xml:space="preserve">" </w:instrText>
      </w:r>
      <w:r w:rsidR="00D553FF">
        <w:rPr>
          <w:rFonts w:ascii="Times New Roman" w:hAnsi="Times New Roman" w:cs="Times New Roman"/>
          <w:sz w:val="24"/>
          <w:szCs w:val="24"/>
        </w:rPr>
        <w:fldChar w:fldCharType="end"/>
      </w:r>
      <w:r w:rsidRPr="00D76399">
        <w:rPr>
          <w:rFonts w:ascii="Times New Roman" w:hAnsi="Times New Roman" w:cs="Times New Roman"/>
          <w:sz w:val="24"/>
          <w:szCs w:val="24"/>
        </w:rPr>
        <w:t xml:space="preserve"> 2011, Tables 4 and 5, and PWC 2010, 2-3).</w:t>
      </w:r>
      <w:r w:rsidR="00E83547">
        <w:rPr>
          <w:rFonts w:ascii="Times New Roman" w:hAnsi="Times New Roman" w:cs="Times New Roman"/>
          <w:sz w:val="24"/>
          <w:szCs w:val="24"/>
        </w:rPr>
        <w:t xml:space="preserve"> </w:t>
      </w:r>
      <w:r w:rsidRPr="00D76399">
        <w:rPr>
          <w:rFonts w:ascii="Times New Roman" w:hAnsi="Times New Roman" w:cs="Times New Roman"/>
          <w:sz w:val="24"/>
          <w:szCs w:val="24"/>
        </w:rPr>
        <w:t xml:space="preserve">These shifts have led to service cuts, mergers of provision by councils and much greater use of outsourcing to private contractors (Johnstone 2011). Whether one-off savings from such changes can be repeated in future years is unclear (Moore 2010). Similar changes have been made to </w:t>
      </w:r>
      <w:r w:rsidR="000746EB">
        <w:rPr>
          <w:rFonts w:ascii="Times New Roman" w:hAnsi="Times New Roman" w:cs="Times New Roman"/>
          <w:sz w:val="24"/>
          <w:szCs w:val="24"/>
        </w:rPr>
        <w:t xml:space="preserve">the area component in </w:t>
      </w:r>
      <w:r w:rsidRPr="00D76399">
        <w:rPr>
          <w:rFonts w:ascii="Times New Roman" w:hAnsi="Times New Roman" w:cs="Times New Roman"/>
          <w:sz w:val="24"/>
          <w:szCs w:val="24"/>
        </w:rPr>
        <w:t>NHS funding allocations (Bambra</w:t>
      </w:r>
      <w:r w:rsidR="007F76FC">
        <w:rPr>
          <w:rFonts w:ascii="Times New Roman" w:hAnsi="Times New Roman" w:cs="Times New Roman"/>
          <w:sz w:val="24"/>
          <w:szCs w:val="24"/>
        </w:rPr>
        <w:fldChar w:fldCharType="begin"/>
      </w:r>
      <w:r w:rsidR="007F76FC">
        <w:instrText xml:space="preserve"> XE "</w:instrText>
      </w:r>
      <w:r w:rsidR="007F76FC" w:rsidRPr="00976F00">
        <w:rPr>
          <w:rFonts w:ascii="Times New Roman" w:hAnsi="Times New Roman" w:cs="Times New Roman"/>
          <w:sz w:val="24"/>
          <w:szCs w:val="24"/>
        </w:rPr>
        <w:instrText>Bambra</w:instrText>
      </w:r>
      <w:r w:rsidR="007F76FC">
        <w:instrText xml:space="preserve">" </w:instrText>
      </w:r>
      <w:r w:rsidR="007F76FC">
        <w:rPr>
          <w:rFonts w:ascii="Times New Roman" w:hAnsi="Times New Roman" w:cs="Times New Roman"/>
          <w:sz w:val="24"/>
          <w:szCs w:val="24"/>
        </w:rPr>
        <w:fldChar w:fldCharType="end"/>
      </w:r>
      <w:r w:rsidRPr="00D76399">
        <w:rPr>
          <w:rFonts w:ascii="Times New Roman" w:hAnsi="Times New Roman" w:cs="Times New Roman"/>
          <w:sz w:val="24"/>
          <w:szCs w:val="24"/>
        </w:rPr>
        <w:t xml:space="preserve"> 2012).</w:t>
      </w:r>
    </w:p>
    <w:p w:rsidR="00703A96" w:rsidRPr="00D76399" w:rsidRDefault="00703A96" w:rsidP="00F34DAD">
      <w:pPr>
        <w:jc w:val="left"/>
        <w:rPr>
          <w:rFonts w:ascii="Times New Roman" w:hAnsi="Times New Roman" w:cs="Times New Roman"/>
          <w:sz w:val="24"/>
          <w:szCs w:val="24"/>
        </w:rPr>
      </w:pPr>
    </w:p>
    <w:p w:rsidR="00703A96" w:rsidRDefault="003B20AA" w:rsidP="00F34DAD">
      <w:pPr>
        <w:jc w:val="left"/>
        <w:rPr>
          <w:rFonts w:ascii="Times New Roman" w:hAnsi="Times New Roman" w:cs="Times New Roman"/>
          <w:sz w:val="24"/>
          <w:szCs w:val="24"/>
        </w:rPr>
      </w:pPr>
      <w:r>
        <w:rPr>
          <w:rFonts w:ascii="Times New Roman" w:hAnsi="Times New Roman" w:cs="Times New Roman"/>
          <w:sz w:val="24"/>
          <w:szCs w:val="24"/>
        </w:rPr>
        <w:t>When the cuts in services</w:t>
      </w:r>
      <w:r w:rsidR="005E0406">
        <w:rPr>
          <w:rFonts w:ascii="Times New Roman" w:hAnsi="Times New Roman" w:cs="Times New Roman"/>
          <w:sz w:val="24"/>
          <w:szCs w:val="24"/>
        </w:rPr>
        <w:fldChar w:fldCharType="begin"/>
      </w:r>
      <w:r w:rsidR="003E1115">
        <w:instrText xml:space="preserve"> XE "</w:instrText>
      </w:r>
      <w:r w:rsidR="003E1115" w:rsidRPr="00A950E4">
        <w:rPr>
          <w:rFonts w:ascii="Times New Roman" w:hAnsi="Times New Roman" w:cs="Times New Roman"/>
          <w:sz w:val="24"/>
          <w:szCs w:val="24"/>
        </w:rPr>
        <w:instrText>cuts:</w:instrText>
      </w:r>
      <w:r w:rsidR="003E1115" w:rsidRPr="00A950E4">
        <w:instrText>services</w:instrText>
      </w:r>
      <w:r w:rsidR="003E1115">
        <w:instrText xml:space="preserve">" </w:instrText>
      </w:r>
      <w:r w:rsidR="005E0406">
        <w:rPr>
          <w:rFonts w:ascii="Times New Roman" w:hAnsi="Times New Roman" w:cs="Times New Roman"/>
          <w:sz w:val="24"/>
          <w:szCs w:val="24"/>
        </w:rPr>
        <w:fldChar w:fldCharType="end"/>
      </w:r>
      <w:r>
        <w:rPr>
          <w:rFonts w:ascii="Times New Roman" w:hAnsi="Times New Roman" w:cs="Times New Roman"/>
          <w:sz w:val="24"/>
          <w:szCs w:val="24"/>
        </w:rPr>
        <w:t xml:space="preserve"> are combined with those in benefits and with the tax changes, the</w:t>
      </w:r>
      <w:r w:rsidR="00703A96" w:rsidRPr="00D76399">
        <w:rPr>
          <w:rFonts w:ascii="Times New Roman" w:hAnsi="Times New Roman" w:cs="Times New Roman"/>
          <w:sz w:val="24"/>
          <w:szCs w:val="24"/>
        </w:rPr>
        <w:t xml:space="preserve"> </w:t>
      </w:r>
      <w:r>
        <w:rPr>
          <w:rFonts w:ascii="Times New Roman" w:hAnsi="Times New Roman" w:cs="Times New Roman"/>
          <w:sz w:val="24"/>
          <w:szCs w:val="24"/>
        </w:rPr>
        <w:t>full impact outcome is heaviest for</w:t>
      </w:r>
      <w:r w:rsidR="00703A96" w:rsidRPr="00D76399">
        <w:rPr>
          <w:rFonts w:ascii="Times New Roman" w:hAnsi="Times New Roman" w:cs="Times New Roman"/>
          <w:sz w:val="24"/>
          <w:szCs w:val="24"/>
        </w:rPr>
        <w:t xml:space="preserve"> poorer people of working age</w:t>
      </w:r>
      <w:r w:rsidR="00A671D6">
        <w:rPr>
          <w:rFonts w:ascii="Times New Roman" w:hAnsi="Times New Roman" w:cs="Times New Roman"/>
          <w:sz w:val="24"/>
          <w:szCs w:val="24"/>
        </w:rPr>
        <w:t xml:space="preserve">. The effects </w:t>
      </w:r>
      <w:r w:rsidR="003E1115">
        <w:rPr>
          <w:rFonts w:ascii="Times New Roman" w:hAnsi="Times New Roman" w:cs="Times New Roman"/>
          <w:sz w:val="24"/>
          <w:szCs w:val="24"/>
        </w:rPr>
        <w:t xml:space="preserve">are </w:t>
      </w:r>
      <w:r>
        <w:rPr>
          <w:rFonts w:ascii="Times New Roman" w:hAnsi="Times New Roman" w:cs="Times New Roman"/>
          <w:sz w:val="24"/>
          <w:szCs w:val="24"/>
        </w:rPr>
        <w:t>particularly</w:t>
      </w:r>
      <w:r w:rsidR="00A671D6">
        <w:rPr>
          <w:rFonts w:ascii="Times New Roman" w:hAnsi="Times New Roman" w:cs="Times New Roman"/>
          <w:sz w:val="24"/>
          <w:szCs w:val="24"/>
        </w:rPr>
        <w:t xml:space="preserve"> severe for families </w:t>
      </w:r>
      <w:r w:rsidR="00C425F3">
        <w:rPr>
          <w:rFonts w:ascii="Times New Roman" w:hAnsi="Times New Roman" w:cs="Times New Roman"/>
          <w:sz w:val="24"/>
          <w:szCs w:val="24"/>
        </w:rPr>
        <w:t xml:space="preserve">rather </w:t>
      </w:r>
      <w:r w:rsidR="00A671D6">
        <w:rPr>
          <w:rFonts w:ascii="Times New Roman" w:hAnsi="Times New Roman" w:cs="Times New Roman"/>
          <w:sz w:val="24"/>
          <w:szCs w:val="24"/>
        </w:rPr>
        <w:t>than for single people</w:t>
      </w:r>
      <w:r w:rsidR="00D464C8">
        <w:rPr>
          <w:rFonts w:ascii="Times New Roman" w:hAnsi="Times New Roman" w:cs="Times New Roman"/>
          <w:sz w:val="24"/>
          <w:szCs w:val="24"/>
        </w:rPr>
        <w:t>. It is difficult to cost the loss of services. Not being able to send a child to a nursery or being able to get social care provision may have a greater impact on a family’s life that is indicated by the cash value of the place</w:t>
      </w:r>
      <w:r w:rsidR="00A671D6">
        <w:rPr>
          <w:rFonts w:ascii="Times New Roman" w:hAnsi="Times New Roman" w:cs="Times New Roman"/>
          <w:sz w:val="24"/>
          <w:szCs w:val="24"/>
        </w:rPr>
        <w:t xml:space="preserve">. </w:t>
      </w:r>
      <w:r w:rsidR="00D464C8">
        <w:rPr>
          <w:rFonts w:ascii="Times New Roman" w:hAnsi="Times New Roman" w:cs="Times New Roman"/>
          <w:sz w:val="24"/>
          <w:szCs w:val="24"/>
        </w:rPr>
        <w:t>IFS have attempted to parcel out the impact of the cuts in services, assuming these are worth what it costs to provide them and not taking into account the 2013 budget cuts. Th</w:t>
      </w:r>
      <w:r w:rsidR="007416C0">
        <w:rPr>
          <w:rFonts w:ascii="Times New Roman" w:hAnsi="Times New Roman" w:cs="Times New Roman"/>
          <w:sz w:val="24"/>
          <w:szCs w:val="24"/>
        </w:rPr>
        <w:t xml:space="preserve">e estimate shows that services cuts reduce living standards of the poorest </w:t>
      </w:r>
      <w:r w:rsidR="00256943">
        <w:rPr>
          <w:rFonts w:ascii="Times New Roman" w:hAnsi="Times New Roman" w:cs="Times New Roman"/>
          <w:sz w:val="24"/>
          <w:szCs w:val="24"/>
        </w:rPr>
        <w:t>fifth of households by a further four per cent and of the better off fifth by about two per cent</w:t>
      </w:r>
      <w:r w:rsidR="00A671D6">
        <w:rPr>
          <w:rFonts w:ascii="Times New Roman" w:hAnsi="Times New Roman" w:cs="Times New Roman"/>
          <w:sz w:val="24"/>
          <w:szCs w:val="24"/>
        </w:rPr>
        <w:t xml:space="preserve"> </w:t>
      </w:r>
      <w:r w:rsidR="00A671D6" w:rsidRPr="00D76399">
        <w:rPr>
          <w:rFonts w:ascii="Times New Roman" w:hAnsi="Times New Roman" w:cs="Times New Roman"/>
          <w:sz w:val="24"/>
          <w:szCs w:val="24"/>
        </w:rPr>
        <w:t>(Browne</w:t>
      </w:r>
      <w:r w:rsidR="007F76FC">
        <w:rPr>
          <w:rFonts w:ascii="Times New Roman" w:hAnsi="Times New Roman" w:cs="Times New Roman"/>
          <w:sz w:val="24"/>
          <w:szCs w:val="24"/>
        </w:rPr>
        <w:fldChar w:fldCharType="begin"/>
      </w:r>
      <w:r w:rsidR="007F76FC">
        <w:instrText xml:space="preserve"> XE "</w:instrText>
      </w:r>
      <w:r w:rsidR="007F76FC" w:rsidRPr="005C2E3F">
        <w:rPr>
          <w:rFonts w:ascii="Times New Roman" w:hAnsi="Times New Roman" w:cs="Times New Roman"/>
          <w:sz w:val="24"/>
          <w:szCs w:val="24"/>
        </w:rPr>
        <w:instrText>Browne</w:instrText>
      </w:r>
      <w:r w:rsidR="007F76FC">
        <w:instrText xml:space="preserve">" </w:instrText>
      </w:r>
      <w:r w:rsidR="007F76FC">
        <w:rPr>
          <w:rFonts w:ascii="Times New Roman" w:hAnsi="Times New Roman" w:cs="Times New Roman"/>
          <w:sz w:val="24"/>
          <w:szCs w:val="24"/>
        </w:rPr>
        <w:fldChar w:fldCharType="end"/>
      </w:r>
      <w:r w:rsidR="00A671D6" w:rsidRPr="00D76399">
        <w:rPr>
          <w:rFonts w:ascii="Times New Roman" w:hAnsi="Times New Roman" w:cs="Times New Roman"/>
          <w:sz w:val="24"/>
          <w:szCs w:val="24"/>
        </w:rPr>
        <w:t xml:space="preserve"> 201</w:t>
      </w:r>
      <w:r w:rsidR="00A671D6">
        <w:rPr>
          <w:rFonts w:ascii="Times New Roman" w:hAnsi="Times New Roman" w:cs="Times New Roman"/>
          <w:sz w:val="24"/>
          <w:szCs w:val="24"/>
        </w:rPr>
        <w:t>0; O’Dea</w:t>
      </w:r>
      <w:r w:rsidR="007F76FC">
        <w:rPr>
          <w:rFonts w:ascii="Times New Roman" w:hAnsi="Times New Roman" w:cs="Times New Roman"/>
          <w:sz w:val="24"/>
          <w:szCs w:val="24"/>
        </w:rPr>
        <w:fldChar w:fldCharType="begin"/>
      </w:r>
      <w:r w:rsidR="007F76FC">
        <w:instrText xml:space="preserve"> XE "</w:instrText>
      </w:r>
      <w:r w:rsidR="007F76FC" w:rsidRPr="000C235E">
        <w:rPr>
          <w:rFonts w:ascii="Times New Roman" w:hAnsi="Times New Roman" w:cs="Times New Roman"/>
          <w:sz w:val="24"/>
          <w:szCs w:val="24"/>
        </w:rPr>
        <w:instrText>O’Dea</w:instrText>
      </w:r>
      <w:r w:rsidR="007F76FC">
        <w:instrText xml:space="preserve">" </w:instrText>
      </w:r>
      <w:r w:rsidR="007F76FC">
        <w:rPr>
          <w:rFonts w:ascii="Times New Roman" w:hAnsi="Times New Roman" w:cs="Times New Roman"/>
          <w:sz w:val="24"/>
          <w:szCs w:val="24"/>
        </w:rPr>
        <w:fldChar w:fldCharType="end"/>
      </w:r>
      <w:r w:rsidR="00A671D6">
        <w:rPr>
          <w:rFonts w:ascii="Times New Roman" w:hAnsi="Times New Roman" w:cs="Times New Roman"/>
          <w:sz w:val="24"/>
          <w:szCs w:val="24"/>
        </w:rPr>
        <w:t xml:space="preserve"> 2010).</w:t>
      </w:r>
    </w:p>
    <w:p w:rsidR="00A671D6" w:rsidRPr="00D76399" w:rsidRDefault="00A671D6" w:rsidP="00F34DAD">
      <w:pPr>
        <w:jc w:val="left"/>
        <w:rPr>
          <w:rFonts w:ascii="Times New Roman" w:hAnsi="Times New Roman" w:cs="Times New Roman"/>
          <w:sz w:val="24"/>
          <w:szCs w:val="24"/>
        </w:rPr>
      </w:pPr>
    </w:p>
    <w:p w:rsidR="00CD4C3B"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Cuts that affect poor families have a strong impact on women</w:t>
      </w:r>
      <w:r w:rsidR="005E0406">
        <w:rPr>
          <w:rFonts w:ascii="Times New Roman" w:hAnsi="Times New Roman" w:cs="Times New Roman"/>
          <w:sz w:val="24"/>
          <w:szCs w:val="24"/>
        </w:rPr>
        <w:fldChar w:fldCharType="begin"/>
      </w:r>
      <w:r w:rsidR="00BA15F3">
        <w:instrText xml:space="preserve"> XE "</w:instrText>
      </w:r>
      <w:r w:rsidR="00BA15F3" w:rsidRPr="00BC080E">
        <w:rPr>
          <w:rFonts w:ascii="Times New Roman" w:hAnsi="Times New Roman" w:cs="Times New Roman"/>
          <w:sz w:val="24"/>
          <w:szCs w:val="24"/>
        </w:rPr>
        <w:instrText>cuts:</w:instrText>
      </w:r>
      <w:r w:rsidR="00BA15F3" w:rsidRPr="00BC080E">
        <w:instrText>women</w:instrText>
      </w:r>
      <w:r w:rsidR="00BA15F3">
        <w:instrText xml:space="preserve">" </w:instrText>
      </w:r>
      <w:r w:rsidR="005E0406">
        <w:rPr>
          <w:rFonts w:ascii="Times New Roman" w:hAnsi="Times New Roman" w:cs="Times New Roman"/>
          <w:sz w:val="24"/>
          <w:szCs w:val="24"/>
        </w:rPr>
        <w:fldChar w:fldCharType="end"/>
      </w:r>
      <w:r w:rsidR="00CD4C3B">
        <w:rPr>
          <w:rFonts w:ascii="Times New Roman" w:hAnsi="Times New Roman" w:cs="Times New Roman"/>
          <w:sz w:val="24"/>
          <w:szCs w:val="24"/>
        </w:rPr>
        <w:t>, since women tend to be lower paid than</w:t>
      </w:r>
      <w:r w:rsidR="00D35CDB">
        <w:rPr>
          <w:rFonts w:ascii="Times New Roman" w:hAnsi="Times New Roman" w:cs="Times New Roman"/>
          <w:sz w:val="24"/>
          <w:szCs w:val="24"/>
        </w:rPr>
        <w:t xml:space="preserve"> men</w:t>
      </w:r>
      <w:r w:rsidR="00CD4C3B">
        <w:rPr>
          <w:rFonts w:ascii="Times New Roman" w:hAnsi="Times New Roman" w:cs="Times New Roman"/>
          <w:sz w:val="24"/>
          <w:szCs w:val="24"/>
        </w:rPr>
        <w:t xml:space="preserve"> and more likely to be </w:t>
      </w:r>
      <w:r w:rsidR="00D35CDB">
        <w:rPr>
          <w:rFonts w:ascii="Times New Roman" w:hAnsi="Times New Roman" w:cs="Times New Roman"/>
          <w:sz w:val="24"/>
          <w:szCs w:val="24"/>
        </w:rPr>
        <w:t>unwaged</w:t>
      </w:r>
      <w:r w:rsidR="00CD4C3B">
        <w:rPr>
          <w:rFonts w:ascii="Times New Roman" w:hAnsi="Times New Roman" w:cs="Times New Roman"/>
          <w:sz w:val="24"/>
          <w:szCs w:val="24"/>
        </w:rPr>
        <w:t xml:space="preserve"> due to caring responsibilities</w:t>
      </w:r>
      <w:r w:rsidRPr="00D76399">
        <w:rPr>
          <w:rFonts w:ascii="Times New Roman" w:hAnsi="Times New Roman" w:cs="Times New Roman"/>
          <w:sz w:val="24"/>
          <w:szCs w:val="24"/>
        </w:rPr>
        <w:t xml:space="preserve">. About 70 per cent of tax credits, including </w:t>
      </w:r>
      <w:r w:rsidR="00A671D6">
        <w:rPr>
          <w:rFonts w:ascii="Times New Roman" w:hAnsi="Times New Roman" w:cs="Times New Roman"/>
          <w:sz w:val="24"/>
          <w:szCs w:val="24"/>
        </w:rPr>
        <w:t>childcare and</w:t>
      </w:r>
      <w:r w:rsidR="00A671D6" w:rsidRPr="00D76399">
        <w:rPr>
          <w:rFonts w:ascii="Times New Roman" w:hAnsi="Times New Roman" w:cs="Times New Roman"/>
          <w:sz w:val="24"/>
          <w:szCs w:val="24"/>
        </w:rPr>
        <w:t xml:space="preserve"> working tax credit</w:t>
      </w:r>
      <w:r w:rsidR="00930687">
        <w:rPr>
          <w:rFonts w:ascii="Times New Roman" w:hAnsi="Times New Roman" w:cs="Times New Roman"/>
          <w:sz w:val="24"/>
          <w:szCs w:val="24"/>
        </w:rPr>
        <w:fldChar w:fldCharType="begin"/>
      </w:r>
      <w:r w:rsidR="00930687">
        <w:instrText xml:space="preserve"> XE "</w:instrText>
      </w:r>
      <w:r w:rsidR="00930687" w:rsidRPr="0087296C">
        <w:rPr>
          <w:rFonts w:ascii="Times New Roman" w:hAnsi="Times New Roman" w:cs="Times New Roman"/>
          <w:sz w:val="24"/>
          <w:szCs w:val="24"/>
        </w:rPr>
        <w:instrText>tax credit</w:instrText>
      </w:r>
      <w:r w:rsidR="00930687">
        <w:instrText xml:space="preserve">" </w:instrText>
      </w:r>
      <w:r w:rsidR="00930687">
        <w:rPr>
          <w:rFonts w:ascii="Times New Roman" w:hAnsi="Times New Roman" w:cs="Times New Roman"/>
          <w:sz w:val="24"/>
          <w:szCs w:val="24"/>
        </w:rPr>
        <w:fldChar w:fldCharType="end"/>
      </w:r>
      <w:r w:rsidR="00A671D6" w:rsidRPr="00D76399">
        <w:rPr>
          <w:rFonts w:ascii="Times New Roman" w:hAnsi="Times New Roman" w:cs="Times New Roman"/>
          <w:sz w:val="24"/>
          <w:szCs w:val="24"/>
        </w:rPr>
        <w:t>s and other support</w:t>
      </w:r>
      <w:r w:rsidR="00D35CDB">
        <w:rPr>
          <w:rFonts w:ascii="Times New Roman" w:hAnsi="Times New Roman" w:cs="Times New Roman"/>
          <w:sz w:val="24"/>
          <w:szCs w:val="24"/>
        </w:rPr>
        <w:t>,</w:t>
      </w:r>
      <w:r w:rsidR="00A671D6" w:rsidRPr="00D76399">
        <w:rPr>
          <w:rFonts w:ascii="Times New Roman" w:hAnsi="Times New Roman" w:cs="Times New Roman"/>
          <w:sz w:val="24"/>
          <w:szCs w:val="24"/>
        </w:rPr>
        <w:t xml:space="preserve"> is paid to mothers, as is 94 per cent of child be</w:t>
      </w:r>
      <w:r w:rsidRPr="00D76399">
        <w:rPr>
          <w:rFonts w:ascii="Times New Roman" w:hAnsi="Times New Roman" w:cs="Times New Roman"/>
          <w:sz w:val="24"/>
          <w:szCs w:val="24"/>
        </w:rPr>
        <w:t>nefit</w:t>
      </w:r>
      <w:r w:rsidR="004152F7">
        <w:rPr>
          <w:rFonts w:ascii="Times New Roman" w:hAnsi="Times New Roman" w:cs="Times New Roman"/>
          <w:sz w:val="24"/>
          <w:szCs w:val="24"/>
        </w:rPr>
        <w:fldChar w:fldCharType="begin"/>
      </w:r>
      <w:r w:rsidR="004152F7">
        <w:instrText xml:space="preserve"> XE "</w:instrText>
      </w:r>
      <w:r w:rsidR="004152F7" w:rsidRPr="002B7008">
        <w:rPr>
          <w:rFonts w:ascii="Times New Roman" w:hAnsi="Times New Roman" w:cs="Times New Roman"/>
          <w:sz w:val="24"/>
          <w:szCs w:val="24"/>
        </w:rPr>
        <w:instrText>child benefit</w:instrText>
      </w:r>
      <w:r w:rsidR="004152F7">
        <w:instrText xml:space="preserve">" </w:instrText>
      </w:r>
      <w:r w:rsidR="004152F7">
        <w:rPr>
          <w:rFonts w:ascii="Times New Roman" w:hAnsi="Times New Roman" w:cs="Times New Roman"/>
          <w:sz w:val="24"/>
          <w:szCs w:val="24"/>
        </w:rPr>
        <w:fldChar w:fldCharType="end"/>
      </w:r>
      <w:r w:rsidRPr="00D76399">
        <w:rPr>
          <w:rFonts w:ascii="Times New Roman" w:hAnsi="Times New Roman" w:cs="Times New Roman"/>
          <w:sz w:val="24"/>
          <w:szCs w:val="24"/>
        </w:rPr>
        <w:t>. Some 60 per cent of Housing Benefit</w:t>
      </w:r>
      <w:r w:rsidR="005E0406">
        <w:rPr>
          <w:rFonts w:ascii="Times New Roman" w:hAnsi="Times New Roman" w:cs="Times New Roman"/>
          <w:sz w:val="24"/>
          <w:szCs w:val="24"/>
        </w:rPr>
        <w:fldChar w:fldCharType="begin"/>
      </w:r>
      <w:r w:rsidR="00BA15F3">
        <w:instrText xml:space="preserve"> XE "</w:instrText>
      </w:r>
      <w:r w:rsidR="00BA15F3" w:rsidRPr="00984F26">
        <w:rPr>
          <w:rFonts w:ascii="Times New Roman" w:hAnsi="Times New Roman" w:cs="Times New Roman"/>
          <w:sz w:val="24"/>
          <w:szCs w:val="24"/>
        </w:rPr>
        <w:instrText>Housing Benefit</w:instrText>
      </w:r>
      <w:r w:rsidR="00BA15F3">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also due to be cut, is paid to women (Cooper 2010). </w:t>
      </w:r>
      <w:r w:rsidR="00CD4C3B">
        <w:rPr>
          <w:rFonts w:ascii="Times New Roman" w:hAnsi="Times New Roman" w:cs="Times New Roman"/>
          <w:sz w:val="24"/>
          <w:szCs w:val="24"/>
        </w:rPr>
        <w:t>The shift to Universal Credit</w:t>
      </w:r>
      <w:r w:rsidR="005E0406">
        <w:rPr>
          <w:rFonts w:ascii="Times New Roman" w:hAnsi="Times New Roman" w:cs="Times New Roman"/>
          <w:sz w:val="24"/>
          <w:szCs w:val="24"/>
        </w:rPr>
        <w:fldChar w:fldCharType="begin"/>
      </w:r>
      <w:r w:rsidR="00BA15F3">
        <w:instrText xml:space="preserve"> XE "</w:instrText>
      </w:r>
      <w:r w:rsidR="00BA15F3" w:rsidRPr="00EA62F2">
        <w:rPr>
          <w:rFonts w:ascii="Times New Roman" w:hAnsi="Times New Roman" w:cs="Times New Roman"/>
          <w:sz w:val="24"/>
          <w:szCs w:val="24"/>
        </w:rPr>
        <w:instrText>Universal Credit</w:instrText>
      </w:r>
      <w:r w:rsidR="00BA15F3">
        <w:instrText xml:space="preserve">" </w:instrText>
      </w:r>
      <w:r w:rsidR="005E0406">
        <w:rPr>
          <w:rFonts w:ascii="Times New Roman" w:hAnsi="Times New Roman" w:cs="Times New Roman"/>
          <w:sz w:val="24"/>
          <w:szCs w:val="24"/>
        </w:rPr>
        <w:fldChar w:fldCharType="end"/>
      </w:r>
      <w:r w:rsidR="00CD4C3B">
        <w:rPr>
          <w:rFonts w:ascii="Times New Roman" w:hAnsi="Times New Roman" w:cs="Times New Roman"/>
          <w:sz w:val="24"/>
          <w:szCs w:val="24"/>
        </w:rPr>
        <w:t xml:space="preserve"> will further deepen women’s dependence on men in families as explained above. The policy of raising income tax thresholds benefits men disproportionately since women predominate among those paid below the minimum tax level (WBG</w:t>
      </w:r>
      <w:r w:rsidR="007F76FC">
        <w:rPr>
          <w:rFonts w:ascii="Times New Roman" w:hAnsi="Times New Roman" w:cs="Times New Roman"/>
          <w:sz w:val="24"/>
          <w:szCs w:val="24"/>
        </w:rPr>
        <w:fldChar w:fldCharType="begin"/>
      </w:r>
      <w:r w:rsidR="007F76FC">
        <w:instrText xml:space="preserve"> XE "</w:instrText>
      </w:r>
      <w:r w:rsidR="007F76FC" w:rsidRPr="002C43DE">
        <w:rPr>
          <w:rFonts w:ascii="Times New Roman" w:hAnsi="Times New Roman" w:cs="Times New Roman"/>
          <w:sz w:val="24"/>
          <w:szCs w:val="24"/>
        </w:rPr>
        <w:instrText>WBG</w:instrText>
      </w:r>
      <w:r w:rsidR="007F76FC">
        <w:instrText xml:space="preserve">" </w:instrText>
      </w:r>
      <w:r w:rsidR="007F76FC">
        <w:rPr>
          <w:rFonts w:ascii="Times New Roman" w:hAnsi="Times New Roman" w:cs="Times New Roman"/>
          <w:sz w:val="24"/>
          <w:szCs w:val="24"/>
        </w:rPr>
        <w:fldChar w:fldCharType="end"/>
      </w:r>
      <w:r w:rsidR="00CD4C3B">
        <w:rPr>
          <w:rFonts w:ascii="Times New Roman" w:hAnsi="Times New Roman" w:cs="Times New Roman"/>
          <w:sz w:val="24"/>
          <w:szCs w:val="24"/>
        </w:rPr>
        <w:t xml:space="preserve"> 2012b, 9). An overall analysis by the HoC Library</w:t>
      </w:r>
      <w:r w:rsidR="00D553FF">
        <w:rPr>
          <w:rFonts w:ascii="Times New Roman" w:hAnsi="Times New Roman" w:cs="Times New Roman"/>
          <w:sz w:val="24"/>
          <w:szCs w:val="24"/>
        </w:rPr>
        <w:fldChar w:fldCharType="begin"/>
      </w:r>
      <w:r w:rsidR="00D553FF">
        <w:instrText xml:space="preserve"> XE "</w:instrText>
      </w:r>
      <w:r w:rsidR="00D553FF" w:rsidRPr="00AD0376">
        <w:rPr>
          <w:rFonts w:ascii="Times New Roman" w:hAnsi="Times New Roman" w:cs="Times New Roman"/>
          <w:sz w:val="24"/>
          <w:szCs w:val="24"/>
        </w:rPr>
        <w:instrText>HoC Library</w:instrText>
      </w:r>
      <w:r w:rsidR="00D553FF">
        <w:instrText xml:space="preserve">" </w:instrText>
      </w:r>
      <w:r w:rsidR="00D553FF">
        <w:rPr>
          <w:rFonts w:ascii="Times New Roman" w:hAnsi="Times New Roman" w:cs="Times New Roman"/>
          <w:sz w:val="24"/>
          <w:szCs w:val="24"/>
        </w:rPr>
        <w:fldChar w:fldCharType="end"/>
      </w:r>
      <w:r w:rsidR="00CD4C3B">
        <w:rPr>
          <w:rFonts w:ascii="Times New Roman" w:hAnsi="Times New Roman" w:cs="Times New Roman"/>
          <w:sz w:val="24"/>
          <w:szCs w:val="24"/>
        </w:rPr>
        <w:t xml:space="preserve"> of the </w:t>
      </w:r>
      <w:r w:rsidR="00CD4C3B">
        <w:rPr>
          <w:rFonts w:ascii="Times New Roman" w:hAnsi="Times New Roman" w:cs="Times New Roman"/>
          <w:sz w:val="24"/>
          <w:szCs w:val="24"/>
        </w:rPr>
        <w:lastRenderedPageBreak/>
        <w:t>combined effect of all income tax, tax credit and social security measures from June 2010 to December 2012 shows that 74 per cent of the cuts bear on women’s incomes and 26 per cent on men’s (Fawcett Society</w:t>
      </w:r>
      <w:r w:rsidR="007F76FC">
        <w:rPr>
          <w:rFonts w:ascii="Times New Roman" w:hAnsi="Times New Roman" w:cs="Times New Roman"/>
          <w:sz w:val="24"/>
          <w:szCs w:val="24"/>
        </w:rPr>
        <w:fldChar w:fldCharType="begin"/>
      </w:r>
      <w:r w:rsidR="007F76FC">
        <w:instrText xml:space="preserve"> XE "</w:instrText>
      </w:r>
      <w:r w:rsidR="007F76FC" w:rsidRPr="0013595D">
        <w:rPr>
          <w:rFonts w:ascii="Times New Roman" w:hAnsi="Times New Roman" w:cs="Times New Roman"/>
          <w:sz w:val="24"/>
          <w:szCs w:val="24"/>
        </w:rPr>
        <w:instrText>Fawcett Society</w:instrText>
      </w:r>
      <w:r w:rsidR="007F76FC">
        <w:instrText xml:space="preserve">" </w:instrText>
      </w:r>
      <w:r w:rsidR="007F76FC">
        <w:rPr>
          <w:rFonts w:ascii="Times New Roman" w:hAnsi="Times New Roman" w:cs="Times New Roman"/>
          <w:sz w:val="24"/>
          <w:szCs w:val="24"/>
        </w:rPr>
        <w:fldChar w:fldCharType="end"/>
      </w:r>
      <w:r w:rsidR="00CD4C3B">
        <w:rPr>
          <w:rFonts w:ascii="Times New Roman" w:hAnsi="Times New Roman" w:cs="Times New Roman"/>
          <w:sz w:val="24"/>
          <w:szCs w:val="24"/>
        </w:rPr>
        <w:t xml:space="preserve"> 2012).</w:t>
      </w:r>
    </w:p>
    <w:p w:rsidR="00CD4C3B" w:rsidRDefault="00CD4C3B" w:rsidP="00F34DAD">
      <w:pPr>
        <w:jc w:val="left"/>
        <w:rPr>
          <w:rFonts w:ascii="Times New Roman" w:hAnsi="Times New Roman" w:cs="Times New Roman"/>
          <w:sz w:val="24"/>
          <w:szCs w:val="24"/>
        </w:rPr>
      </w:pPr>
    </w:p>
    <w:p w:rsidR="00703A96"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 xml:space="preserve">Women are also affected differentially by other cuts across the range of government services, since they predominate among lower income state sector employees, most vulnerable </w:t>
      </w:r>
      <w:r w:rsidR="00D35CDB">
        <w:rPr>
          <w:rFonts w:ascii="Times New Roman" w:hAnsi="Times New Roman" w:cs="Times New Roman"/>
          <w:sz w:val="24"/>
          <w:szCs w:val="24"/>
        </w:rPr>
        <w:t xml:space="preserve">to the impact of </w:t>
      </w:r>
      <w:r w:rsidRPr="00D76399">
        <w:rPr>
          <w:rFonts w:ascii="Times New Roman" w:hAnsi="Times New Roman" w:cs="Times New Roman"/>
          <w:sz w:val="24"/>
          <w:szCs w:val="24"/>
        </w:rPr>
        <w:t>central and local governme</w:t>
      </w:r>
      <w:r w:rsidR="00D35CDB">
        <w:rPr>
          <w:rFonts w:ascii="Times New Roman" w:hAnsi="Times New Roman" w:cs="Times New Roman"/>
          <w:sz w:val="24"/>
          <w:szCs w:val="24"/>
        </w:rPr>
        <w:t xml:space="preserve">nt cutbacks and </w:t>
      </w:r>
      <w:r w:rsidRPr="00D76399">
        <w:rPr>
          <w:rFonts w:ascii="Times New Roman" w:hAnsi="Times New Roman" w:cs="Times New Roman"/>
          <w:sz w:val="24"/>
          <w:szCs w:val="24"/>
        </w:rPr>
        <w:t>to cost savings in services transferred to the private sector</w:t>
      </w:r>
      <w:r w:rsidR="00046E5A">
        <w:rPr>
          <w:rFonts w:ascii="Times New Roman" w:hAnsi="Times New Roman" w:cs="Times New Roman"/>
          <w:sz w:val="24"/>
          <w:szCs w:val="24"/>
        </w:rPr>
        <w:t>. OBR</w:t>
      </w:r>
      <w:r w:rsidR="005E0406">
        <w:rPr>
          <w:rFonts w:ascii="Times New Roman" w:hAnsi="Times New Roman" w:cs="Times New Roman"/>
          <w:sz w:val="24"/>
          <w:szCs w:val="24"/>
        </w:rPr>
        <w:fldChar w:fldCharType="begin"/>
      </w:r>
      <w:r w:rsidR="00BA15F3">
        <w:instrText xml:space="preserve"> XE "</w:instrText>
      </w:r>
      <w:r w:rsidR="00BA15F3" w:rsidRPr="007446BF">
        <w:rPr>
          <w:rFonts w:ascii="Times New Roman" w:hAnsi="Times New Roman" w:cs="Times New Roman"/>
          <w:sz w:val="24"/>
          <w:szCs w:val="24"/>
        </w:rPr>
        <w:instrText>OBR</w:instrText>
      </w:r>
      <w:r w:rsidR="00BA15F3">
        <w:instrText xml:space="preserve">" </w:instrText>
      </w:r>
      <w:r w:rsidR="005E0406">
        <w:rPr>
          <w:rFonts w:ascii="Times New Roman" w:hAnsi="Times New Roman" w:cs="Times New Roman"/>
          <w:sz w:val="24"/>
          <w:szCs w:val="24"/>
        </w:rPr>
        <w:fldChar w:fldCharType="end"/>
      </w:r>
      <w:r w:rsidR="00046E5A">
        <w:rPr>
          <w:rFonts w:ascii="Times New Roman" w:hAnsi="Times New Roman" w:cs="Times New Roman"/>
          <w:sz w:val="24"/>
          <w:szCs w:val="24"/>
        </w:rPr>
        <w:t xml:space="preserve"> now estimates that about 1.1 million jobs will be lost in the government sector between 2010 and 2018 (OBR 2012a)</w:t>
      </w:r>
      <w:r w:rsidRPr="00D76399">
        <w:rPr>
          <w:rFonts w:ascii="Times New Roman" w:hAnsi="Times New Roman" w:cs="Times New Roman"/>
          <w:sz w:val="24"/>
          <w:szCs w:val="24"/>
        </w:rPr>
        <w:t xml:space="preserve">. </w:t>
      </w:r>
      <w:r w:rsidR="00046E5A">
        <w:rPr>
          <w:rFonts w:ascii="Times New Roman" w:hAnsi="Times New Roman" w:cs="Times New Roman"/>
          <w:sz w:val="24"/>
          <w:szCs w:val="24"/>
        </w:rPr>
        <w:t xml:space="preserve">Some will be made up in newly-privatised services, mostly at lower pay and conditions. </w:t>
      </w:r>
      <w:r w:rsidRPr="00D76399">
        <w:rPr>
          <w:rFonts w:ascii="Times New Roman" w:hAnsi="Times New Roman" w:cs="Times New Roman"/>
          <w:sz w:val="24"/>
          <w:szCs w:val="24"/>
        </w:rPr>
        <w:t>About two-thirds of the impact of the cuts to the up-rating of public sector pensions (expected to reduce benefit levels by about a fifth by 2030 and ultimately by 40 per cent) will be on women.</w:t>
      </w:r>
      <w:r w:rsidR="00E83547">
        <w:rPr>
          <w:rFonts w:ascii="Times New Roman" w:hAnsi="Times New Roman" w:cs="Times New Roman"/>
          <w:sz w:val="24"/>
          <w:szCs w:val="24"/>
        </w:rPr>
        <w:t xml:space="preserve"> </w:t>
      </w:r>
      <w:r w:rsidR="00175FDB">
        <w:rPr>
          <w:rFonts w:ascii="Times New Roman" w:hAnsi="Times New Roman" w:cs="Times New Roman"/>
          <w:sz w:val="24"/>
          <w:szCs w:val="24"/>
        </w:rPr>
        <w:t>The cuts will impact most severely on</w:t>
      </w:r>
      <w:r w:rsidRPr="00D76399">
        <w:rPr>
          <w:rFonts w:ascii="Times New Roman" w:hAnsi="Times New Roman" w:cs="Times New Roman"/>
          <w:sz w:val="24"/>
          <w:szCs w:val="24"/>
        </w:rPr>
        <w:t xml:space="preserve"> the poorest groups and</w:t>
      </w:r>
      <w:r w:rsidR="00175FDB">
        <w:rPr>
          <w:rFonts w:ascii="Times New Roman" w:hAnsi="Times New Roman" w:cs="Times New Roman"/>
          <w:sz w:val="24"/>
          <w:szCs w:val="24"/>
        </w:rPr>
        <w:t xml:space="preserve"> on</w:t>
      </w:r>
      <w:r w:rsidRPr="00D76399">
        <w:rPr>
          <w:rFonts w:ascii="Times New Roman" w:hAnsi="Times New Roman" w:cs="Times New Roman"/>
          <w:sz w:val="24"/>
          <w:szCs w:val="24"/>
        </w:rPr>
        <w:t xml:space="preserve"> families, women and children among them (WBG 2011</w:t>
      </w:r>
      <w:r w:rsidR="00175FDB">
        <w:rPr>
          <w:rFonts w:ascii="Times New Roman" w:hAnsi="Times New Roman" w:cs="Times New Roman"/>
          <w:sz w:val="24"/>
          <w:szCs w:val="24"/>
        </w:rPr>
        <w:t>a</w:t>
      </w:r>
      <w:r w:rsidRPr="00D76399">
        <w:rPr>
          <w:rFonts w:ascii="Times New Roman" w:hAnsi="Times New Roman" w:cs="Times New Roman"/>
          <w:sz w:val="24"/>
          <w:szCs w:val="24"/>
        </w:rPr>
        <w:t>).</w:t>
      </w:r>
      <w:r w:rsidR="00175FDB">
        <w:rPr>
          <w:rFonts w:ascii="Times New Roman" w:hAnsi="Times New Roman" w:cs="Times New Roman"/>
          <w:sz w:val="24"/>
          <w:szCs w:val="24"/>
        </w:rPr>
        <w:t xml:space="preserve"> </w:t>
      </w:r>
    </w:p>
    <w:p w:rsidR="002F32DB" w:rsidRDefault="002F32DB" w:rsidP="00F34DAD">
      <w:pPr>
        <w:jc w:val="left"/>
        <w:rPr>
          <w:rFonts w:ascii="Times New Roman" w:hAnsi="Times New Roman" w:cs="Times New Roman"/>
          <w:sz w:val="24"/>
          <w:szCs w:val="24"/>
        </w:rPr>
      </w:pPr>
    </w:p>
    <w:p w:rsidR="00703A96" w:rsidRDefault="002F32DB" w:rsidP="00F34DAD">
      <w:pPr>
        <w:jc w:val="left"/>
        <w:rPr>
          <w:rFonts w:ascii="Times New Roman" w:hAnsi="Times New Roman" w:cs="Times New Roman"/>
          <w:sz w:val="24"/>
          <w:szCs w:val="24"/>
        </w:rPr>
      </w:pPr>
      <w:r>
        <w:rPr>
          <w:rFonts w:ascii="Times New Roman" w:hAnsi="Times New Roman" w:cs="Times New Roman"/>
          <w:sz w:val="24"/>
          <w:szCs w:val="24"/>
        </w:rPr>
        <w:t>The cuts will also impact on homelessness</w:t>
      </w:r>
      <w:r w:rsidR="005E0406">
        <w:rPr>
          <w:rFonts w:ascii="Times New Roman" w:hAnsi="Times New Roman" w:cs="Times New Roman"/>
          <w:sz w:val="24"/>
          <w:szCs w:val="24"/>
        </w:rPr>
        <w:fldChar w:fldCharType="begin"/>
      </w:r>
      <w:r w:rsidR="00BA15F3">
        <w:instrText xml:space="preserve"> XE "</w:instrText>
      </w:r>
      <w:r w:rsidR="00BA15F3" w:rsidRPr="000B48F0">
        <w:rPr>
          <w:rFonts w:ascii="Times New Roman" w:hAnsi="Times New Roman" w:cs="Times New Roman"/>
          <w:sz w:val="24"/>
          <w:szCs w:val="24"/>
        </w:rPr>
        <w:instrText>homelessness</w:instrText>
      </w:r>
      <w:r w:rsidR="00BA15F3">
        <w:instrText xml:space="preserve">" </w:instrText>
      </w:r>
      <w:r w:rsidR="005E0406">
        <w:rPr>
          <w:rFonts w:ascii="Times New Roman" w:hAnsi="Times New Roman" w:cs="Times New Roman"/>
          <w:sz w:val="24"/>
          <w:szCs w:val="24"/>
        </w:rPr>
        <w:fldChar w:fldCharType="end"/>
      </w:r>
      <w:r>
        <w:rPr>
          <w:rFonts w:ascii="Times New Roman" w:hAnsi="Times New Roman" w:cs="Times New Roman"/>
          <w:sz w:val="24"/>
          <w:szCs w:val="24"/>
        </w:rPr>
        <w:t>. The numbers of households accepted by local authorities</w:t>
      </w:r>
      <w:r w:rsidR="003E0665">
        <w:rPr>
          <w:rFonts w:ascii="Times New Roman" w:hAnsi="Times New Roman" w:cs="Times New Roman"/>
          <w:sz w:val="24"/>
          <w:szCs w:val="24"/>
        </w:rPr>
        <w:t xml:space="preserve"> in England</w:t>
      </w:r>
      <w:r>
        <w:rPr>
          <w:rFonts w:ascii="Times New Roman" w:hAnsi="Times New Roman" w:cs="Times New Roman"/>
          <w:sz w:val="24"/>
          <w:szCs w:val="24"/>
        </w:rPr>
        <w:t xml:space="preserve"> as homeless and in priority need fell from about 102 thousand annually to about 42 between 1997 and 2009. It </w:t>
      </w:r>
      <w:r w:rsidR="00C7189D">
        <w:rPr>
          <w:rFonts w:ascii="Times New Roman" w:hAnsi="Times New Roman" w:cs="Times New Roman"/>
          <w:sz w:val="24"/>
          <w:szCs w:val="24"/>
        </w:rPr>
        <w:t xml:space="preserve">then rose </w:t>
      </w:r>
      <w:r>
        <w:rPr>
          <w:rFonts w:ascii="Times New Roman" w:hAnsi="Times New Roman" w:cs="Times New Roman"/>
          <w:sz w:val="24"/>
          <w:szCs w:val="24"/>
        </w:rPr>
        <w:t>to som</w:t>
      </w:r>
      <w:r w:rsidR="00C7189D">
        <w:rPr>
          <w:rFonts w:ascii="Times New Roman" w:hAnsi="Times New Roman" w:cs="Times New Roman"/>
          <w:sz w:val="24"/>
          <w:szCs w:val="24"/>
        </w:rPr>
        <w:t>e 48 thousand (</w:t>
      </w:r>
      <w:r w:rsidR="005D2FF4">
        <w:rPr>
          <w:rFonts w:ascii="Times New Roman" w:hAnsi="Times New Roman" w:cs="Times New Roman"/>
          <w:sz w:val="24"/>
          <w:szCs w:val="24"/>
        </w:rPr>
        <w:t>June 2012</w:t>
      </w:r>
      <w:r w:rsidR="00C7189D">
        <w:rPr>
          <w:rFonts w:ascii="Times New Roman" w:hAnsi="Times New Roman" w:cs="Times New Roman"/>
          <w:sz w:val="24"/>
          <w:szCs w:val="24"/>
        </w:rPr>
        <w:t>)</w:t>
      </w:r>
      <w:r w:rsidR="005D2FF4">
        <w:rPr>
          <w:rFonts w:ascii="Times New Roman" w:hAnsi="Times New Roman" w:cs="Times New Roman"/>
          <w:sz w:val="24"/>
          <w:szCs w:val="24"/>
        </w:rPr>
        <w:t xml:space="preserve"> and continu</w:t>
      </w:r>
      <w:r w:rsidR="00D35CDB">
        <w:rPr>
          <w:rFonts w:ascii="Times New Roman" w:hAnsi="Times New Roman" w:cs="Times New Roman"/>
          <w:sz w:val="24"/>
          <w:szCs w:val="24"/>
        </w:rPr>
        <w:t>es</w:t>
      </w:r>
      <w:r w:rsidR="005D2FF4">
        <w:rPr>
          <w:rFonts w:ascii="Times New Roman" w:hAnsi="Times New Roman" w:cs="Times New Roman"/>
          <w:sz w:val="24"/>
          <w:szCs w:val="24"/>
        </w:rPr>
        <w:t xml:space="preserve"> to rise (DCLG 2012, Chart 3; HoC Library</w:t>
      </w:r>
      <w:r w:rsidR="007F76FC">
        <w:rPr>
          <w:rFonts w:ascii="Times New Roman" w:hAnsi="Times New Roman" w:cs="Times New Roman"/>
          <w:sz w:val="24"/>
          <w:szCs w:val="24"/>
        </w:rPr>
        <w:fldChar w:fldCharType="begin"/>
      </w:r>
      <w:r w:rsidR="007F76FC">
        <w:instrText xml:space="preserve"> XE "</w:instrText>
      </w:r>
      <w:r w:rsidR="007F76FC" w:rsidRPr="00162A38">
        <w:rPr>
          <w:rFonts w:ascii="Times New Roman" w:hAnsi="Times New Roman" w:cs="Times New Roman"/>
          <w:sz w:val="24"/>
          <w:szCs w:val="24"/>
        </w:rPr>
        <w:instrText>HoC Library</w:instrText>
      </w:r>
      <w:r w:rsidR="007F76FC">
        <w:instrText xml:space="preserve">" </w:instrText>
      </w:r>
      <w:r w:rsidR="007F76FC">
        <w:rPr>
          <w:rFonts w:ascii="Times New Roman" w:hAnsi="Times New Roman" w:cs="Times New Roman"/>
          <w:sz w:val="24"/>
          <w:szCs w:val="24"/>
        </w:rPr>
        <w:fldChar w:fldCharType="end"/>
      </w:r>
      <w:r w:rsidR="005D2FF4">
        <w:rPr>
          <w:rFonts w:ascii="Times New Roman" w:hAnsi="Times New Roman" w:cs="Times New Roman"/>
          <w:sz w:val="24"/>
          <w:szCs w:val="24"/>
        </w:rPr>
        <w:t xml:space="preserve"> 2012, Table 1).</w:t>
      </w:r>
      <w:r>
        <w:rPr>
          <w:rFonts w:ascii="Times New Roman" w:hAnsi="Times New Roman" w:cs="Times New Roman"/>
          <w:sz w:val="24"/>
          <w:szCs w:val="24"/>
        </w:rPr>
        <w:t xml:space="preserve"> The long-term context is a</w:t>
      </w:r>
      <w:r w:rsidR="00445D6D">
        <w:rPr>
          <w:rFonts w:ascii="Times New Roman" w:hAnsi="Times New Roman" w:cs="Times New Roman"/>
          <w:sz w:val="24"/>
          <w:szCs w:val="24"/>
        </w:rPr>
        <w:t xml:space="preserve">n established trend to an increase in demand for housing as </w:t>
      </w:r>
      <w:r w:rsidR="00445D6D" w:rsidRPr="00445D6D">
        <w:rPr>
          <w:rFonts w:ascii="Times New Roman" w:hAnsi="Times New Roman" w:cs="Times New Roman"/>
          <w:sz w:val="24"/>
          <w:szCs w:val="24"/>
        </w:rPr>
        <w:t>the nu</w:t>
      </w:r>
      <w:r w:rsidR="00445D6D">
        <w:rPr>
          <w:rFonts w:ascii="Times New Roman" w:hAnsi="Times New Roman" w:cs="Times New Roman"/>
          <w:sz w:val="24"/>
          <w:szCs w:val="24"/>
        </w:rPr>
        <w:t>mber of households rises, from 16.3 million in 1961 to 20.2 in 1981 to 25.3 by 2010</w:t>
      </w:r>
      <w:r w:rsidR="003E0665">
        <w:rPr>
          <w:rFonts w:ascii="Times New Roman" w:hAnsi="Times New Roman" w:cs="Times New Roman"/>
          <w:sz w:val="24"/>
          <w:szCs w:val="24"/>
        </w:rPr>
        <w:t xml:space="preserve"> and is predicted to reach 27.5 million by 2033</w:t>
      </w:r>
      <w:r w:rsidR="00445D6D" w:rsidRPr="00445D6D">
        <w:rPr>
          <w:rFonts w:ascii="Times New Roman" w:hAnsi="Times New Roman" w:cs="Times New Roman"/>
          <w:sz w:val="24"/>
          <w:szCs w:val="24"/>
        </w:rPr>
        <w:t xml:space="preserve"> (ONS 2012a, 1</w:t>
      </w:r>
      <w:r w:rsidR="005074E6">
        <w:rPr>
          <w:rFonts w:ascii="Times New Roman" w:hAnsi="Times New Roman" w:cs="Times New Roman"/>
          <w:sz w:val="24"/>
          <w:szCs w:val="24"/>
        </w:rPr>
        <w:t>; DCLG</w:t>
      </w:r>
      <w:r w:rsidR="007F76FC">
        <w:rPr>
          <w:rFonts w:ascii="Times New Roman" w:hAnsi="Times New Roman" w:cs="Times New Roman"/>
          <w:sz w:val="24"/>
          <w:szCs w:val="24"/>
        </w:rPr>
        <w:fldChar w:fldCharType="begin"/>
      </w:r>
      <w:r w:rsidR="007F76FC">
        <w:instrText xml:space="preserve"> XE "</w:instrText>
      </w:r>
      <w:r w:rsidR="007F76FC" w:rsidRPr="00151FA3">
        <w:rPr>
          <w:rFonts w:ascii="Times New Roman" w:hAnsi="Times New Roman" w:cs="Times New Roman"/>
          <w:sz w:val="24"/>
          <w:szCs w:val="24"/>
        </w:rPr>
        <w:instrText>DCLG</w:instrText>
      </w:r>
      <w:r w:rsidR="007F76FC">
        <w:instrText xml:space="preserve">" </w:instrText>
      </w:r>
      <w:r w:rsidR="007F76FC">
        <w:rPr>
          <w:rFonts w:ascii="Times New Roman" w:hAnsi="Times New Roman" w:cs="Times New Roman"/>
          <w:sz w:val="24"/>
          <w:szCs w:val="24"/>
        </w:rPr>
        <w:fldChar w:fldCharType="end"/>
      </w:r>
      <w:r w:rsidR="005074E6">
        <w:rPr>
          <w:rFonts w:ascii="Times New Roman" w:hAnsi="Times New Roman" w:cs="Times New Roman"/>
          <w:sz w:val="24"/>
          <w:szCs w:val="24"/>
        </w:rPr>
        <w:t xml:space="preserve"> 2010</w:t>
      </w:r>
      <w:r w:rsidR="00445D6D" w:rsidRPr="00445D6D">
        <w:rPr>
          <w:rFonts w:ascii="Times New Roman" w:hAnsi="Times New Roman" w:cs="Times New Roman"/>
          <w:sz w:val="24"/>
          <w:szCs w:val="24"/>
        </w:rPr>
        <w:t xml:space="preserve">). </w:t>
      </w:r>
      <w:r w:rsidR="00260EE1">
        <w:rPr>
          <w:rFonts w:ascii="Times New Roman" w:hAnsi="Times New Roman" w:cs="Times New Roman"/>
          <w:sz w:val="24"/>
          <w:szCs w:val="24"/>
        </w:rPr>
        <w:t>The number of dwellings slightly exceeds that of households, but demand is concentrated, particularly in</w:t>
      </w:r>
      <w:r w:rsidR="00D35CDB">
        <w:rPr>
          <w:rFonts w:ascii="Times New Roman" w:hAnsi="Times New Roman" w:cs="Times New Roman"/>
          <w:sz w:val="24"/>
          <w:szCs w:val="24"/>
        </w:rPr>
        <w:t xml:space="preserve"> the </w:t>
      </w:r>
      <w:r w:rsidR="00E83547">
        <w:rPr>
          <w:rFonts w:ascii="Times New Roman" w:hAnsi="Times New Roman" w:cs="Times New Roman"/>
          <w:sz w:val="24"/>
          <w:szCs w:val="24"/>
        </w:rPr>
        <w:t>Midlands</w:t>
      </w:r>
      <w:r w:rsidR="00D35CDB">
        <w:rPr>
          <w:rFonts w:ascii="Times New Roman" w:hAnsi="Times New Roman" w:cs="Times New Roman"/>
          <w:sz w:val="24"/>
          <w:szCs w:val="24"/>
        </w:rPr>
        <w:t>,</w:t>
      </w:r>
      <w:r w:rsidR="00260EE1">
        <w:rPr>
          <w:rFonts w:ascii="Times New Roman" w:hAnsi="Times New Roman" w:cs="Times New Roman"/>
          <w:sz w:val="24"/>
          <w:szCs w:val="24"/>
        </w:rPr>
        <w:t xml:space="preserve"> London and the South-East</w:t>
      </w:r>
      <w:r w:rsidR="00445D6D">
        <w:rPr>
          <w:rFonts w:ascii="Times New Roman" w:hAnsi="Times New Roman" w:cs="Times New Roman"/>
          <w:sz w:val="24"/>
          <w:szCs w:val="24"/>
        </w:rPr>
        <w:t xml:space="preserve"> producing </w:t>
      </w:r>
      <w:r w:rsidR="00260EE1">
        <w:rPr>
          <w:rFonts w:ascii="Times New Roman" w:hAnsi="Times New Roman" w:cs="Times New Roman"/>
          <w:sz w:val="24"/>
          <w:szCs w:val="24"/>
        </w:rPr>
        <w:t>intense pressure on stock and</w:t>
      </w:r>
      <w:r w:rsidR="00445D6D">
        <w:rPr>
          <w:rFonts w:ascii="Times New Roman" w:hAnsi="Times New Roman" w:cs="Times New Roman"/>
          <w:sz w:val="24"/>
          <w:szCs w:val="24"/>
        </w:rPr>
        <w:t xml:space="preserve"> higher rents and prices</w:t>
      </w:r>
      <w:r w:rsidR="00C7189D">
        <w:rPr>
          <w:rFonts w:ascii="Times New Roman" w:hAnsi="Times New Roman" w:cs="Times New Roman"/>
          <w:sz w:val="24"/>
          <w:szCs w:val="24"/>
        </w:rPr>
        <w:t xml:space="preserve"> in these areas</w:t>
      </w:r>
      <w:r w:rsidR="00445D6D" w:rsidRPr="00445D6D">
        <w:rPr>
          <w:rFonts w:ascii="Times New Roman" w:hAnsi="Times New Roman" w:cs="Times New Roman"/>
          <w:sz w:val="24"/>
          <w:szCs w:val="24"/>
        </w:rPr>
        <w:t xml:space="preserve">. </w:t>
      </w:r>
      <w:r w:rsidR="005074E6">
        <w:rPr>
          <w:rFonts w:ascii="Times New Roman" w:hAnsi="Times New Roman" w:cs="Times New Roman"/>
          <w:sz w:val="24"/>
          <w:szCs w:val="24"/>
        </w:rPr>
        <w:t xml:space="preserve">The problems for low-income and vulnerable groups are exacerbated by the fact that the </w:t>
      </w:r>
      <w:r w:rsidR="005D2FF4">
        <w:rPr>
          <w:rFonts w:ascii="Times New Roman" w:hAnsi="Times New Roman" w:cs="Times New Roman"/>
          <w:sz w:val="24"/>
          <w:szCs w:val="24"/>
        </w:rPr>
        <w:t xml:space="preserve">proportion of all housing </w:t>
      </w:r>
      <w:r w:rsidR="005074E6">
        <w:rPr>
          <w:rFonts w:ascii="Times New Roman" w:hAnsi="Times New Roman" w:cs="Times New Roman"/>
          <w:sz w:val="24"/>
          <w:szCs w:val="24"/>
        </w:rPr>
        <w:t xml:space="preserve">provided by social landlords (councils and housing associations) has fallen sharply, </w:t>
      </w:r>
      <w:r>
        <w:rPr>
          <w:rFonts w:ascii="Times New Roman" w:hAnsi="Times New Roman" w:cs="Times New Roman"/>
          <w:sz w:val="24"/>
          <w:szCs w:val="24"/>
        </w:rPr>
        <w:t xml:space="preserve">from 31 to 20 per cent </w:t>
      </w:r>
      <w:r w:rsidR="005074E6">
        <w:rPr>
          <w:rFonts w:ascii="Times New Roman" w:hAnsi="Times New Roman" w:cs="Times New Roman"/>
          <w:sz w:val="24"/>
          <w:szCs w:val="24"/>
        </w:rPr>
        <w:t xml:space="preserve">between </w:t>
      </w:r>
      <w:r>
        <w:rPr>
          <w:rFonts w:ascii="Times New Roman" w:hAnsi="Times New Roman" w:cs="Times New Roman"/>
          <w:sz w:val="24"/>
          <w:szCs w:val="24"/>
        </w:rPr>
        <w:t>1977 and 2012</w:t>
      </w:r>
      <w:r w:rsidR="005074E6">
        <w:rPr>
          <w:rFonts w:ascii="Times New Roman" w:hAnsi="Times New Roman" w:cs="Times New Roman"/>
          <w:sz w:val="24"/>
          <w:szCs w:val="24"/>
        </w:rPr>
        <w:t>,</w:t>
      </w:r>
      <w:r>
        <w:rPr>
          <w:rFonts w:ascii="Times New Roman" w:hAnsi="Times New Roman" w:cs="Times New Roman"/>
          <w:sz w:val="24"/>
          <w:szCs w:val="24"/>
        </w:rPr>
        <w:t xml:space="preserve"> as</w:t>
      </w:r>
      <w:r w:rsidR="005D2FF4">
        <w:rPr>
          <w:rFonts w:ascii="Times New Roman" w:hAnsi="Times New Roman" w:cs="Times New Roman"/>
          <w:sz w:val="24"/>
          <w:szCs w:val="24"/>
        </w:rPr>
        <w:t xml:space="preserve"> a result of right to buy purchases and limited investment (HoC Library, 2012, 2).</w:t>
      </w:r>
      <w:r>
        <w:rPr>
          <w:rFonts w:ascii="Times New Roman" w:hAnsi="Times New Roman" w:cs="Times New Roman"/>
          <w:sz w:val="24"/>
          <w:szCs w:val="24"/>
        </w:rPr>
        <w:t xml:space="preserve"> </w:t>
      </w:r>
      <w:r w:rsidR="005D2FF4">
        <w:rPr>
          <w:rFonts w:ascii="Times New Roman" w:hAnsi="Times New Roman" w:cs="Times New Roman"/>
          <w:sz w:val="24"/>
          <w:szCs w:val="24"/>
        </w:rPr>
        <w:t>The cuts in housing benefit</w:t>
      </w:r>
      <w:r w:rsidR="005B2DCA">
        <w:rPr>
          <w:rFonts w:ascii="Times New Roman" w:hAnsi="Times New Roman" w:cs="Times New Roman"/>
          <w:sz w:val="24"/>
          <w:szCs w:val="24"/>
        </w:rPr>
        <w:fldChar w:fldCharType="begin"/>
      </w:r>
      <w:r w:rsidR="005B2DCA">
        <w:instrText xml:space="preserve"> XE "</w:instrText>
      </w:r>
      <w:r w:rsidR="006848DE">
        <w:rPr>
          <w:rFonts w:ascii="Times New Roman" w:hAnsi="Times New Roman" w:cs="Times New Roman"/>
          <w:sz w:val="24"/>
          <w:szCs w:val="24"/>
        </w:rPr>
        <w:instrText>H</w:instrText>
      </w:r>
      <w:r w:rsidR="005B2DCA" w:rsidRPr="006627BE">
        <w:rPr>
          <w:rFonts w:ascii="Times New Roman" w:hAnsi="Times New Roman" w:cs="Times New Roman"/>
          <w:sz w:val="24"/>
          <w:szCs w:val="24"/>
        </w:rPr>
        <w:instrText xml:space="preserve">ousing </w:instrText>
      </w:r>
      <w:r w:rsidR="006848DE">
        <w:rPr>
          <w:rFonts w:ascii="Times New Roman" w:hAnsi="Times New Roman" w:cs="Times New Roman"/>
          <w:sz w:val="24"/>
          <w:szCs w:val="24"/>
        </w:rPr>
        <w:instrText>B</w:instrText>
      </w:r>
      <w:r w:rsidR="005B2DCA" w:rsidRPr="006627BE">
        <w:rPr>
          <w:rFonts w:ascii="Times New Roman" w:hAnsi="Times New Roman" w:cs="Times New Roman"/>
          <w:sz w:val="24"/>
          <w:szCs w:val="24"/>
        </w:rPr>
        <w:instrText>enefit</w:instrText>
      </w:r>
      <w:r w:rsidR="005B2DCA">
        <w:instrText xml:space="preserve">" </w:instrText>
      </w:r>
      <w:r w:rsidR="005B2DCA">
        <w:rPr>
          <w:rFonts w:ascii="Times New Roman" w:hAnsi="Times New Roman" w:cs="Times New Roman"/>
          <w:sz w:val="24"/>
          <w:szCs w:val="24"/>
        </w:rPr>
        <w:fldChar w:fldCharType="end"/>
      </w:r>
      <w:r w:rsidR="005D2FF4">
        <w:rPr>
          <w:rFonts w:ascii="Times New Roman" w:hAnsi="Times New Roman" w:cs="Times New Roman"/>
          <w:sz w:val="24"/>
          <w:szCs w:val="24"/>
        </w:rPr>
        <w:t xml:space="preserve"> mentioned earlier and new rules that allow councils to rehouse vulnerable households in priority need with private landlords without taking the affordability of housing into account are likely to </w:t>
      </w:r>
      <w:r w:rsidR="005074E6">
        <w:rPr>
          <w:rFonts w:ascii="Times New Roman" w:hAnsi="Times New Roman" w:cs="Times New Roman"/>
          <w:sz w:val="24"/>
          <w:szCs w:val="24"/>
        </w:rPr>
        <w:t>make the problem worse</w:t>
      </w:r>
      <w:r w:rsidR="005D2FF4">
        <w:rPr>
          <w:rFonts w:ascii="Times New Roman" w:hAnsi="Times New Roman" w:cs="Times New Roman"/>
          <w:sz w:val="24"/>
          <w:szCs w:val="24"/>
        </w:rPr>
        <w:t>. Some authorities in areas of great housing pressure are moving homeless families outside the borough, often at a considerable distance</w:t>
      </w:r>
      <w:r w:rsidR="00C7189D">
        <w:rPr>
          <w:rFonts w:ascii="Times New Roman" w:hAnsi="Times New Roman" w:cs="Times New Roman"/>
          <w:sz w:val="24"/>
          <w:szCs w:val="24"/>
        </w:rPr>
        <w:t>,</w:t>
      </w:r>
      <w:r w:rsidR="005D2FF4">
        <w:rPr>
          <w:rFonts w:ascii="Times New Roman" w:hAnsi="Times New Roman" w:cs="Times New Roman"/>
          <w:sz w:val="24"/>
          <w:szCs w:val="24"/>
        </w:rPr>
        <w:t xml:space="preserve"> in order to find cheap accommodation</w:t>
      </w:r>
      <w:r w:rsidR="00C7189D">
        <w:rPr>
          <w:rFonts w:ascii="Times New Roman" w:hAnsi="Times New Roman" w:cs="Times New Roman"/>
          <w:sz w:val="24"/>
          <w:szCs w:val="24"/>
        </w:rPr>
        <w:t>. This</w:t>
      </w:r>
      <w:r w:rsidR="005D2FF4">
        <w:rPr>
          <w:rFonts w:ascii="Times New Roman" w:hAnsi="Times New Roman" w:cs="Times New Roman"/>
          <w:sz w:val="24"/>
          <w:szCs w:val="24"/>
        </w:rPr>
        <w:t xml:space="preserve"> may disrupt family </w:t>
      </w:r>
      <w:r w:rsidR="00C7189D">
        <w:rPr>
          <w:rFonts w:ascii="Times New Roman" w:hAnsi="Times New Roman" w:cs="Times New Roman"/>
          <w:sz w:val="24"/>
          <w:szCs w:val="24"/>
        </w:rPr>
        <w:t>networks,</w:t>
      </w:r>
      <w:r w:rsidR="005D2FF4">
        <w:rPr>
          <w:rFonts w:ascii="Times New Roman" w:hAnsi="Times New Roman" w:cs="Times New Roman"/>
          <w:sz w:val="24"/>
          <w:szCs w:val="24"/>
        </w:rPr>
        <w:t xml:space="preserve"> children’s schooling and work </w:t>
      </w:r>
      <w:r w:rsidR="00C7189D">
        <w:rPr>
          <w:rFonts w:ascii="Times New Roman" w:hAnsi="Times New Roman" w:cs="Times New Roman"/>
          <w:sz w:val="24"/>
          <w:szCs w:val="24"/>
        </w:rPr>
        <w:t>contacts</w:t>
      </w:r>
      <w:r w:rsidR="005D2FF4">
        <w:rPr>
          <w:rFonts w:ascii="Times New Roman" w:hAnsi="Times New Roman" w:cs="Times New Roman"/>
          <w:sz w:val="24"/>
          <w:szCs w:val="24"/>
        </w:rPr>
        <w:t xml:space="preserve">. </w:t>
      </w:r>
    </w:p>
    <w:p w:rsidR="005D2FF4" w:rsidRPr="00D76399" w:rsidRDefault="005D2FF4" w:rsidP="00F34DAD">
      <w:pPr>
        <w:jc w:val="left"/>
        <w:rPr>
          <w:rFonts w:ascii="Times New Roman" w:hAnsi="Times New Roman" w:cs="Times New Roman"/>
          <w:sz w:val="24"/>
          <w:szCs w:val="24"/>
        </w:rPr>
      </w:pPr>
      <w:r>
        <w:rPr>
          <w:rFonts w:ascii="Times New Roman" w:hAnsi="Times New Roman" w:cs="Times New Roman"/>
          <w:sz w:val="24"/>
          <w:szCs w:val="24"/>
        </w:rPr>
        <w:t xml:space="preserve"> </w:t>
      </w: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b/>
          <w:i/>
          <w:sz w:val="24"/>
          <w:szCs w:val="24"/>
        </w:rPr>
        <w:t>The risks:</w:t>
      </w:r>
      <w:r w:rsidRPr="00D76399">
        <w:rPr>
          <w:rFonts w:ascii="Times New Roman" w:hAnsi="Times New Roman" w:cs="Times New Roman"/>
          <w:sz w:val="24"/>
          <w:szCs w:val="24"/>
        </w:rPr>
        <w:t xml:space="preserve"> The speed and depth of the cutbacks are particularly surprising because they involve major risks in three directions: economically, politically and practically. The economic risk</w:t>
      </w:r>
      <w:r w:rsidR="005E0406">
        <w:rPr>
          <w:rFonts w:ascii="Times New Roman" w:hAnsi="Times New Roman" w:cs="Times New Roman"/>
          <w:sz w:val="24"/>
          <w:szCs w:val="24"/>
        </w:rPr>
        <w:fldChar w:fldCharType="begin"/>
      </w:r>
      <w:r w:rsidR="00BA15F3">
        <w:instrText xml:space="preserve"> XE "</w:instrText>
      </w:r>
      <w:r w:rsidR="00BA15F3" w:rsidRPr="005A4D86">
        <w:rPr>
          <w:rFonts w:ascii="Times New Roman" w:hAnsi="Times New Roman" w:cs="Times New Roman"/>
          <w:sz w:val="24"/>
          <w:szCs w:val="24"/>
        </w:rPr>
        <w:instrText>risk:</w:instrText>
      </w:r>
      <w:r w:rsidR="00BA15F3" w:rsidRPr="005A4D86">
        <w:instrText>economic</w:instrText>
      </w:r>
      <w:r w:rsidR="00BA15F3">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is simply that the assumptions about how government interventions influence the economy may prove incorrect. The decisive shift towards a liberal cut-back approach may fail to reduce the deficit </w:t>
      </w:r>
      <w:r w:rsidR="00CB1968">
        <w:rPr>
          <w:rFonts w:ascii="Times New Roman" w:hAnsi="Times New Roman" w:cs="Times New Roman"/>
          <w:sz w:val="24"/>
          <w:szCs w:val="24"/>
        </w:rPr>
        <w:t>or</w:t>
      </w:r>
      <w:r w:rsidRPr="00D76399">
        <w:rPr>
          <w:rFonts w:ascii="Times New Roman" w:hAnsi="Times New Roman" w:cs="Times New Roman"/>
          <w:sz w:val="24"/>
          <w:szCs w:val="24"/>
        </w:rPr>
        <w:t xml:space="preserve"> re-establish the conditions for growth. At the time of writing (December 2012) growth is stalled, the deficit expanding and the Office for Budgetary Responsibility assumes it will do so until at least 201</w:t>
      </w:r>
      <w:r w:rsidR="00D464C8">
        <w:rPr>
          <w:rFonts w:ascii="Times New Roman" w:hAnsi="Times New Roman" w:cs="Times New Roman"/>
          <w:sz w:val="24"/>
          <w:szCs w:val="24"/>
        </w:rPr>
        <w:t>7-18</w:t>
      </w:r>
      <w:r w:rsidRPr="00D76399">
        <w:rPr>
          <w:rFonts w:ascii="Times New Roman" w:hAnsi="Times New Roman" w:cs="Times New Roman"/>
          <w:sz w:val="24"/>
          <w:szCs w:val="24"/>
        </w:rPr>
        <w:t xml:space="preserve"> (</w:t>
      </w:r>
      <w:r w:rsidR="00C11044">
        <w:rPr>
          <w:rFonts w:ascii="Times New Roman" w:hAnsi="Times New Roman" w:cs="Times New Roman"/>
          <w:sz w:val="24"/>
          <w:szCs w:val="24"/>
        </w:rPr>
        <w:t>OBR 2012a, Table 1.2</w:t>
      </w:r>
      <w:r w:rsidR="00642A30">
        <w:rPr>
          <w:rFonts w:ascii="Times New Roman" w:hAnsi="Times New Roman" w:cs="Times New Roman"/>
          <w:sz w:val="24"/>
          <w:szCs w:val="24"/>
        </w:rPr>
        <w:t xml:space="preserve">). </w:t>
      </w:r>
      <w:r w:rsidRPr="00D76399">
        <w:rPr>
          <w:rFonts w:ascii="Times New Roman" w:hAnsi="Times New Roman" w:cs="Times New Roman"/>
          <w:sz w:val="24"/>
          <w:szCs w:val="24"/>
        </w:rPr>
        <w:t xml:space="preserve">The International Monetary Fund now argues that austerity has had a more damaging effect on </w:t>
      </w:r>
      <w:r w:rsidRPr="00D76399">
        <w:rPr>
          <w:rFonts w:ascii="Times New Roman" w:hAnsi="Times New Roman" w:cs="Times New Roman"/>
          <w:sz w:val="24"/>
          <w:szCs w:val="24"/>
        </w:rPr>
        <w:lastRenderedPageBreak/>
        <w:t xml:space="preserve">economic recovery than was previously </w:t>
      </w:r>
      <w:r w:rsidR="002F32DB" w:rsidRPr="00D76399">
        <w:rPr>
          <w:rFonts w:ascii="Times New Roman" w:hAnsi="Times New Roman" w:cs="Times New Roman"/>
          <w:sz w:val="24"/>
          <w:szCs w:val="24"/>
        </w:rPr>
        <w:t>assumed and</w:t>
      </w:r>
      <w:r w:rsidRPr="00D76399">
        <w:rPr>
          <w:rFonts w:ascii="Times New Roman" w:hAnsi="Times New Roman" w:cs="Times New Roman"/>
          <w:sz w:val="24"/>
          <w:szCs w:val="24"/>
        </w:rPr>
        <w:t xml:space="preserve"> may actually cut growth (IMF</w:t>
      </w:r>
      <w:r w:rsidR="007F76FC">
        <w:rPr>
          <w:rFonts w:ascii="Times New Roman" w:hAnsi="Times New Roman" w:cs="Times New Roman"/>
          <w:sz w:val="24"/>
          <w:szCs w:val="24"/>
        </w:rPr>
        <w:fldChar w:fldCharType="begin"/>
      </w:r>
      <w:r w:rsidR="007F76FC">
        <w:instrText xml:space="preserve"> XE "</w:instrText>
      </w:r>
      <w:r w:rsidR="007F76FC" w:rsidRPr="000F793C">
        <w:rPr>
          <w:rFonts w:ascii="Times New Roman" w:hAnsi="Times New Roman" w:cs="Times New Roman"/>
          <w:sz w:val="24"/>
          <w:szCs w:val="24"/>
        </w:rPr>
        <w:instrText>IMF</w:instrText>
      </w:r>
      <w:r w:rsidR="007F76FC">
        <w:instrText xml:space="preserve">" </w:instrText>
      </w:r>
      <w:r w:rsidR="007F76FC">
        <w:rPr>
          <w:rFonts w:ascii="Times New Roman" w:hAnsi="Times New Roman" w:cs="Times New Roman"/>
          <w:sz w:val="24"/>
          <w:szCs w:val="24"/>
        </w:rPr>
        <w:fldChar w:fldCharType="end"/>
      </w:r>
      <w:r w:rsidRPr="00D76399">
        <w:rPr>
          <w:rFonts w:ascii="Times New Roman" w:hAnsi="Times New Roman" w:cs="Times New Roman"/>
          <w:sz w:val="24"/>
          <w:szCs w:val="24"/>
        </w:rPr>
        <w:t xml:space="preserve"> 2012b, 41).</w:t>
      </w:r>
      <w:r w:rsidR="00E83547">
        <w:rPr>
          <w:rFonts w:ascii="Times New Roman" w:hAnsi="Times New Roman" w:cs="Times New Roman"/>
          <w:sz w:val="24"/>
          <w:szCs w:val="24"/>
        </w:rPr>
        <w:t xml:space="preserve"> </w:t>
      </w:r>
      <w:r w:rsidRPr="00D76399">
        <w:rPr>
          <w:rFonts w:ascii="Times New Roman" w:hAnsi="Times New Roman" w:cs="Times New Roman"/>
          <w:sz w:val="24"/>
          <w:szCs w:val="24"/>
        </w:rPr>
        <w:t xml:space="preserve">The government is under pressure to regulate the financial sector more strictly and has reluctantly agreed, although serious intervention is postponed until 2019. State-led investment is </w:t>
      </w:r>
      <w:r w:rsidR="00642A30">
        <w:rPr>
          <w:rFonts w:ascii="Times New Roman" w:hAnsi="Times New Roman" w:cs="Times New Roman"/>
          <w:sz w:val="24"/>
          <w:szCs w:val="24"/>
        </w:rPr>
        <w:t xml:space="preserve">now </w:t>
      </w:r>
      <w:r w:rsidRPr="00D76399">
        <w:rPr>
          <w:rFonts w:ascii="Times New Roman" w:hAnsi="Times New Roman" w:cs="Times New Roman"/>
          <w:sz w:val="24"/>
          <w:szCs w:val="24"/>
        </w:rPr>
        <w:t xml:space="preserve">being pursued on a modest scale </w:t>
      </w:r>
      <w:r w:rsidR="00642A30" w:rsidRPr="00D76399">
        <w:rPr>
          <w:rFonts w:ascii="Times New Roman" w:hAnsi="Times New Roman" w:cs="Times New Roman"/>
          <w:sz w:val="24"/>
          <w:szCs w:val="24"/>
        </w:rPr>
        <w:t xml:space="preserve">by underwriting bank lending to business </w:t>
      </w:r>
      <w:r w:rsidR="00642A30">
        <w:rPr>
          <w:rFonts w:ascii="Times New Roman" w:hAnsi="Times New Roman" w:cs="Times New Roman"/>
          <w:sz w:val="24"/>
          <w:szCs w:val="24"/>
        </w:rPr>
        <w:t xml:space="preserve">and </w:t>
      </w:r>
      <w:r w:rsidRPr="00D76399">
        <w:rPr>
          <w:rFonts w:ascii="Times New Roman" w:hAnsi="Times New Roman" w:cs="Times New Roman"/>
          <w:sz w:val="24"/>
          <w:szCs w:val="24"/>
        </w:rPr>
        <w:t>though transport</w:t>
      </w:r>
      <w:r w:rsidR="00642A30">
        <w:rPr>
          <w:rFonts w:ascii="Times New Roman" w:hAnsi="Times New Roman" w:cs="Times New Roman"/>
          <w:sz w:val="24"/>
          <w:szCs w:val="24"/>
        </w:rPr>
        <w:t xml:space="preserve"> and infrastructure undertaking</w:t>
      </w:r>
      <w:r w:rsidR="007C5D9F">
        <w:rPr>
          <w:rFonts w:ascii="Times New Roman" w:hAnsi="Times New Roman" w:cs="Times New Roman"/>
          <w:sz w:val="24"/>
          <w:szCs w:val="24"/>
        </w:rPr>
        <w:t>s</w:t>
      </w:r>
      <w:r w:rsidRPr="00D76399">
        <w:rPr>
          <w:rFonts w:ascii="Times New Roman" w:hAnsi="Times New Roman" w:cs="Times New Roman"/>
          <w:sz w:val="24"/>
          <w:szCs w:val="24"/>
        </w:rPr>
        <w:t>.</w:t>
      </w:r>
      <w:r w:rsidR="00CB1968">
        <w:rPr>
          <w:rFonts w:ascii="Times New Roman" w:hAnsi="Times New Roman" w:cs="Times New Roman"/>
          <w:sz w:val="24"/>
          <w:szCs w:val="24"/>
        </w:rPr>
        <w:t xml:space="preserve"> </w:t>
      </w:r>
      <w:r w:rsidR="00642A30">
        <w:rPr>
          <w:rFonts w:ascii="Times New Roman" w:hAnsi="Times New Roman" w:cs="Times New Roman"/>
          <w:sz w:val="24"/>
          <w:szCs w:val="24"/>
        </w:rPr>
        <w:t>These are to be financed through f</w:t>
      </w:r>
      <w:r w:rsidR="00CB1968">
        <w:rPr>
          <w:rFonts w:ascii="Times New Roman" w:hAnsi="Times New Roman" w:cs="Times New Roman"/>
          <w:sz w:val="24"/>
          <w:szCs w:val="24"/>
        </w:rPr>
        <w:t xml:space="preserve">urther </w:t>
      </w:r>
      <w:r w:rsidR="00642A30">
        <w:rPr>
          <w:rFonts w:ascii="Times New Roman" w:hAnsi="Times New Roman" w:cs="Times New Roman"/>
          <w:sz w:val="24"/>
          <w:szCs w:val="24"/>
        </w:rPr>
        <w:t>unspecified cuts to</w:t>
      </w:r>
      <w:r w:rsidR="00CB1968">
        <w:rPr>
          <w:rFonts w:ascii="Times New Roman" w:hAnsi="Times New Roman" w:cs="Times New Roman"/>
          <w:sz w:val="24"/>
          <w:szCs w:val="24"/>
        </w:rPr>
        <w:t xml:space="preserve"> benefits and services</w:t>
      </w:r>
      <w:r w:rsidR="00642A30">
        <w:rPr>
          <w:rFonts w:ascii="Times New Roman" w:hAnsi="Times New Roman" w:cs="Times New Roman"/>
          <w:sz w:val="24"/>
          <w:szCs w:val="24"/>
        </w:rPr>
        <w:t xml:space="preserve"> from 2013, with the NHS and education </w:t>
      </w:r>
      <w:r w:rsidR="00C1454E">
        <w:rPr>
          <w:rFonts w:ascii="Times New Roman" w:hAnsi="Times New Roman" w:cs="Times New Roman"/>
          <w:sz w:val="24"/>
          <w:szCs w:val="24"/>
        </w:rPr>
        <w:t xml:space="preserve">largely </w:t>
      </w:r>
      <w:r w:rsidR="00642A30">
        <w:rPr>
          <w:rFonts w:ascii="Times New Roman" w:hAnsi="Times New Roman" w:cs="Times New Roman"/>
          <w:sz w:val="24"/>
          <w:szCs w:val="24"/>
        </w:rPr>
        <w:t>protected (HM Treasury 2012b)</w:t>
      </w:r>
      <w:r w:rsidR="00CB1968">
        <w:rPr>
          <w:rFonts w:ascii="Times New Roman" w:hAnsi="Times New Roman" w:cs="Times New Roman"/>
          <w:sz w:val="24"/>
          <w:szCs w:val="24"/>
        </w:rPr>
        <w:t>.</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The political risk</w:t>
      </w:r>
      <w:r w:rsidR="005E0406">
        <w:rPr>
          <w:rFonts w:ascii="Times New Roman" w:hAnsi="Times New Roman" w:cs="Times New Roman"/>
          <w:sz w:val="24"/>
          <w:szCs w:val="24"/>
        </w:rPr>
        <w:fldChar w:fldCharType="begin"/>
      </w:r>
      <w:r w:rsidR="00BA15F3">
        <w:instrText xml:space="preserve"> XE "</w:instrText>
      </w:r>
      <w:r w:rsidR="00BA15F3" w:rsidRPr="0003547D">
        <w:rPr>
          <w:rFonts w:ascii="Times New Roman" w:hAnsi="Times New Roman" w:cs="Times New Roman"/>
          <w:sz w:val="24"/>
          <w:szCs w:val="24"/>
        </w:rPr>
        <w:instrText>risk:</w:instrText>
      </w:r>
      <w:r w:rsidR="00BA15F3" w:rsidRPr="0003547D">
        <w:instrText>political</w:instrText>
      </w:r>
      <w:r w:rsidR="00BA15F3">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s are especially serious for a coalition and follow from the economic problems. Continued austerity and failure to achieve key targets in growth and deficit reduction may damage prospects in the 2015 election. The coalition partners, who include some committed to a more centrist agenda, may withdraw support from for some agreed policies.</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pStyle w:val="Default"/>
        <w:spacing w:line="276" w:lineRule="auto"/>
        <w:rPr>
          <w:rFonts w:ascii="Times New Roman" w:hAnsi="Times New Roman" w:cs="Times New Roman"/>
        </w:rPr>
      </w:pPr>
      <w:r w:rsidRPr="00D76399">
        <w:rPr>
          <w:rFonts w:ascii="Times New Roman" w:hAnsi="Times New Roman" w:cs="Times New Roman"/>
        </w:rPr>
        <w:t>Practical risk</w:t>
      </w:r>
      <w:r w:rsidR="005E0406">
        <w:rPr>
          <w:rFonts w:ascii="Times New Roman" w:hAnsi="Times New Roman" w:cs="Times New Roman"/>
        </w:rPr>
        <w:fldChar w:fldCharType="begin"/>
      </w:r>
      <w:r w:rsidR="00BA15F3">
        <w:instrText xml:space="preserve"> XE "</w:instrText>
      </w:r>
      <w:r w:rsidR="00BA15F3" w:rsidRPr="00C023DE">
        <w:rPr>
          <w:rFonts w:ascii="Times New Roman" w:hAnsi="Times New Roman" w:cs="Times New Roman"/>
        </w:rPr>
        <w:instrText>risk:</w:instrText>
      </w:r>
      <w:r w:rsidR="00BA15F3" w:rsidRPr="00C023DE">
        <w:instrText>policy</w:instrText>
      </w:r>
      <w:r w:rsidR="00BA15F3">
        <w:instrText xml:space="preserve">" </w:instrText>
      </w:r>
      <w:r w:rsidR="005E0406">
        <w:rPr>
          <w:rFonts w:ascii="Times New Roman" w:hAnsi="Times New Roman" w:cs="Times New Roman"/>
        </w:rPr>
        <w:fldChar w:fldCharType="end"/>
      </w:r>
      <w:r w:rsidRPr="00D76399">
        <w:rPr>
          <w:rFonts w:ascii="Times New Roman" w:hAnsi="Times New Roman" w:cs="Times New Roman"/>
        </w:rPr>
        <w:t xml:space="preserve">s concern the policy outcomes. In relation to the welfare state, it seems likely that the government will find it hard to protect those areas it wishes to exempt from cuts. The NHS already faces a strict programme of 4.4 per cent annual savings and is currently achieving about half that level, with much difficulty. </w:t>
      </w:r>
      <w:r w:rsidR="00CB1968">
        <w:rPr>
          <w:rFonts w:ascii="Times New Roman" w:hAnsi="Times New Roman" w:cs="Times New Roman"/>
        </w:rPr>
        <w:t>C</w:t>
      </w:r>
      <w:r w:rsidRPr="00D76399">
        <w:rPr>
          <w:rFonts w:ascii="Times New Roman" w:hAnsi="Times New Roman" w:cs="Times New Roman"/>
        </w:rPr>
        <w:t>ost pressures are likely to lead to a deterioration in quality of service after 2013 (Appleby</w:t>
      </w:r>
      <w:r w:rsidR="007F76FC">
        <w:rPr>
          <w:rFonts w:ascii="Times New Roman" w:hAnsi="Times New Roman" w:cs="Times New Roman"/>
        </w:rPr>
        <w:fldChar w:fldCharType="begin"/>
      </w:r>
      <w:r w:rsidR="007F76FC">
        <w:instrText xml:space="preserve"> XE "</w:instrText>
      </w:r>
      <w:r w:rsidR="007F76FC" w:rsidRPr="009A330A">
        <w:rPr>
          <w:rFonts w:ascii="Times New Roman" w:hAnsi="Times New Roman" w:cs="Times New Roman"/>
        </w:rPr>
        <w:instrText>Appleby</w:instrText>
      </w:r>
      <w:r w:rsidR="007F76FC">
        <w:instrText xml:space="preserve">" </w:instrText>
      </w:r>
      <w:r w:rsidR="007F76FC">
        <w:rPr>
          <w:rFonts w:ascii="Times New Roman" w:hAnsi="Times New Roman" w:cs="Times New Roman"/>
        </w:rPr>
        <w:fldChar w:fldCharType="end"/>
      </w:r>
      <w:r w:rsidRPr="00D76399">
        <w:rPr>
          <w:rFonts w:ascii="Times New Roman" w:hAnsi="Times New Roman" w:cs="Times New Roman"/>
        </w:rPr>
        <w:t xml:space="preserve"> </w:t>
      </w:r>
      <w:r w:rsidR="00131591" w:rsidRPr="00131591">
        <w:rPr>
          <w:rFonts w:ascii="Times New Roman" w:hAnsi="Times New Roman" w:cs="Times New Roman"/>
          <w:i/>
        </w:rPr>
        <w:t>et al.</w:t>
      </w:r>
      <w:r w:rsidRPr="00D76399">
        <w:rPr>
          <w:rFonts w:ascii="Times New Roman" w:hAnsi="Times New Roman" w:cs="Times New Roman"/>
        </w:rPr>
        <w:t xml:space="preserve"> 2012).</w:t>
      </w:r>
      <w:r w:rsidR="00E83547">
        <w:rPr>
          <w:rFonts w:ascii="Times New Roman" w:hAnsi="Times New Roman" w:cs="Times New Roman"/>
        </w:rPr>
        <w:t xml:space="preserve"> </w:t>
      </w:r>
      <w:r w:rsidRPr="00D76399">
        <w:rPr>
          <w:rFonts w:ascii="Times New Roman" w:hAnsi="Times New Roman" w:cs="Times New Roman"/>
        </w:rPr>
        <w:t>IFS estimates that real increases in the cost of staff and other resources in education will raise spending by some four per cent by 2015.</w:t>
      </w:r>
      <w:r w:rsidR="00E83547">
        <w:rPr>
          <w:rFonts w:ascii="Times New Roman" w:hAnsi="Times New Roman" w:cs="Times New Roman"/>
        </w:rPr>
        <w:t xml:space="preserve"> </w:t>
      </w:r>
      <w:r w:rsidRPr="00D76399">
        <w:rPr>
          <w:rFonts w:ascii="Times New Roman" w:hAnsi="Times New Roman" w:cs="Times New Roman"/>
        </w:rPr>
        <w:t xml:space="preserve">If extra resources are not found, the effect will be an equivalent spending cut (IFS 2011, Table 6.2). </w:t>
      </w:r>
      <w:r w:rsidR="00CB1968">
        <w:rPr>
          <w:rFonts w:ascii="Times New Roman" w:hAnsi="Times New Roman" w:cs="Times New Roman"/>
        </w:rPr>
        <w:t>The b</w:t>
      </w:r>
      <w:r w:rsidRPr="00D76399">
        <w:rPr>
          <w:rFonts w:ascii="Times New Roman" w:hAnsi="Times New Roman" w:cs="Times New Roman"/>
        </w:rPr>
        <w:t xml:space="preserve">enefit reforms </w:t>
      </w:r>
      <w:r w:rsidR="00CB1968">
        <w:rPr>
          <w:rFonts w:ascii="Times New Roman" w:hAnsi="Times New Roman" w:cs="Times New Roman"/>
        </w:rPr>
        <w:t xml:space="preserve">have so far undershot </w:t>
      </w:r>
      <w:r w:rsidR="00C7189D">
        <w:rPr>
          <w:rFonts w:ascii="Times New Roman" w:hAnsi="Times New Roman" w:cs="Times New Roman"/>
        </w:rPr>
        <w:t xml:space="preserve">by about one-third the </w:t>
      </w:r>
      <w:r w:rsidR="00CB1968">
        <w:rPr>
          <w:rFonts w:ascii="Times New Roman" w:hAnsi="Times New Roman" w:cs="Times New Roman"/>
        </w:rPr>
        <w:t>targets for</w:t>
      </w:r>
      <w:r w:rsidRPr="00D76399">
        <w:rPr>
          <w:rFonts w:ascii="Times New Roman" w:hAnsi="Times New Roman" w:cs="Times New Roman"/>
        </w:rPr>
        <w:t xml:space="preserve"> moving substantial numbers from disability benefits or jobseeker’s allowance into paid work </w:t>
      </w:r>
      <w:r w:rsidR="00CB1968">
        <w:rPr>
          <w:rFonts w:ascii="Times New Roman" w:hAnsi="Times New Roman" w:cs="Times New Roman"/>
        </w:rPr>
        <w:t>(DWP 2012e)</w:t>
      </w:r>
      <w:r w:rsidRPr="00D76399">
        <w:rPr>
          <w:rFonts w:ascii="Times New Roman" w:hAnsi="Times New Roman" w:cs="Times New Roman"/>
        </w:rPr>
        <w:t xml:space="preserve">. Further risks are involved in </w:t>
      </w:r>
      <w:r w:rsidR="00CB1968">
        <w:rPr>
          <w:rFonts w:ascii="Times New Roman" w:hAnsi="Times New Roman" w:cs="Times New Roman"/>
        </w:rPr>
        <w:t>enforcing performance and quality targets on outsourced</w:t>
      </w:r>
      <w:r w:rsidRPr="00D76399">
        <w:rPr>
          <w:rFonts w:ascii="Times New Roman" w:hAnsi="Times New Roman" w:cs="Times New Roman"/>
        </w:rPr>
        <w:t xml:space="preserve"> programmes. We consider why a coalition should chose to run such risks in more detail in chapter two and discuss the problems of regulating risk in chapter four.</w:t>
      </w:r>
    </w:p>
    <w:p w:rsidR="00703A96" w:rsidRPr="00D76399" w:rsidRDefault="00703A96" w:rsidP="00F34DAD">
      <w:pPr>
        <w:pStyle w:val="Default"/>
        <w:spacing w:line="276" w:lineRule="auto"/>
        <w:rPr>
          <w:rFonts w:ascii="Times New Roman" w:hAnsi="Times New Roman" w:cs="Times New Roman"/>
        </w:rPr>
      </w:pPr>
    </w:p>
    <w:p w:rsidR="00703A96" w:rsidRPr="00D76399" w:rsidRDefault="00703A96" w:rsidP="00F34DAD">
      <w:pPr>
        <w:pStyle w:val="Default"/>
        <w:spacing w:line="276" w:lineRule="auto"/>
        <w:rPr>
          <w:rFonts w:ascii="Times New Roman" w:hAnsi="Times New Roman" w:cs="Times New Roman"/>
          <w:b/>
        </w:rPr>
      </w:pPr>
      <w:r w:rsidRPr="00D76399">
        <w:rPr>
          <w:rFonts w:ascii="Times New Roman" w:hAnsi="Times New Roman" w:cs="Times New Roman"/>
          <w:b/>
        </w:rPr>
        <w:t>Restructuring</w:t>
      </w:r>
      <w:r w:rsidR="005E0406">
        <w:rPr>
          <w:rFonts w:ascii="Times New Roman" w:hAnsi="Times New Roman" w:cs="Times New Roman"/>
          <w:b/>
        </w:rPr>
        <w:fldChar w:fldCharType="begin"/>
      </w:r>
      <w:r w:rsidR="004B163F">
        <w:instrText xml:space="preserve"> XE "</w:instrText>
      </w:r>
      <w:r w:rsidR="004B163F" w:rsidRPr="0041715B">
        <w:instrText>restructuring</w:instrText>
      </w:r>
      <w:r w:rsidR="004B163F">
        <w:instrText xml:space="preserve">" </w:instrText>
      </w:r>
      <w:r w:rsidR="005E0406">
        <w:rPr>
          <w:rFonts w:ascii="Times New Roman" w:hAnsi="Times New Roman" w:cs="Times New Roman"/>
          <w:b/>
        </w:rPr>
        <w:fldChar w:fldCharType="end"/>
      </w:r>
      <w:r w:rsidRPr="00D76399">
        <w:rPr>
          <w:rFonts w:ascii="Times New Roman" w:hAnsi="Times New Roman" w:cs="Times New Roman"/>
          <w:b/>
        </w:rPr>
        <w:t xml:space="preserve"> public services</w:t>
      </w:r>
    </w:p>
    <w:p w:rsidR="00703A96" w:rsidRPr="00D76399" w:rsidRDefault="00703A96" w:rsidP="00F34DAD">
      <w:pPr>
        <w:pStyle w:val="Default"/>
        <w:spacing w:line="276" w:lineRule="auto"/>
        <w:rPr>
          <w:rFonts w:ascii="Times New Roman" w:hAnsi="Times New Roman" w:cs="Times New Roman"/>
        </w:rPr>
      </w:pPr>
    </w:p>
    <w:p w:rsidR="00703A96" w:rsidRPr="00D76399" w:rsidRDefault="00703A96" w:rsidP="00F34DAD">
      <w:pPr>
        <w:pStyle w:val="Default"/>
        <w:spacing w:line="276" w:lineRule="auto"/>
        <w:rPr>
          <w:rFonts w:ascii="Times New Roman" w:hAnsi="Times New Roman" w:cs="Times New Roman"/>
        </w:rPr>
      </w:pPr>
      <w:r w:rsidRPr="00D76399">
        <w:rPr>
          <w:rFonts w:ascii="Times New Roman" w:hAnsi="Times New Roman" w:cs="Times New Roman"/>
        </w:rPr>
        <w:t>The UK government leads the way in liberal</w:t>
      </w:r>
      <w:r w:rsidR="005E0406">
        <w:rPr>
          <w:rFonts w:ascii="Times New Roman" w:hAnsi="Times New Roman" w:cs="Times New Roman"/>
        </w:rPr>
        <w:fldChar w:fldCharType="begin"/>
      </w:r>
      <w:r w:rsidR="00BA15F3">
        <w:instrText xml:space="preserve"> XE "</w:instrText>
      </w:r>
      <w:r w:rsidR="00BA15F3" w:rsidRPr="006F29DF">
        <w:rPr>
          <w:rFonts w:ascii="Times New Roman" w:hAnsi="Times New Roman" w:cs="Times New Roman"/>
        </w:rPr>
        <w:instrText>liberal</w:instrText>
      </w:r>
      <w:r w:rsidR="002A7776">
        <w:rPr>
          <w:rFonts w:ascii="Times New Roman" w:hAnsi="Times New Roman" w:cs="Times New Roman"/>
        </w:rPr>
        <w:instrText>ism</w:instrText>
      </w:r>
      <w:r w:rsidR="00BA15F3">
        <w:instrText xml:space="preserve">" </w:instrText>
      </w:r>
      <w:r w:rsidR="005E0406">
        <w:rPr>
          <w:rFonts w:ascii="Times New Roman" w:hAnsi="Times New Roman" w:cs="Times New Roman"/>
        </w:rPr>
        <w:fldChar w:fldCharType="end"/>
      </w:r>
      <w:r w:rsidRPr="00D76399">
        <w:rPr>
          <w:rFonts w:ascii="Times New Roman" w:hAnsi="Times New Roman" w:cs="Times New Roman"/>
        </w:rPr>
        <w:t xml:space="preserve"> responses to the economic crisis</w:t>
      </w:r>
      <w:r w:rsidR="005E0406">
        <w:rPr>
          <w:rFonts w:ascii="Times New Roman" w:hAnsi="Times New Roman" w:cs="Times New Roman"/>
        </w:rPr>
        <w:fldChar w:fldCharType="begin"/>
      </w:r>
      <w:r w:rsidR="00BA15F3">
        <w:instrText xml:space="preserve"> XE "</w:instrText>
      </w:r>
      <w:r w:rsidR="00BA15F3" w:rsidRPr="003B3A4F">
        <w:rPr>
          <w:rFonts w:ascii="Times New Roman" w:hAnsi="Times New Roman" w:cs="Times New Roman"/>
        </w:rPr>
        <w:instrText>recession</w:instrText>
      </w:r>
      <w:r w:rsidR="00BA15F3">
        <w:instrText xml:space="preserve">" </w:instrText>
      </w:r>
      <w:r w:rsidR="005E0406">
        <w:rPr>
          <w:rFonts w:ascii="Times New Roman" w:hAnsi="Times New Roman" w:cs="Times New Roman"/>
        </w:rPr>
        <w:fldChar w:fldCharType="end"/>
      </w:r>
      <w:r w:rsidRPr="00D76399">
        <w:rPr>
          <w:rFonts w:ascii="Times New Roman" w:hAnsi="Times New Roman" w:cs="Times New Roman"/>
        </w:rPr>
        <w:t>. It is pursuing a major programme of cutbacks intended to last beyond the life of the current parliament and involving substantial economic, political and practical risks. The cuts have been combined with a thorough-going restructuring of almost every major area of government activity</w:t>
      </w:r>
      <w:r w:rsidR="00CB1968">
        <w:rPr>
          <w:rFonts w:ascii="Times New Roman" w:hAnsi="Times New Roman" w:cs="Times New Roman"/>
        </w:rPr>
        <w:t>,</w:t>
      </w:r>
      <w:r w:rsidRPr="00D76399">
        <w:rPr>
          <w:rFonts w:ascii="Times New Roman" w:hAnsi="Times New Roman" w:cs="Times New Roman"/>
        </w:rPr>
        <w:t xml:space="preserve"> designed to change the way in which services are delivered and ensure that cut-backs are embedded permanently in future patterns of provision. For the welfare state, the restructuring includes three main elements: the break-up of large national services so that responsibility moves away from central to local government or to non-state mainly commercial providers, The outcome will be more diverse provision between groups and areas in all services, including those that remain national, and a much greater emphasis on strengthening incentives and mobilising people into paid work. The reform programme, involving the simultaneous restructuring of the NHS (NHS and Social Care </w:t>
      </w:r>
      <w:r w:rsidR="007F76FC">
        <w:rPr>
          <w:rFonts w:ascii="Times New Roman" w:hAnsi="Times New Roman" w:cs="Times New Roman"/>
        </w:rPr>
        <w:t>Act 2012</w:t>
      </w:r>
      <w:r w:rsidRPr="00D76399">
        <w:rPr>
          <w:rFonts w:ascii="Times New Roman" w:hAnsi="Times New Roman" w:cs="Times New Roman"/>
        </w:rPr>
        <w:t xml:space="preserve">), local government (Localism Act 2011), benefits for those of working age (Welfare Reform </w:t>
      </w:r>
      <w:r w:rsidR="007F76FC">
        <w:rPr>
          <w:rFonts w:ascii="Times New Roman" w:hAnsi="Times New Roman" w:cs="Times New Roman"/>
        </w:rPr>
        <w:t>Act 2012</w:t>
      </w:r>
      <w:r w:rsidRPr="00D76399">
        <w:rPr>
          <w:rFonts w:ascii="Times New Roman" w:hAnsi="Times New Roman" w:cs="Times New Roman"/>
        </w:rPr>
        <w:t xml:space="preserve">), the </w:t>
      </w:r>
      <w:r w:rsidRPr="00D76399">
        <w:rPr>
          <w:rFonts w:ascii="Times New Roman" w:hAnsi="Times New Roman" w:cs="Times New Roman"/>
        </w:rPr>
        <w:lastRenderedPageBreak/>
        <w:t>Employment Service, higher education, social housing, pensions and public administration (</w:t>
      </w:r>
      <w:r w:rsidRPr="007F76FC">
        <w:rPr>
          <w:rFonts w:ascii="Times New Roman" w:hAnsi="Times New Roman" w:cs="Times New Roman"/>
          <w:i/>
        </w:rPr>
        <w:t>Open Government Services</w:t>
      </w:r>
      <w:r w:rsidRPr="00D76399">
        <w:rPr>
          <w:rFonts w:ascii="Times New Roman" w:hAnsi="Times New Roman" w:cs="Times New Roman"/>
        </w:rPr>
        <w:t>, Cabinet Office</w:t>
      </w:r>
      <w:r w:rsidR="007F76FC">
        <w:rPr>
          <w:rFonts w:ascii="Times New Roman" w:hAnsi="Times New Roman" w:cs="Times New Roman"/>
        </w:rPr>
        <w:fldChar w:fldCharType="begin"/>
      </w:r>
      <w:r w:rsidR="007F76FC">
        <w:instrText xml:space="preserve"> XE "</w:instrText>
      </w:r>
      <w:r w:rsidR="007F76FC" w:rsidRPr="008839A2">
        <w:rPr>
          <w:rFonts w:ascii="Times New Roman" w:hAnsi="Times New Roman" w:cs="Times New Roman"/>
        </w:rPr>
        <w:instrText>Cabinet Office</w:instrText>
      </w:r>
      <w:r w:rsidR="007F76FC">
        <w:instrText xml:space="preserve">" </w:instrText>
      </w:r>
      <w:r w:rsidR="007F76FC">
        <w:rPr>
          <w:rFonts w:ascii="Times New Roman" w:hAnsi="Times New Roman" w:cs="Times New Roman"/>
        </w:rPr>
        <w:fldChar w:fldCharType="end"/>
      </w:r>
      <w:r w:rsidRPr="00D76399">
        <w:rPr>
          <w:rFonts w:ascii="Times New Roman" w:hAnsi="Times New Roman" w:cs="Times New Roman"/>
        </w:rPr>
        <w:t xml:space="preserve"> 2011), stands out among the recovery packages of the larger Western democracies in scale and ambition (Hay and Wincott 2012, ch. 1; Farnsworth 2011, 258-61; Taylor-Gooby</w:t>
      </w:r>
      <w:r w:rsidR="007F76FC">
        <w:rPr>
          <w:rFonts w:ascii="Times New Roman" w:hAnsi="Times New Roman" w:cs="Times New Roman"/>
        </w:rPr>
        <w:fldChar w:fldCharType="begin"/>
      </w:r>
      <w:r w:rsidR="007F76FC">
        <w:instrText xml:space="preserve"> XE "</w:instrText>
      </w:r>
      <w:r w:rsidR="007F76FC" w:rsidRPr="00307608">
        <w:rPr>
          <w:rFonts w:ascii="Times New Roman" w:hAnsi="Times New Roman" w:cs="Times New Roman"/>
        </w:rPr>
        <w:instrText>Taylor-Gooby</w:instrText>
      </w:r>
      <w:r w:rsidR="007F76FC">
        <w:instrText xml:space="preserve">" </w:instrText>
      </w:r>
      <w:r w:rsidR="007F76FC">
        <w:rPr>
          <w:rFonts w:ascii="Times New Roman" w:hAnsi="Times New Roman" w:cs="Times New Roman"/>
        </w:rPr>
        <w:fldChar w:fldCharType="end"/>
      </w:r>
      <w:r w:rsidRPr="00D76399">
        <w:rPr>
          <w:rFonts w:ascii="Times New Roman" w:hAnsi="Times New Roman" w:cs="Times New Roman"/>
        </w:rPr>
        <w:t xml:space="preserve"> and Stoker</w:t>
      </w:r>
      <w:r w:rsidR="007F76FC">
        <w:rPr>
          <w:rFonts w:ascii="Times New Roman" w:hAnsi="Times New Roman" w:cs="Times New Roman"/>
        </w:rPr>
        <w:fldChar w:fldCharType="begin"/>
      </w:r>
      <w:r w:rsidR="007F76FC">
        <w:instrText xml:space="preserve"> XE "</w:instrText>
      </w:r>
      <w:r w:rsidR="007F76FC" w:rsidRPr="00DA2752">
        <w:rPr>
          <w:rFonts w:ascii="Times New Roman" w:hAnsi="Times New Roman" w:cs="Times New Roman"/>
        </w:rPr>
        <w:instrText>Stoker</w:instrText>
      </w:r>
      <w:r w:rsidR="007F76FC">
        <w:instrText xml:space="preserve">" </w:instrText>
      </w:r>
      <w:r w:rsidR="007F76FC">
        <w:rPr>
          <w:rFonts w:ascii="Times New Roman" w:hAnsi="Times New Roman" w:cs="Times New Roman"/>
        </w:rPr>
        <w:fldChar w:fldCharType="end"/>
      </w:r>
      <w:r w:rsidRPr="00D76399">
        <w:rPr>
          <w:rFonts w:ascii="Times New Roman" w:hAnsi="Times New Roman" w:cs="Times New Roman"/>
        </w:rPr>
        <w:t xml:space="preserve"> 2011, 4).</w:t>
      </w:r>
    </w:p>
    <w:p w:rsidR="00703A96" w:rsidRPr="00D76399" w:rsidRDefault="00703A96" w:rsidP="00F34DAD">
      <w:pPr>
        <w:pStyle w:val="Default"/>
        <w:spacing w:line="276" w:lineRule="auto"/>
        <w:rPr>
          <w:rFonts w:ascii="Times New Roman" w:hAnsi="Times New Roman" w:cs="Times New Roman"/>
        </w:rPr>
      </w:pPr>
    </w:p>
    <w:p w:rsidR="00703A96" w:rsidRPr="00D76399" w:rsidRDefault="00703A96" w:rsidP="00F34DAD">
      <w:pPr>
        <w:pStyle w:val="Default"/>
        <w:spacing w:line="276" w:lineRule="auto"/>
        <w:rPr>
          <w:rFonts w:ascii="Times New Roman" w:hAnsi="Times New Roman" w:cs="Times New Roman"/>
        </w:rPr>
      </w:pPr>
      <w:r w:rsidRPr="00D76399">
        <w:rPr>
          <w:rFonts w:ascii="Times New Roman" w:hAnsi="Times New Roman" w:cs="Times New Roman"/>
          <w:b/>
          <w:i/>
        </w:rPr>
        <w:t>Fragmenting national services:</w:t>
      </w:r>
      <w:r w:rsidRPr="00D76399">
        <w:rPr>
          <w:rFonts w:ascii="Times New Roman" w:hAnsi="Times New Roman" w:cs="Times New Roman"/>
        </w:rPr>
        <w:t xml:space="preserve"> the Prime Minister has signalled the ‘presumption’ of ‘all public services being open to outside providers’ (Cameron</w:t>
      </w:r>
      <w:r w:rsidR="007F76FC">
        <w:rPr>
          <w:rFonts w:ascii="Times New Roman" w:hAnsi="Times New Roman" w:cs="Times New Roman"/>
        </w:rPr>
        <w:fldChar w:fldCharType="begin"/>
      </w:r>
      <w:r w:rsidR="007F76FC">
        <w:instrText xml:space="preserve"> XE "</w:instrText>
      </w:r>
      <w:r w:rsidR="007F76FC" w:rsidRPr="00522BF9">
        <w:rPr>
          <w:rFonts w:ascii="Times New Roman" w:hAnsi="Times New Roman" w:cs="Times New Roman"/>
        </w:rPr>
        <w:instrText>Cameron</w:instrText>
      </w:r>
      <w:r w:rsidR="007F76FC">
        <w:instrText xml:space="preserve">" </w:instrText>
      </w:r>
      <w:r w:rsidR="007F76FC">
        <w:rPr>
          <w:rFonts w:ascii="Times New Roman" w:hAnsi="Times New Roman" w:cs="Times New Roman"/>
        </w:rPr>
        <w:fldChar w:fldCharType="end"/>
      </w:r>
      <w:r w:rsidRPr="00D76399">
        <w:rPr>
          <w:rFonts w:ascii="Times New Roman" w:hAnsi="Times New Roman" w:cs="Times New Roman"/>
        </w:rPr>
        <w:t xml:space="preserve"> 2011). The Open Public Services</w:t>
      </w:r>
      <w:r w:rsidR="005E0406">
        <w:rPr>
          <w:rFonts w:ascii="Times New Roman" w:hAnsi="Times New Roman" w:cs="Times New Roman"/>
        </w:rPr>
        <w:fldChar w:fldCharType="begin"/>
      </w:r>
      <w:r w:rsidR="00BA15F3">
        <w:instrText xml:space="preserve"> XE "</w:instrText>
      </w:r>
      <w:r w:rsidR="00BA15F3" w:rsidRPr="0016522D">
        <w:rPr>
          <w:rFonts w:ascii="Times New Roman" w:hAnsi="Times New Roman" w:cs="Times New Roman"/>
        </w:rPr>
        <w:instrText>Open Public Services</w:instrText>
      </w:r>
      <w:r w:rsidR="00BA15F3">
        <w:instrText xml:space="preserve">" </w:instrText>
      </w:r>
      <w:r w:rsidR="005E0406">
        <w:rPr>
          <w:rFonts w:ascii="Times New Roman" w:hAnsi="Times New Roman" w:cs="Times New Roman"/>
        </w:rPr>
        <w:fldChar w:fldCharType="end"/>
      </w:r>
      <w:r w:rsidRPr="00D76399">
        <w:rPr>
          <w:rFonts w:ascii="Times New Roman" w:hAnsi="Times New Roman" w:cs="Times New Roman"/>
        </w:rPr>
        <w:t xml:space="preserve"> White Paper sets out the underlying principles: greater choice, decentralisation of provision, competition</w:t>
      </w:r>
      <w:r w:rsidR="00BE30B5">
        <w:rPr>
          <w:rFonts w:ascii="Times New Roman" w:hAnsi="Times New Roman" w:cs="Times New Roman"/>
        </w:rPr>
        <w:fldChar w:fldCharType="begin"/>
      </w:r>
      <w:r w:rsidR="00BE30B5">
        <w:instrText xml:space="preserve"> XE "</w:instrText>
      </w:r>
      <w:r w:rsidR="00BE30B5" w:rsidRPr="00231F5B">
        <w:rPr>
          <w:rFonts w:ascii="Times New Roman" w:hAnsi="Times New Roman" w:cs="Times New Roman"/>
        </w:rPr>
        <w:instrText>competition</w:instrText>
      </w:r>
      <w:r w:rsidR="00BE30B5">
        <w:instrText xml:space="preserve">" </w:instrText>
      </w:r>
      <w:r w:rsidR="00BE30B5">
        <w:rPr>
          <w:rFonts w:ascii="Times New Roman" w:hAnsi="Times New Roman" w:cs="Times New Roman"/>
        </w:rPr>
        <w:fldChar w:fldCharType="end"/>
      </w:r>
      <w:r w:rsidRPr="00D76399">
        <w:rPr>
          <w:rFonts w:ascii="Times New Roman" w:hAnsi="Times New Roman" w:cs="Times New Roman"/>
        </w:rPr>
        <w:t xml:space="preserve"> and the premise that ‘wherever possible, public services should be open to a range of providers competing to offer a better service’ with fair access and accountability procedures (Cabinet Office 2011, 9). These policies massively extend the system of contracting out services that has been pursued in school and hospital cleaning, catering and ancillary services, local government and elsewhere for the past two decades. Now contracting is to ‘any willing provider’, in some cases rephrased as ‘any qualified provider’. There is a bias towards commercial providers and a relaxation of </w:t>
      </w:r>
      <w:r w:rsidR="00C7189D">
        <w:rPr>
          <w:rFonts w:ascii="Times New Roman" w:hAnsi="Times New Roman" w:cs="Times New Roman"/>
        </w:rPr>
        <w:t xml:space="preserve">the </w:t>
      </w:r>
      <w:r w:rsidRPr="00D76399">
        <w:rPr>
          <w:rFonts w:ascii="Times New Roman" w:hAnsi="Times New Roman" w:cs="Times New Roman"/>
        </w:rPr>
        <w:t>responsibilit</w:t>
      </w:r>
      <w:r w:rsidR="00C7189D">
        <w:rPr>
          <w:rFonts w:ascii="Times New Roman" w:hAnsi="Times New Roman" w:cs="Times New Roman"/>
        </w:rPr>
        <w:t>y</w:t>
      </w:r>
      <w:r w:rsidRPr="00D76399">
        <w:rPr>
          <w:rFonts w:ascii="Times New Roman" w:hAnsi="Times New Roman" w:cs="Times New Roman"/>
        </w:rPr>
        <w:t xml:space="preserve"> for government to secure a particular range or standard of provision. </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The 2012 NHS</w:t>
      </w:r>
      <w:r w:rsidR="005E0406">
        <w:rPr>
          <w:rFonts w:ascii="Times New Roman" w:hAnsi="Times New Roman" w:cs="Times New Roman"/>
          <w:sz w:val="24"/>
          <w:szCs w:val="24"/>
        </w:rPr>
        <w:fldChar w:fldCharType="begin"/>
      </w:r>
      <w:r w:rsidR="00BA15F3">
        <w:instrText xml:space="preserve"> XE "</w:instrText>
      </w:r>
      <w:r w:rsidR="00BA15F3" w:rsidRPr="006F4A2D">
        <w:rPr>
          <w:rFonts w:ascii="Times New Roman" w:hAnsi="Times New Roman" w:cs="Times New Roman"/>
          <w:sz w:val="24"/>
          <w:szCs w:val="24"/>
        </w:rPr>
        <w:instrText>NHS</w:instrText>
      </w:r>
      <w:r w:rsidR="00BA15F3">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reforms follow this pattern. The main providers of health services will be local Clinical Commissioning Groups</w:t>
      </w:r>
      <w:r w:rsidR="005E0406">
        <w:rPr>
          <w:rFonts w:ascii="Times New Roman" w:hAnsi="Times New Roman" w:cs="Times New Roman"/>
          <w:sz w:val="24"/>
          <w:szCs w:val="24"/>
        </w:rPr>
        <w:fldChar w:fldCharType="begin"/>
      </w:r>
      <w:r w:rsidR="000D1551">
        <w:instrText xml:space="preserve"> XE "</w:instrText>
      </w:r>
      <w:r w:rsidR="000D1551" w:rsidRPr="00EF3F20">
        <w:instrText>NHS:Clinical Commissioning Group</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w:t>
      </w:r>
      <w:r w:rsidR="00E83547">
        <w:rPr>
          <w:rFonts w:ascii="Times New Roman" w:hAnsi="Times New Roman" w:cs="Times New Roman"/>
          <w:sz w:val="24"/>
          <w:szCs w:val="24"/>
        </w:rPr>
        <w:t xml:space="preserve"> </w:t>
      </w:r>
      <w:r w:rsidRPr="00D76399">
        <w:rPr>
          <w:rFonts w:ascii="Times New Roman" w:hAnsi="Times New Roman" w:cs="Times New Roman"/>
          <w:sz w:val="24"/>
          <w:szCs w:val="24"/>
        </w:rPr>
        <w:t>GP-led and involving other health professionals, run as small businesses and managing a devolved £80bn budget within an overall regulatory framework, but with many fewer target</w:t>
      </w:r>
      <w:r w:rsidR="0054482E">
        <w:rPr>
          <w:rFonts w:ascii="Times New Roman" w:hAnsi="Times New Roman" w:cs="Times New Roman"/>
          <w:sz w:val="24"/>
          <w:szCs w:val="24"/>
        </w:rPr>
        <w:fldChar w:fldCharType="begin"/>
      </w:r>
      <w:r w:rsidR="0054482E">
        <w:instrText xml:space="preserve"> XE "</w:instrText>
      </w:r>
      <w:r w:rsidR="0054482E" w:rsidRPr="00513546">
        <w:rPr>
          <w:rFonts w:ascii="Times New Roman" w:hAnsi="Times New Roman" w:cs="Times New Roman"/>
          <w:sz w:val="24"/>
          <w:szCs w:val="24"/>
        </w:rPr>
        <w:instrText>targets</w:instrText>
      </w:r>
      <w:r w:rsidR="0054482E">
        <w:instrText xml:space="preserve">" </w:instrText>
      </w:r>
      <w:r w:rsidR="0054482E">
        <w:rPr>
          <w:rFonts w:ascii="Times New Roman" w:hAnsi="Times New Roman" w:cs="Times New Roman"/>
          <w:sz w:val="24"/>
          <w:szCs w:val="24"/>
        </w:rPr>
        <w:fldChar w:fldCharType="end"/>
      </w:r>
      <w:r w:rsidRPr="00D76399">
        <w:rPr>
          <w:rFonts w:ascii="Times New Roman" w:hAnsi="Times New Roman" w:cs="Times New Roman"/>
          <w:sz w:val="24"/>
          <w:szCs w:val="24"/>
        </w:rPr>
        <w:t>s to direct their practice. The reforms place strong emphasis on competition</w:t>
      </w:r>
      <w:r w:rsidR="005E0406">
        <w:rPr>
          <w:rFonts w:ascii="Times New Roman" w:hAnsi="Times New Roman" w:cs="Times New Roman"/>
          <w:sz w:val="24"/>
          <w:szCs w:val="24"/>
        </w:rPr>
        <w:fldChar w:fldCharType="begin"/>
      </w:r>
      <w:r w:rsidR="000D1551">
        <w:instrText xml:space="preserve"> XE "</w:instrText>
      </w:r>
      <w:r w:rsidR="000D1551" w:rsidRPr="005B6165">
        <w:rPr>
          <w:rFonts w:ascii="Times New Roman" w:hAnsi="Times New Roman" w:cs="Times New Roman"/>
          <w:sz w:val="24"/>
          <w:szCs w:val="24"/>
        </w:rPr>
        <w:instrText>competition</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particularly on price, and ensure that the regulatory body, Monitor</w:t>
      </w:r>
      <w:r w:rsidR="005E0406">
        <w:rPr>
          <w:rFonts w:ascii="Times New Roman" w:hAnsi="Times New Roman" w:cs="Times New Roman"/>
          <w:sz w:val="24"/>
          <w:szCs w:val="24"/>
        </w:rPr>
        <w:fldChar w:fldCharType="begin"/>
      </w:r>
      <w:r w:rsidR="000D1551">
        <w:instrText xml:space="preserve"> XE "</w:instrText>
      </w:r>
      <w:r w:rsidR="000D1551" w:rsidRPr="006740FC">
        <w:rPr>
          <w:rFonts w:ascii="Times New Roman" w:hAnsi="Times New Roman" w:cs="Times New Roman"/>
          <w:sz w:val="24"/>
          <w:szCs w:val="24"/>
        </w:rPr>
        <w:instrText>NHS:</w:instrText>
      </w:r>
      <w:r w:rsidR="000D1551" w:rsidRPr="006740FC">
        <w:instrText>Monitor</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has a duty to oversee the creation of a competitive market. </w:t>
      </w:r>
      <w:r w:rsidR="004B1BED">
        <w:rPr>
          <w:rFonts w:ascii="Times New Roman" w:hAnsi="Times New Roman" w:cs="Times New Roman"/>
          <w:sz w:val="24"/>
          <w:szCs w:val="24"/>
        </w:rPr>
        <w:t>Alm</w:t>
      </w:r>
      <w:r w:rsidRPr="00D76399">
        <w:rPr>
          <w:rFonts w:ascii="Times New Roman" w:hAnsi="Times New Roman" w:cs="Times New Roman"/>
          <w:sz w:val="24"/>
          <w:szCs w:val="24"/>
        </w:rPr>
        <w:t xml:space="preserve">ost </w:t>
      </w:r>
      <w:r w:rsidR="004B1BED">
        <w:rPr>
          <w:rFonts w:ascii="Times New Roman" w:hAnsi="Times New Roman" w:cs="Times New Roman"/>
          <w:sz w:val="24"/>
          <w:szCs w:val="24"/>
        </w:rPr>
        <w:t xml:space="preserve">all </w:t>
      </w:r>
      <w:r w:rsidRPr="00D76399">
        <w:rPr>
          <w:rFonts w:ascii="Times New Roman" w:hAnsi="Times New Roman" w:cs="Times New Roman"/>
          <w:sz w:val="24"/>
          <w:szCs w:val="24"/>
        </w:rPr>
        <w:t>competition within the health service was previously between NHS providers and for fixed tariff services so that different hospitals competed to provide surgery</w:t>
      </w:r>
      <w:r w:rsidR="007C5D9F">
        <w:rPr>
          <w:rFonts w:ascii="Times New Roman" w:hAnsi="Times New Roman" w:cs="Times New Roman"/>
          <w:sz w:val="24"/>
          <w:szCs w:val="24"/>
        </w:rPr>
        <w:t>,</w:t>
      </w:r>
      <w:r w:rsidRPr="00D76399">
        <w:rPr>
          <w:rFonts w:ascii="Times New Roman" w:hAnsi="Times New Roman" w:cs="Times New Roman"/>
          <w:sz w:val="24"/>
          <w:szCs w:val="24"/>
        </w:rPr>
        <w:t xml:space="preserve"> clinic</w:t>
      </w:r>
      <w:r w:rsidR="007C5D9F">
        <w:rPr>
          <w:rFonts w:ascii="Times New Roman" w:hAnsi="Times New Roman" w:cs="Times New Roman"/>
          <w:sz w:val="24"/>
          <w:szCs w:val="24"/>
        </w:rPr>
        <w:t>al tests or routine therapies</w:t>
      </w:r>
      <w:r w:rsidRPr="00D76399">
        <w:rPr>
          <w:rFonts w:ascii="Times New Roman" w:hAnsi="Times New Roman" w:cs="Times New Roman"/>
          <w:sz w:val="24"/>
          <w:szCs w:val="24"/>
        </w:rPr>
        <w:t xml:space="preserve"> on the quality of what they could offer rather than cheapness.</w:t>
      </w:r>
      <w:r w:rsidR="005E0406">
        <w:rPr>
          <w:rFonts w:ascii="Times New Roman" w:hAnsi="Times New Roman" w:cs="Times New Roman"/>
          <w:sz w:val="24"/>
          <w:szCs w:val="24"/>
        </w:rPr>
        <w:fldChar w:fldCharType="begin"/>
      </w:r>
      <w:r w:rsidR="00673DB1">
        <w:instrText xml:space="preserve"> XE "</w:instrText>
      </w:r>
      <w:r w:rsidR="00673DB1" w:rsidRPr="000643D6">
        <w:instrText>cost-saving:price competition</w:instrText>
      </w:r>
      <w:r w:rsidR="00673DB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Experience of competition on price in the US</w:t>
      </w:r>
      <w:r w:rsidR="004C5788">
        <w:rPr>
          <w:rFonts w:ascii="Times New Roman" w:hAnsi="Times New Roman" w:cs="Times New Roman"/>
          <w:sz w:val="24"/>
          <w:szCs w:val="24"/>
        </w:rPr>
        <w:fldChar w:fldCharType="begin"/>
      </w:r>
      <w:r w:rsidR="004C5788">
        <w:instrText xml:space="preserve"> XE "</w:instrText>
      </w:r>
      <w:r w:rsidR="004C5788" w:rsidRPr="00127002">
        <w:rPr>
          <w:rFonts w:ascii="Times New Roman" w:hAnsi="Times New Roman" w:cs="Times New Roman"/>
          <w:sz w:val="24"/>
          <w:szCs w:val="24"/>
        </w:rPr>
        <w:instrText>US</w:instrText>
      </w:r>
      <w:r w:rsidR="004C5788">
        <w:instrText xml:space="preserve">" </w:instrText>
      </w:r>
      <w:r w:rsidR="004C5788">
        <w:rPr>
          <w:rFonts w:ascii="Times New Roman" w:hAnsi="Times New Roman" w:cs="Times New Roman"/>
          <w:sz w:val="24"/>
          <w:szCs w:val="24"/>
        </w:rPr>
        <w:fldChar w:fldCharType="end"/>
      </w:r>
      <w:r w:rsidRPr="00D76399">
        <w:rPr>
          <w:rFonts w:ascii="Times New Roman" w:hAnsi="Times New Roman" w:cs="Times New Roman"/>
          <w:sz w:val="24"/>
          <w:szCs w:val="24"/>
        </w:rPr>
        <w:t xml:space="preserve"> Medicare and Medicaid schemes indicates that it is hard to resist a decline in quality (Gaynor </w:t>
      </w:r>
      <w:r w:rsidR="00131591" w:rsidRPr="00131591">
        <w:rPr>
          <w:rFonts w:ascii="Times New Roman" w:hAnsi="Times New Roman" w:cs="Times New Roman"/>
          <w:i/>
          <w:sz w:val="24"/>
          <w:szCs w:val="24"/>
        </w:rPr>
        <w:t>et al.</w:t>
      </w:r>
      <w:r w:rsidRPr="00D76399">
        <w:rPr>
          <w:rFonts w:ascii="Times New Roman" w:hAnsi="Times New Roman" w:cs="Times New Roman"/>
          <w:sz w:val="24"/>
          <w:szCs w:val="24"/>
        </w:rPr>
        <w:t xml:space="preserve"> 2010, Gaynor</w:t>
      </w:r>
      <w:r w:rsidR="007F76FC">
        <w:rPr>
          <w:rFonts w:ascii="Times New Roman" w:hAnsi="Times New Roman" w:cs="Times New Roman"/>
          <w:sz w:val="24"/>
          <w:szCs w:val="24"/>
        </w:rPr>
        <w:fldChar w:fldCharType="begin"/>
      </w:r>
      <w:r w:rsidR="007F76FC">
        <w:instrText xml:space="preserve"> XE "</w:instrText>
      </w:r>
      <w:r w:rsidR="007F76FC" w:rsidRPr="000D075D">
        <w:rPr>
          <w:rFonts w:ascii="Times New Roman" w:hAnsi="Times New Roman" w:cs="Times New Roman"/>
          <w:sz w:val="24"/>
          <w:szCs w:val="24"/>
        </w:rPr>
        <w:instrText>Gaynor</w:instrText>
      </w:r>
      <w:r w:rsidR="007F76FC">
        <w:instrText xml:space="preserve">" </w:instrText>
      </w:r>
      <w:r w:rsidR="007F76FC">
        <w:rPr>
          <w:rFonts w:ascii="Times New Roman" w:hAnsi="Times New Roman" w:cs="Times New Roman"/>
          <w:sz w:val="24"/>
          <w:szCs w:val="24"/>
        </w:rPr>
        <w:fldChar w:fldCharType="end"/>
      </w:r>
      <w:r w:rsidRPr="00D76399">
        <w:rPr>
          <w:rFonts w:ascii="Times New Roman" w:hAnsi="Times New Roman" w:cs="Times New Roman"/>
          <w:sz w:val="24"/>
          <w:szCs w:val="24"/>
        </w:rPr>
        <w:t xml:space="preserve"> and Town 2012, 76-7). The Department for Health plans to let contracts for about a quarter of its whole budget during 2012 and 2013, mainly to private for profit provi</w:t>
      </w:r>
      <w:r w:rsidR="007C5D9F">
        <w:rPr>
          <w:rFonts w:ascii="Times New Roman" w:hAnsi="Times New Roman" w:cs="Times New Roman"/>
          <w:sz w:val="24"/>
          <w:szCs w:val="24"/>
        </w:rPr>
        <w:t>ders. This raises major issues in</w:t>
      </w:r>
      <w:r w:rsidRPr="00D76399">
        <w:rPr>
          <w:rFonts w:ascii="Times New Roman" w:hAnsi="Times New Roman" w:cs="Times New Roman"/>
          <w:sz w:val="24"/>
          <w:szCs w:val="24"/>
        </w:rPr>
        <w:t xml:space="preserve"> </w:t>
      </w:r>
      <w:r w:rsidR="00880224" w:rsidRPr="00D76399">
        <w:rPr>
          <w:rFonts w:ascii="Times New Roman" w:hAnsi="Times New Roman" w:cs="Times New Roman"/>
          <w:sz w:val="24"/>
          <w:szCs w:val="24"/>
        </w:rPr>
        <w:t>regulating</w:t>
      </w:r>
      <w:r w:rsidRPr="00D76399">
        <w:rPr>
          <w:rFonts w:ascii="Times New Roman" w:hAnsi="Times New Roman" w:cs="Times New Roman"/>
          <w:sz w:val="24"/>
          <w:szCs w:val="24"/>
        </w:rPr>
        <w:t xml:space="preserve"> standards, discussed further in chapter four.</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The future shape of the service is unclear. There are currently moves by commercia</w:t>
      </w:r>
      <w:r w:rsidR="005E0406">
        <w:rPr>
          <w:rFonts w:ascii="Times New Roman" w:hAnsi="Times New Roman" w:cs="Times New Roman"/>
          <w:sz w:val="24"/>
          <w:szCs w:val="24"/>
        </w:rPr>
        <w:fldChar w:fldCharType="begin"/>
      </w:r>
      <w:r w:rsidR="000D1551">
        <w:instrText xml:space="preserve"> XE "</w:instrText>
      </w:r>
      <w:r w:rsidR="000D1551" w:rsidRPr="00D07C45">
        <w:rPr>
          <w:rFonts w:ascii="Times New Roman" w:hAnsi="Times New Roman" w:cs="Times New Roman"/>
          <w:sz w:val="24"/>
          <w:szCs w:val="24"/>
        </w:rPr>
        <w:instrText>privatisation</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l providers, including the large multi-national medical insurance firms and European competitors to win contracts from GP-led commissioning panels. The process of transferring community health services mainly to profit-oriented private groups</w:t>
      </w:r>
      <w:r w:rsidR="004B1BED">
        <w:rPr>
          <w:rFonts w:ascii="Times New Roman" w:hAnsi="Times New Roman" w:cs="Times New Roman"/>
          <w:sz w:val="24"/>
          <w:szCs w:val="24"/>
        </w:rPr>
        <w:t xml:space="preserve"> started in mid-2012</w:t>
      </w:r>
      <w:r w:rsidRPr="00D76399">
        <w:rPr>
          <w:rFonts w:ascii="Times New Roman" w:hAnsi="Times New Roman" w:cs="Times New Roman"/>
          <w:sz w:val="24"/>
          <w:szCs w:val="24"/>
        </w:rPr>
        <w:t>.</w:t>
      </w:r>
      <w:r w:rsidR="00E83547">
        <w:rPr>
          <w:rFonts w:ascii="Times New Roman" w:hAnsi="Times New Roman" w:cs="Times New Roman"/>
          <w:sz w:val="24"/>
          <w:szCs w:val="24"/>
        </w:rPr>
        <w:t xml:space="preserve"> </w:t>
      </w:r>
      <w:r w:rsidRPr="00D76399">
        <w:rPr>
          <w:rFonts w:ascii="Times New Roman" w:hAnsi="Times New Roman" w:cs="Times New Roman"/>
          <w:sz w:val="24"/>
          <w:szCs w:val="24"/>
        </w:rPr>
        <w:t xml:space="preserve">One possibility is a more variegated service with different levels and </w:t>
      </w:r>
      <w:r w:rsidR="008D2D53">
        <w:rPr>
          <w:rFonts w:ascii="Times New Roman" w:hAnsi="Times New Roman" w:cs="Times New Roman"/>
          <w:sz w:val="24"/>
          <w:szCs w:val="24"/>
        </w:rPr>
        <w:t xml:space="preserve">a </w:t>
      </w:r>
      <w:r w:rsidRPr="00D76399">
        <w:rPr>
          <w:rFonts w:ascii="Times New Roman" w:hAnsi="Times New Roman" w:cs="Times New Roman"/>
          <w:sz w:val="24"/>
          <w:szCs w:val="24"/>
        </w:rPr>
        <w:t>wider range of provision and priorities for between areas. Much will depend on the decisions made by local Clinical Commissioning Groups</w:t>
      </w:r>
      <w:r w:rsidR="004B1BED">
        <w:rPr>
          <w:rFonts w:ascii="Times New Roman" w:hAnsi="Times New Roman" w:cs="Times New Roman"/>
          <w:sz w:val="24"/>
          <w:szCs w:val="24"/>
        </w:rPr>
        <w:t>, who hold the budgets,</w:t>
      </w:r>
      <w:r w:rsidRPr="00D76399">
        <w:rPr>
          <w:rFonts w:ascii="Times New Roman" w:hAnsi="Times New Roman" w:cs="Times New Roman"/>
          <w:sz w:val="24"/>
          <w:szCs w:val="24"/>
        </w:rPr>
        <w:t xml:space="preserve"> and the extent to which government is prepared to commit resources to meet the continuing demographic and other pressures.</w:t>
      </w:r>
    </w:p>
    <w:p w:rsidR="00703A96" w:rsidRPr="00D76399" w:rsidRDefault="00703A96" w:rsidP="00F34DAD">
      <w:pPr>
        <w:jc w:val="left"/>
        <w:rPr>
          <w:rFonts w:ascii="Times New Roman" w:hAnsi="Times New Roman" w:cs="Times New Roman"/>
          <w:i/>
          <w:sz w:val="24"/>
          <w:szCs w:val="24"/>
        </w:rPr>
      </w:pPr>
    </w:p>
    <w:p w:rsidR="008D2D53"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In education, decentralising school reforms</w:t>
      </w:r>
      <w:r w:rsidR="005E0406">
        <w:rPr>
          <w:rFonts w:ascii="Times New Roman" w:hAnsi="Times New Roman" w:cs="Times New Roman"/>
          <w:sz w:val="24"/>
          <w:szCs w:val="24"/>
        </w:rPr>
        <w:fldChar w:fldCharType="begin"/>
      </w:r>
      <w:r w:rsidR="000D1551">
        <w:instrText xml:space="preserve"> XE "</w:instrText>
      </w:r>
      <w:r w:rsidR="000D1551" w:rsidRPr="0069265D">
        <w:rPr>
          <w:rFonts w:ascii="Times New Roman" w:hAnsi="Times New Roman" w:cs="Times New Roman"/>
          <w:sz w:val="24"/>
          <w:szCs w:val="24"/>
        </w:rPr>
        <w:instrText>education</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initiated by the previous government, are now being expanded on a massive scale with</w:t>
      </w:r>
      <w:r w:rsidR="007C5D9F">
        <w:rPr>
          <w:rFonts w:ascii="Times New Roman" w:hAnsi="Times New Roman" w:cs="Times New Roman"/>
          <w:sz w:val="24"/>
          <w:szCs w:val="24"/>
        </w:rPr>
        <w:t xml:space="preserve"> no </w:t>
      </w:r>
      <w:r w:rsidRPr="00D76399">
        <w:rPr>
          <w:rFonts w:ascii="Times New Roman" w:hAnsi="Times New Roman" w:cs="Times New Roman"/>
          <w:sz w:val="24"/>
          <w:szCs w:val="24"/>
        </w:rPr>
        <w:t>extra funding. The new Academies</w:t>
      </w:r>
      <w:r w:rsidR="005E0406">
        <w:rPr>
          <w:rFonts w:ascii="Times New Roman" w:hAnsi="Times New Roman" w:cs="Times New Roman"/>
          <w:sz w:val="24"/>
          <w:szCs w:val="24"/>
        </w:rPr>
        <w:fldChar w:fldCharType="begin"/>
      </w:r>
      <w:r w:rsidR="000D1551">
        <w:instrText xml:space="preserve"> XE "</w:instrText>
      </w:r>
      <w:r w:rsidR="000D1551" w:rsidRPr="00EA4879">
        <w:rPr>
          <w:rFonts w:ascii="Times New Roman" w:hAnsi="Times New Roman" w:cs="Times New Roman"/>
          <w:sz w:val="24"/>
          <w:szCs w:val="24"/>
        </w:rPr>
        <w:instrText>Academies</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and Free </w:t>
      </w:r>
      <w:r w:rsidRPr="00D76399">
        <w:rPr>
          <w:rFonts w:ascii="Times New Roman" w:hAnsi="Times New Roman" w:cs="Times New Roman"/>
          <w:sz w:val="24"/>
          <w:szCs w:val="24"/>
        </w:rPr>
        <w:lastRenderedPageBreak/>
        <w:t>Schools</w:t>
      </w:r>
      <w:r w:rsidR="005E0406">
        <w:rPr>
          <w:rFonts w:ascii="Times New Roman" w:hAnsi="Times New Roman" w:cs="Times New Roman"/>
          <w:sz w:val="24"/>
          <w:szCs w:val="24"/>
        </w:rPr>
        <w:fldChar w:fldCharType="begin"/>
      </w:r>
      <w:r w:rsidR="000D1551">
        <w:instrText xml:space="preserve"> XE "</w:instrText>
      </w:r>
      <w:r w:rsidR="000D1551" w:rsidRPr="00270604">
        <w:rPr>
          <w:rFonts w:ascii="Times New Roman" w:hAnsi="Times New Roman" w:cs="Times New Roman"/>
          <w:sz w:val="24"/>
          <w:szCs w:val="24"/>
        </w:rPr>
        <w:instrText>Free Schools</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will be independent from local government control.</w:t>
      </w:r>
      <w:r w:rsidR="00E83547">
        <w:rPr>
          <w:rFonts w:ascii="Times New Roman" w:hAnsi="Times New Roman" w:cs="Times New Roman"/>
          <w:sz w:val="24"/>
          <w:szCs w:val="24"/>
        </w:rPr>
        <w:t xml:space="preserve"> </w:t>
      </w:r>
      <w:r w:rsidRPr="00D76399">
        <w:rPr>
          <w:rFonts w:ascii="Times New Roman" w:hAnsi="Times New Roman" w:cs="Times New Roman"/>
          <w:sz w:val="24"/>
          <w:szCs w:val="24"/>
        </w:rPr>
        <w:t>Private providers are being encouraged to enter the market. Regulation of curriculum has been reduced and that over teachers’ pay, qualifications and conditions of service is being relaxed in some schools. While current account school spending has been maintained, spending on other areas of education has been cut sharply. One effect of the relaxation in regulation which allows hard-pressed councils to divert the money to other uses is that funding for the main pre-school programme, Sure Start, has fallen by about half. The national scheme of cash benefits to encourage low-income students to continue schooling and training beyond the minimum school-leaving age of 16 has been abolished and any continuation depends again on local</w:t>
      </w:r>
      <w:r w:rsidR="007C5D9F">
        <w:rPr>
          <w:rFonts w:ascii="Times New Roman" w:hAnsi="Times New Roman" w:cs="Times New Roman"/>
          <w:sz w:val="24"/>
          <w:szCs w:val="24"/>
        </w:rPr>
        <w:t xml:space="preserve"> support</w:t>
      </w:r>
      <w:r w:rsidRPr="00D76399">
        <w:rPr>
          <w:rFonts w:ascii="Times New Roman" w:hAnsi="Times New Roman" w:cs="Times New Roman"/>
          <w:sz w:val="24"/>
          <w:szCs w:val="24"/>
        </w:rPr>
        <w:t>.</w:t>
      </w:r>
    </w:p>
    <w:p w:rsidR="008D2D53" w:rsidRDefault="008D2D53" w:rsidP="00F34DAD">
      <w:pPr>
        <w:jc w:val="left"/>
        <w:rPr>
          <w:rFonts w:ascii="Times New Roman" w:hAnsi="Times New Roman" w:cs="Times New Roman"/>
          <w:sz w:val="24"/>
          <w:szCs w:val="24"/>
        </w:rPr>
      </w:pPr>
    </w:p>
    <w:p w:rsidR="00703A96"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Government funding for higher education</w:t>
      </w:r>
      <w:r w:rsidR="005E0406">
        <w:rPr>
          <w:rFonts w:ascii="Times New Roman" w:hAnsi="Times New Roman" w:cs="Times New Roman"/>
          <w:sz w:val="24"/>
          <w:szCs w:val="24"/>
        </w:rPr>
        <w:fldChar w:fldCharType="begin"/>
      </w:r>
      <w:r w:rsidR="000D1551">
        <w:instrText xml:space="preserve"> XE "</w:instrText>
      </w:r>
      <w:r w:rsidR="000D1551" w:rsidRPr="007D70A2">
        <w:rPr>
          <w:rFonts w:ascii="Times New Roman" w:hAnsi="Times New Roman" w:cs="Times New Roman"/>
          <w:sz w:val="24"/>
          <w:szCs w:val="24"/>
        </w:rPr>
        <w:instrText>higher education</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has been cut by 80 per cent with the assumption that increased fees of up to £9,000 a year will make up the difference, so that university teaching is financed almost entirely by students. Loans are available but must be repaid. </w:t>
      </w:r>
      <w:r w:rsidR="00B25D4D">
        <w:rPr>
          <w:rFonts w:ascii="Times New Roman" w:hAnsi="Times New Roman" w:cs="Times New Roman"/>
          <w:sz w:val="24"/>
          <w:szCs w:val="24"/>
        </w:rPr>
        <w:t>Analysis of official data for</w:t>
      </w:r>
      <w:r w:rsidRPr="00D76399">
        <w:rPr>
          <w:rFonts w:ascii="Times New Roman" w:hAnsi="Times New Roman" w:cs="Times New Roman"/>
          <w:sz w:val="24"/>
          <w:szCs w:val="24"/>
        </w:rPr>
        <w:t xml:space="preserve"> the first year (201</w:t>
      </w:r>
      <w:r w:rsidR="00100AA8">
        <w:rPr>
          <w:rFonts w:ascii="Times New Roman" w:hAnsi="Times New Roman" w:cs="Times New Roman"/>
          <w:sz w:val="24"/>
          <w:szCs w:val="24"/>
        </w:rPr>
        <w:t>1/12</w:t>
      </w:r>
      <w:r w:rsidR="00A63924">
        <w:rPr>
          <w:rFonts w:ascii="Times New Roman" w:hAnsi="Times New Roman" w:cs="Times New Roman"/>
          <w:sz w:val="24"/>
          <w:szCs w:val="24"/>
        </w:rPr>
        <w:t xml:space="preserve">) </w:t>
      </w:r>
      <w:r w:rsidR="00B25D4D">
        <w:rPr>
          <w:rFonts w:ascii="Times New Roman" w:hAnsi="Times New Roman" w:cs="Times New Roman"/>
          <w:sz w:val="24"/>
          <w:szCs w:val="24"/>
        </w:rPr>
        <w:t>shows</w:t>
      </w:r>
      <w:r w:rsidR="00A63924">
        <w:rPr>
          <w:rFonts w:ascii="Times New Roman" w:hAnsi="Times New Roman" w:cs="Times New Roman"/>
          <w:sz w:val="24"/>
          <w:szCs w:val="24"/>
        </w:rPr>
        <w:t xml:space="preserve"> a 7.4</w:t>
      </w:r>
      <w:r w:rsidR="00914212">
        <w:rPr>
          <w:rFonts w:ascii="Times New Roman" w:hAnsi="Times New Roman" w:cs="Times New Roman"/>
          <w:sz w:val="24"/>
          <w:szCs w:val="24"/>
        </w:rPr>
        <w:t xml:space="preserve"> per cent fall in admissions across the</w:t>
      </w:r>
      <w:r w:rsidR="00A63924">
        <w:rPr>
          <w:rFonts w:ascii="Times New Roman" w:hAnsi="Times New Roman" w:cs="Times New Roman"/>
          <w:sz w:val="24"/>
          <w:szCs w:val="24"/>
        </w:rPr>
        <w:t xml:space="preserve"> UK compared with 2009/10 (admissions were distorted upwards in 2010/11 by students foregoing a gap year to avoid the higher fees</w:t>
      </w:r>
      <w:r w:rsidR="00B25D4D">
        <w:rPr>
          <w:rFonts w:ascii="Times New Roman" w:hAnsi="Times New Roman" w:cs="Times New Roman"/>
          <w:sz w:val="24"/>
          <w:szCs w:val="24"/>
        </w:rPr>
        <w:t>)</w:t>
      </w:r>
      <w:r w:rsidR="00A63924">
        <w:rPr>
          <w:rFonts w:ascii="Times New Roman" w:hAnsi="Times New Roman" w:cs="Times New Roman"/>
          <w:sz w:val="24"/>
          <w:szCs w:val="24"/>
        </w:rPr>
        <w:t>. The fall was</w:t>
      </w:r>
      <w:r w:rsidR="008D2D53">
        <w:rPr>
          <w:rFonts w:ascii="Times New Roman" w:hAnsi="Times New Roman" w:cs="Times New Roman"/>
          <w:sz w:val="24"/>
          <w:szCs w:val="24"/>
        </w:rPr>
        <w:t xml:space="preserve"> 8.8 per cent</w:t>
      </w:r>
      <w:r w:rsidR="00A63924">
        <w:rPr>
          <w:rFonts w:ascii="Times New Roman" w:hAnsi="Times New Roman" w:cs="Times New Roman"/>
          <w:sz w:val="24"/>
          <w:szCs w:val="24"/>
        </w:rPr>
        <w:t xml:space="preserve"> in England where fees are highest</w:t>
      </w:r>
      <w:r w:rsidR="008D2D53">
        <w:rPr>
          <w:rFonts w:ascii="Times New Roman" w:hAnsi="Times New Roman" w:cs="Times New Roman"/>
          <w:sz w:val="24"/>
          <w:szCs w:val="24"/>
        </w:rPr>
        <w:t>. Conversely, admission rose by</w:t>
      </w:r>
      <w:r w:rsidR="00A63924">
        <w:rPr>
          <w:rFonts w:ascii="Times New Roman" w:hAnsi="Times New Roman" w:cs="Times New Roman"/>
          <w:sz w:val="24"/>
          <w:szCs w:val="24"/>
        </w:rPr>
        <w:t xml:space="preserve"> 1.0 per cent in Scotland where f</w:t>
      </w:r>
      <w:r w:rsidR="00914212">
        <w:rPr>
          <w:rFonts w:ascii="Times New Roman" w:hAnsi="Times New Roman" w:cs="Times New Roman"/>
          <w:sz w:val="24"/>
          <w:szCs w:val="24"/>
        </w:rPr>
        <w:t xml:space="preserve">ees were not increased and by 0.3 per cent in Wales where they were capped at £3,456. Applications fell more sharply among women and for </w:t>
      </w:r>
      <w:r w:rsidR="004B1BED" w:rsidRPr="00D76399">
        <w:rPr>
          <w:rFonts w:ascii="Times New Roman" w:hAnsi="Times New Roman" w:cs="Times New Roman"/>
          <w:sz w:val="24"/>
          <w:szCs w:val="24"/>
        </w:rPr>
        <w:t>less</w:t>
      </w:r>
      <w:r w:rsidRPr="00D76399">
        <w:rPr>
          <w:rFonts w:ascii="Times New Roman" w:hAnsi="Times New Roman" w:cs="Times New Roman"/>
          <w:sz w:val="24"/>
          <w:szCs w:val="24"/>
        </w:rPr>
        <w:t xml:space="preserve"> prestigious institutions and shift</w:t>
      </w:r>
      <w:r w:rsidR="00914212">
        <w:rPr>
          <w:rFonts w:ascii="Times New Roman" w:hAnsi="Times New Roman" w:cs="Times New Roman"/>
          <w:sz w:val="24"/>
          <w:szCs w:val="24"/>
        </w:rPr>
        <w:t>ed</w:t>
      </w:r>
      <w:r w:rsidRPr="00D76399">
        <w:rPr>
          <w:rFonts w:ascii="Times New Roman" w:hAnsi="Times New Roman" w:cs="Times New Roman"/>
          <w:sz w:val="24"/>
          <w:szCs w:val="24"/>
        </w:rPr>
        <w:t xml:space="preserve"> towards directly vocational subjects such as law, medicine, business, engineering and computing</w:t>
      </w:r>
      <w:r w:rsidR="00B25D4D" w:rsidRPr="00B25D4D">
        <w:rPr>
          <w:rFonts w:ascii="Times New Roman" w:hAnsi="Times New Roman" w:cs="Times New Roman"/>
          <w:sz w:val="24"/>
          <w:szCs w:val="24"/>
        </w:rPr>
        <w:t xml:space="preserve"> </w:t>
      </w:r>
      <w:r w:rsidR="00B25D4D">
        <w:rPr>
          <w:rFonts w:ascii="Times New Roman" w:hAnsi="Times New Roman" w:cs="Times New Roman"/>
          <w:sz w:val="24"/>
          <w:szCs w:val="24"/>
        </w:rPr>
        <w:t>(Independent Commission on Fees</w:t>
      </w:r>
      <w:r w:rsidR="007F76FC">
        <w:rPr>
          <w:rFonts w:ascii="Times New Roman" w:hAnsi="Times New Roman" w:cs="Times New Roman"/>
          <w:sz w:val="24"/>
          <w:szCs w:val="24"/>
        </w:rPr>
        <w:fldChar w:fldCharType="begin"/>
      </w:r>
      <w:r w:rsidR="007F76FC">
        <w:instrText xml:space="preserve"> XE "</w:instrText>
      </w:r>
      <w:r w:rsidR="007F76FC" w:rsidRPr="002A5F28">
        <w:rPr>
          <w:rFonts w:ascii="Times New Roman" w:hAnsi="Times New Roman" w:cs="Times New Roman"/>
          <w:sz w:val="24"/>
          <w:szCs w:val="24"/>
        </w:rPr>
        <w:instrText>Independent Commission on Fees</w:instrText>
      </w:r>
      <w:r w:rsidR="007F76FC">
        <w:instrText xml:space="preserve">" </w:instrText>
      </w:r>
      <w:r w:rsidR="007F76FC">
        <w:rPr>
          <w:rFonts w:ascii="Times New Roman" w:hAnsi="Times New Roman" w:cs="Times New Roman"/>
          <w:sz w:val="24"/>
          <w:szCs w:val="24"/>
        </w:rPr>
        <w:fldChar w:fldCharType="end"/>
      </w:r>
      <w:r w:rsidR="00B25D4D">
        <w:rPr>
          <w:rFonts w:ascii="Times New Roman" w:hAnsi="Times New Roman" w:cs="Times New Roman"/>
          <w:sz w:val="24"/>
          <w:szCs w:val="24"/>
        </w:rPr>
        <w:t xml:space="preserve"> 2012, 5)</w:t>
      </w:r>
      <w:r w:rsidRPr="00D76399">
        <w:rPr>
          <w:rFonts w:ascii="Times New Roman" w:hAnsi="Times New Roman" w:cs="Times New Roman"/>
          <w:sz w:val="24"/>
          <w:szCs w:val="24"/>
        </w:rPr>
        <w:t xml:space="preserve">. </w:t>
      </w:r>
    </w:p>
    <w:p w:rsidR="004B1BED" w:rsidRPr="00D76399" w:rsidRDefault="004B1BED" w:rsidP="00F34DAD">
      <w:pPr>
        <w:jc w:val="left"/>
        <w:rPr>
          <w:rFonts w:ascii="Times New Roman" w:hAnsi="Times New Roman" w:cs="Times New Roman"/>
          <w:i/>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The restructuring of the employment service</w:t>
      </w:r>
      <w:r w:rsidR="005E0406">
        <w:rPr>
          <w:rFonts w:ascii="Times New Roman" w:hAnsi="Times New Roman" w:cs="Times New Roman"/>
          <w:sz w:val="24"/>
          <w:szCs w:val="24"/>
        </w:rPr>
        <w:fldChar w:fldCharType="begin"/>
      </w:r>
      <w:r w:rsidR="000D1551">
        <w:instrText xml:space="preserve"> XE "</w:instrText>
      </w:r>
      <w:r w:rsidR="006848DE">
        <w:rPr>
          <w:rFonts w:ascii="Times New Roman" w:hAnsi="Times New Roman" w:cs="Times New Roman"/>
          <w:sz w:val="24"/>
          <w:szCs w:val="24"/>
        </w:rPr>
        <w:instrText>E</w:instrText>
      </w:r>
      <w:r w:rsidR="000D1551" w:rsidRPr="00B543AB">
        <w:rPr>
          <w:rFonts w:ascii="Times New Roman" w:hAnsi="Times New Roman" w:cs="Times New Roman"/>
          <w:sz w:val="24"/>
          <w:szCs w:val="24"/>
        </w:rPr>
        <w:instrText xml:space="preserve">mployment </w:instrText>
      </w:r>
      <w:r w:rsidR="006848DE">
        <w:rPr>
          <w:rFonts w:ascii="Times New Roman" w:hAnsi="Times New Roman" w:cs="Times New Roman"/>
          <w:sz w:val="24"/>
          <w:szCs w:val="24"/>
        </w:rPr>
        <w:instrText>S</w:instrText>
      </w:r>
      <w:r w:rsidR="000D1551" w:rsidRPr="00B543AB">
        <w:rPr>
          <w:rFonts w:ascii="Times New Roman" w:hAnsi="Times New Roman" w:cs="Times New Roman"/>
          <w:sz w:val="24"/>
          <w:szCs w:val="24"/>
        </w:rPr>
        <w:instrText>ervice</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pioneers an approach to the engagement of the for-profit sector with broader implications: payment by results. Under the Work Programme</w:t>
      </w:r>
      <w:r w:rsidR="002F32DB" w:rsidRPr="00D76399">
        <w:rPr>
          <w:rFonts w:ascii="Times New Roman" w:hAnsi="Times New Roman" w:cs="Times New Roman"/>
          <w:sz w:val="24"/>
          <w:szCs w:val="24"/>
        </w:rPr>
        <w:t>, contractors</w:t>
      </w:r>
      <w:r w:rsidRPr="00D76399">
        <w:rPr>
          <w:rFonts w:ascii="Times New Roman" w:hAnsi="Times New Roman" w:cs="Times New Roman"/>
          <w:sz w:val="24"/>
          <w:szCs w:val="24"/>
        </w:rPr>
        <w:t xml:space="preserve">, who manage unemployed claimers and provide training and work support, only receive the bulk of the money if they meet certain goals. For example, the claimer must </w:t>
      </w:r>
      <w:r w:rsidR="004B1BED" w:rsidRPr="00D76399">
        <w:rPr>
          <w:rFonts w:ascii="Times New Roman" w:hAnsi="Times New Roman" w:cs="Times New Roman"/>
          <w:sz w:val="24"/>
          <w:szCs w:val="24"/>
        </w:rPr>
        <w:t>enter</w:t>
      </w:r>
      <w:r w:rsidRPr="00D76399">
        <w:rPr>
          <w:rFonts w:ascii="Times New Roman" w:hAnsi="Times New Roman" w:cs="Times New Roman"/>
          <w:sz w:val="24"/>
          <w:szCs w:val="24"/>
        </w:rPr>
        <w:t xml:space="preserve"> and hold a job for a minimum period, three to six months. This system is also being introduced in overseas aid and in some areas of community health care, offender management and social care</w:t>
      </w:r>
      <w:r w:rsidR="002A7776">
        <w:rPr>
          <w:rFonts w:ascii="Times New Roman" w:hAnsi="Times New Roman" w:cs="Times New Roman"/>
          <w:sz w:val="24"/>
          <w:szCs w:val="24"/>
        </w:rPr>
        <w:fldChar w:fldCharType="begin"/>
      </w:r>
      <w:r w:rsidR="002A7776">
        <w:instrText xml:space="preserve"> XE "</w:instrText>
      </w:r>
      <w:r w:rsidR="002A7776" w:rsidRPr="0099527B">
        <w:rPr>
          <w:rFonts w:ascii="Times New Roman" w:hAnsi="Times New Roman" w:cs="Times New Roman"/>
          <w:sz w:val="24"/>
          <w:szCs w:val="24"/>
        </w:rPr>
        <w:instrText>social care</w:instrText>
      </w:r>
      <w:r w:rsidR="002A7776">
        <w:instrText xml:space="preserve">" </w:instrText>
      </w:r>
      <w:r w:rsidR="002A777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for young people. If successful, it will open up a new approach to public management by monitoring outcomes rather than standards of provision. How far contractual obligations will be enforceable in the event of failure is unclear. The problems of regulation and monitoring highlighted in the discussion of political risks above redouble.</w:t>
      </w:r>
    </w:p>
    <w:p w:rsidR="00703A96" w:rsidRPr="00D76399" w:rsidRDefault="00703A96" w:rsidP="00F34DAD">
      <w:pPr>
        <w:jc w:val="left"/>
        <w:rPr>
          <w:rFonts w:ascii="Times New Roman" w:hAnsi="Times New Roman" w:cs="Times New Roman"/>
          <w:i/>
          <w:sz w:val="24"/>
          <w:szCs w:val="24"/>
        </w:rPr>
      </w:pPr>
    </w:p>
    <w:p w:rsidR="00703A96" w:rsidRPr="00D76399" w:rsidRDefault="00703A96" w:rsidP="00F34DAD">
      <w:pPr>
        <w:jc w:val="left"/>
        <w:rPr>
          <w:rFonts w:ascii="Times New Roman" w:hAnsi="Times New Roman" w:cs="Times New Roman"/>
          <w:i/>
          <w:sz w:val="24"/>
          <w:szCs w:val="24"/>
        </w:rPr>
      </w:pPr>
      <w:r w:rsidRPr="00D76399">
        <w:rPr>
          <w:rFonts w:ascii="Times New Roman" w:hAnsi="Times New Roman" w:cs="Times New Roman"/>
          <w:sz w:val="24"/>
          <w:szCs w:val="24"/>
        </w:rPr>
        <w:t>The government has placed considerable emphasis on the role of Third Sector</w:t>
      </w:r>
      <w:r w:rsidR="005E0406">
        <w:rPr>
          <w:rFonts w:ascii="Times New Roman" w:hAnsi="Times New Roman" w:cs="Times New Roman"/>
          <w:sz w:val="24"/>
          <w:szCs w:val="24"/>
        </w:rPr>
        <w:fldChar w:fldCharType="begin"/>
      </w:r>
      <w:r w:rsidR="000D1551">
        <w:instrText xml:space="preserve"> XE "</w:instrText>
      </w:r>
      <w:r w:rsidR="004152F7">
        <w:instrText>t</w:instrText>
      </w:r>
      <w:r w:rsidR="004152F7">
        <w:rPr>
          <w:rFonts w:ascii="Times New Roman" w:hAnsi="Times New Roman" w:cs="Times New Roman"/>
          <w:sz w:val="24"/>
          <w:szCs w:val="24"/>
        </w:rPr>
        <w:instrText>hird s</w:instrText>
      </w:r>
      <w:r w:rsidR="000D1551" w:rsidRPr="00151017">
        <w:rPr>
          <w:rFonts w:ascii="Times New Roman" w:hAnsi="Times New Roman" w:cs="Times New Roman"/>
          <w:sz w:val="24"/>
          <w:szCs w:val="24"/>
        </w:rPr>
        <w:instrText>ector</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organisations alongside for-profit providers in </w:t>
      </w:r>
      <w:r w:rsidR="004B1BED">
        <w:rPr>
          <w:rFonts w:ascii="Times New Roman" w:hAnsi="Times New Roman" w:cs="Times New Roman"/>
          <w:sz w:val="24"/>
          <w:szCs w:val="24"/>
        </w:rPr>
        <w:t>engaging</w:t>
      </w:r>
      <w:r w:rsidRPr="00D76399">
        <w:rPr>
          <w:rFonts w:ascii="Times New Roman" w:hAnsi="Times New Roman" w:cs="Times New Roman"/>
          <w:sz w:val="24"/>
          <w:szCs w:val="24"/>
        </w:rPr>
        <w:t xml:space="preserve"> local communities in a ‘Big Society</w:t>
      </w:r>
      <w:r w:rsidR="005E0406">
        <w:rPr>
          <w:rFonts w:ascii="Times New Roman" w:hAnsi="Times New Roman" w:cs="Times New Roman"/>
          <w:sz w:val="24"/>
          <w:szCs w:val="24"/>
        </w:rPr>
        <w:fldChar w:fldCharType="begin"/>
      </w:r>
      <w:r w:rsidR="000D1551">
        <w:instrText xml:space="preserve"> XE "</w:instrText>
      </w:r>
      <w:r w:rsidR="000D1551" w:rsidRPr="00163D13">
        <w:rPr>
          <w:rFonts w:ascii="Times New Roman" w:hAnsi="Times New Roman" w:cs="Times New Roman"/>
          <w:sz w:val="24"/>
          <w:szCs w:val="24"/>
        </w:rPr>
        <w:instrText>Big Society</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‘a broad culture of responsibility, mutuality and obligation’ (Cameron 2009). The voluntary sector is very much smaller that the state sector, limiting its potential contribution. Activity is concentrated in particular areas, generally the richer parts of the country (Lyon and Sepulveda 2009, Mohan 2011, 7). It focuses on particular needs (chiefly health care and research, schools and youth clubs, religious groupings and overseas aid) and is not necessarily in a position to substitute for cutbacks in support for the poorest (NCVO</w:t>
      </w:r>
      <w:r w:rsidR="007F76FC">
        <w:rPr>
          <w:rFonts w:ascii="Times New Roman" w:hAnsi="Times New Roman" w:cs="Times New Roman"/>
          <w:sz w:val="24"/>
          <w:szCs w:val="24"/>
        </w:rPr>
        <w:fldChar w:fldCharType="begin"/>
      </w:r>
      <w:r w:rsidR="007F76FC">
        <w:instrText xml:space="preserve"> XE "</w:instrText>
      </w:r>
      <w:r w:rsidR="007F76FC" w:rsidRPr="002B1EA3">
        <w:rPr>
          <w:rFonts w:ascii="Times New Roman" w:hAnsi="Times New Roman" w:cs="Times New Roman"/>
          <w:sz w:val="24"/>
          <w:szCs w:val="24"/>
        </w:rPr>
        <w:instrText>NCVO</w:instrText>
      </w:r>
      <w:r w:rsidR="007F76FC">
        <w:instrText xml:space="preserve">" </w:instrText>
      </w:r>
      <w:r w:rsidR="007F76FC">
        <w:rPr>
          <w:rFonts w:ascii="Times New Roman" w:hAnsi="Times New Roman" w:cs="Times New Roman"/>
          <w:sz w:val="24"/>
          <w:szCs w:val="24"/>
        </w:rPr>
        <w:fldChar w:fldCharType="end"/>
      </w:r>
      <w:r w:rsidRPr="00D76399">
        <w:rPr>
          <w:rFonts w:ascii="Times New Roman" w:hAnsi="Times New Roman" w:cs="Times New Roman"/>
          <w:sz w:val="24"/>
          <w:szCs w:val="24"/>
        </w:rPr>
        <w:t xml:space="preserve"> 2010: vi, 10). In any case much depends on state support</w:t>
      </w:r>
      <w:r w:rsidR="004B1BED">
        <w:rPr>
          <w:rFonts w:ascii="Times New Roman" w:hAnsi="Times New Roman" w:cs="Times New Roman"/>
          <w:sz w:val="24"/>
          <w:szCs w:val="24"/>
        </w:rPr>
        <w:t xml:space="preserve">. </w:t>
      </w:r>
      <w:r w:rsidRPr="00D76399">
        <w:rPr>
          <w:rFonts w:ascii="Times New Roman" w:hAnsi="Times New Roman" w:cs="Times New Roman"/>
          <w:sz w:val="24"/>
          <w:szCs w:val="24"/>
        </w:rPr>
        <w:t xml:space="preserve">The sector is enormously diverse. The five </w:t>
      </w:r>
      <w:r w:rsidRPr="00D76399">
        <w:rPr>
          <w:rFonts w:ascii="Times New Roman" w:hAnsi="Times New Roman" w:cs="Times New Roman"/>
          <w:sz w:val="24"/>
          <w:szCs w:val="24"/>
        </w:rPr>
        <w:lastRenderedPageBreak/>
        <w:t>areas of provision closest to the state services which are now being cut back (employment and training, law and advocacy, education, housing, and social services) receive more than half their income from local government th</w:t>
      </w:r>
      <w:r w:rsidR="00B25D4D">
        <w:rPr>
          <w:rFonts w:ascii="Times New Roman" w:hAnsi="Times New Roman" w:cs="Times New Roman"/>
          <w:sz w:val="24"/>
          <w:szCs w:val="24"/>
        </w:rPr>
        <w:t xml:space="preserve">rough contracts which are now </w:t>
      </w:r>
      <w:r w:rsidR="004B1BED">
        <w:rPr>
          <w:rFonts w:ascii="Times New Roman" w:hAnsi="Times New Roman" w:cs="Times New Roman"/>
          <w:sz w:val="24"/>
          <w:szCs w:val="24"/>
        </w:rPr>
        <w:t>also subject to cuts</w:t>
      </w:r>
      <w:r w:rsidR="0054482E">
        <w:rPr>
          <w:rFonts w:ascii="Times New Roman" w:hAnsi="Times New Roman" w:cs="Times New Roman"/>
          <w:sz w:val="24"/>
          <w:szCs w:val="24"/>
        </w:rPr>
        <w:fldChar w:fldCharType="begin"/>
      </w:r>
      <w:r w:rsidR="0054482E">
        <w:instrText xml:space="preserve"> XE "</w:instrText>
      </w:r>
      <w:r w:rsidR="0054482E" w:rsidRPr="0039649F">
        <w:rPr>
          <w:rFonts w:ascii="Times New Roman" w:hAnsi="Times New Roman" w:cs="Times New Roman"/>
          <w:sz w:val="24"/>
          <w:szCs w:val="24"/>
        </w:rPr>
        <w:instrText>cuts</w:instrText>
      </w:r>
      <w:r w:rsidR="0054482E">
        <w:instrText xml:space="preserve">" </w:instrText>
      </w:r>
      <w:r w:rsidR="0054482E">
        <w:rPr>
          <w:rFonts w:ascii="Times New Roman" w:hAnsi="Times New Roman" w:cs="Times New Roman"/>
          <w:sz w:val="24"/>
          <w:szCs w:val="24"/>
        </w:rPr>
        <w:fldChar w:fldCharType="end"/>
      </w:r>
      <w:r w:rsidR="004B1BED">
        <w:rPr>
          <w:rFonts w:ascii="Times New Roman" w:hAnsi="Times New Roman" w:cs="Times New Roman"/>
          <w:sz w:val="24"/>
          <w:szCs w:val="24"/>
        </w:rPr>
        <w:t xml:space="preserve"> (</w:t>
      </w:r>
      <w:r w:rsidRPr="00D76399">
        <w:rPr>
          <w:rFonts w:ascii="Times New Roman" w:hAnsi="Times New Roman" w:cs="Times New Roman"/>
          <w:sz w:val="24"/>
          <w:szCs w:val="24"/>
        </w:rPr>
        <w:t xml:space="preserve">NCVO 2011). The capacity of the Third Sector to substitute for government </w:t>
      </w:r>
      <w:r w:rsidR="00100AA8" w:rsidRPr="00D76399">
        <w:rPr>
          <w:rFonts w:ascii="Times New Roman" w:hAnsi="Times New Roman" w:cs="Times New Roman"/>
          <w:sz w:val="24"/>
          <w:szCs w:val="24"/>
        </w:rPr>
        <w:t>is limited</w:t>
      </w:r>
      <w:r w:rsidR="00100AA8">
        <w:rPr>
          <w:rFonts w:ascii="Times New Roman" w:hAnsi="Times New Roman" w:cs="Times New Roman"/>
          <w:sz w:val="24"/>
          <w:szCs w:val="24"/>
        </w:rPr>
        <w:t>, especially</w:t>
      </w:r>
      <w:r w:rsidR="00100AA8" w:rsidRPr="00D76399">
        <w:rPr>
          <w:rFonts w:ascii="Times New Roman" w:hAnsi="Times New Roman" w:cs="Times New Roman"/>
          <w:sz w:val="24"/>
          <w:szCs w:val="24"/>
        </w:rPr>
        <w:t xml:space="preserve"> </w:t>
      </w:r>
      <w:r w:rsidRPr="00D76399">
        <w:rPr>
          <w:rFonts w:ascii="Times New Roman" w:hAnsi="Times New Roman" w:cs="Times New Roman"/>
          <w:sz w:val="24"/>
          <w:szCs w:val="24"/>
        </w:rPr>
        <w:t>in the current context.</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b/>
          <w:i/>
          <w:sz w:val="24"/>
          <w:szCs w:val="24"/>
        </w:rPr>
        <w:t xml:space="preserve">Diversity in provision: </w:t>
      </w:r>
      <w:r w:rsidRPr="00D76399">
        <w:rPr>
          <w:rFonts w:ascii="Times New Roman" w:hAnsi="Times New Roman" w:cs="Times New Roman"/>
          <w:sz w:val="24"/>
          <w:szCs w:val="24"/>
        </w:rPr>
        <w:t>the cash benefit, NHS and education reforms have passed into law and are now being implemented. Local government cuts</w:t>
      </w:r>
      <w:r w:rsidR="00AF6CB2">
        <w:rPr>
          <w:rFonts w:ascii="Times New Roman" w:hAnsi="Times New Roman" w:cs="Times New Roman"/>
          <w:sz w:val="24"/>
          <w:szCs w:val="24"/>
        </w:rPr>
        <w:t>,</w:t>
      </w:r>
      <w:r w:rsidRPr="00D76399">
        <w:rPr>
          <w:rFonts w:ascii="Times New Roman" w:hAnsi="Times New Roman" w:cs="Times New Roman"/>
          <w:sz w:val="24"/>
          <w:szCs w:val="24"/>
        </w:rPr>
        <w:t xml:space="preserve"> employment service </w:t>
      </w:r>
      <w:r w:rsidR="00AF6CB2">
        <w:rPr>
          <w:rFonts w:ascii="Times New Roman" w:hAnsi="Times New Roman" w:cs="Times New Roman"/>
          <w:sz w:val="24"/>
          <w:szCs w:val="24"/>
        </w:rPr>
        <w:t xml:space="preserve">changes </w:t>
      </w:r>
      <w:r w:rsidRPr="00D76399">
        <w:rPr>
          <w:rFonts w:ascii="Times New Roman" w:hAnsi="Times New Roman" w:cs="Times New Roman"/>
          <w:sz w:val="24"/>
          <w:szCs w:val="24"/>
        </w:rPr>
        <w:t xml:space="preserve">and </w:t>
      </w:r>
      <w:r w:rsidR="00AF6CB2">
        <w:rPr>
          <w:rFonts w:ascii="Times New Roman" w:hAnsi="Times New Roman" w:cs="Times New Roman"/>
          <w:sz w:val="24"/>
          <w:szCs w:val="24"/>
        </w:rPr>
        <w:t xml:space="preserve">the new rules for </w:t>
      </w:r>
      <w:r w:rsidRPr="00D76399">
        <w:rPr>
          <w:rFonts w:ascii="Times New Roman" w:hAnsi="Times New Roman" w:cs="Times New Roman"/>
          <w:sz w:val="24"/>
          <w:szCs w:val="24"/>
        </w:rPr>
        <w:t xml:space="preserve">pension </w:t>
      </w:r>
      <w:r w:rsidR="00AF6CB2">
        <w:rPr>
          <w:rFonts w:ascii="Times New Roman" w:hAnsi="Times New Roman" w:cs="Times New Roman"/>
          <w:sz w:val="24"/>
          <w:szCs w:val="24"/>
        </w:rPr>
        <w:t xml:space="preserve">uprating </w:t>
      </w:r>
      <w:r w:rsidRPr="00D76399">
        <w:rPr>
          <w:rFonts w:ascii="Times New Roman" w:hAnsi="Times New Roman" w:cs="Times New Roman"/>
          <w:sz w:val="24"/>
          <w:szCs w:val="24"/>
        </w:rPr>
        <w:t xml:space="preserve">are </w:t>
      </w:r>
      <w:r w:rsidR="00AF6CB2">
        <w:rPr>
          <w:rFonts w:ascii="Times New Roman" w:hAnsi="Times New Roman" w:cs="Times New Roman"/>
          <w:sz w:val="24"/>
          <w:szCs w:val="24"/>
        </w:rPr>
        <w:t>established</w:t>
      </w:r>
      <w:r w:rsidRPr="00D76399">
        <w:rPr>
          <w:rFonts w:ascii="Times New Roman" w:hAnsi="Times New Roman" w:cs="Times New Roman"/>
          <w:sz w:val="24"/>
          <w:szCs w:val="24"/>
        </w:rPr>
        <w:t xml:space="preserve"> by ministerial decision. It appears certain that the moves towards decentralisation</w:t>
      </w:r>
      <w:r w:rsidR="005E0406">
        <w:rPr>
          <w:rFonts w:ascii="Times New Roman" w:hAnsi="Times New Roman" w:cs="Times New Roman"/>
          <w:sz w:val="24"/>
          <w:szCs w:val="24"/>
        </w:rPr>
        <w:fldChar w:fldCharType="begin"/>
      </w:r>
      <w:r w:rsidR="000D1551">
        <w:instrText xml:space="preserve"> XE "</w:instrText>
      </w:r>
      <w:r w:rsidR="000D1551" w:rsidRPr="0015328D">
        <w:rPr>
          <w:rFonts w:ascii="Times New Roman" w:hAnsi="Times New Roman" w:cs="Times New Roman"/>
          <w:sz w:val="24"/>
          <w:szCs w:val="24"/>
        </w:rPr>
        <w:instrText>decentralisation</w:instrText>
      </w:r>
      <w:r w:rsidR="000D1551">
        <w:instrText xml:space="preserve">" </w:instrText>
      </w:r>
      <w:r w:rsidR="005E0406">
        <w:rPr>
          <w:rFonts w:ascii="Times New Roman" w:hAnsi="Times New Roman" w:cs="Times New Roman"/>
          <w:sz w:val="24"/>
          <w:szCs w:val="24"/>
        </w:rPr>
        <w:fldChar w:fldCharType="end"/>
      </w:r>
      <w:r w:rsidR="004B1BED">
        <w:rPr>
          <w:rFonts w:ascii="Times New Roman" w:hAnsi="Times New Roman" w:cs="Times New Roman"/>
          <w:sz w:val="24"/>
          <w:szCs w:val="24"/>
        </w:rPr>
        <w:t>,</w:t>
      </w:r>
      <w:r w:rsidRPr="00D76399">
        <w:rPr>
          <w:rFonts w:ascii="Times New Roman" w:hAnsi="Times New Roman" w:cs="Times New Roman"/>
          <w:sz w:val="24"/>
          <w:szCs w:val="24"/>
        </w:rPr>
        <w:t xml:space="preserve"> much greater use of contracts and shift</w:t>
      </w:r>
      <w:r w:rsidR="00907A08">
        <w:rPr>
          <w:rFonts w:ascii="Times New Roman" w:hAnsi="Times New Roman" w:cs="Times New Roman"/>
          <w:sz w:val="24"/>
          <w:szCs w:val="24"/>
        </w:rPr>
        <w:t>ing</w:t>
      </w:r>
      <w:r w:rsidRPr="00D76399">
        <w:rPr>
          <w:rFonts w:ascii="Times New Roman" w:hAnsi="Times New Roman" w:cs="Times New Roman"/>
          <w:sz w:val="24"/>
          <w:szCs w:val="24"/>
        </w:rPr>
        <w:t xml:space="preserve"> responsibility away from Ministers for outcomes in services like the NHS will lead to greater diversity in provision. In health care, </w:t>
      </w:r>
      <w:r w:rsidR="004B1BED">
        <w:rPr>
          <w:rFonts w:ascii="Times New Roman" w:hAnsi="Times New Roman" w:cs="Times New Roman"/>
          <w:sz w:val="24"/>
          <w:szCs w:val="24"/>
        </w:rPr>
        <w:t xml:space="preserve">the </w:t>
      </w:r>
      <w:r w:rsidRPr="00D76399">
        <w:rPr>
          <w:rFonts w:ascii="Times New Roman" w:hAnsi="Times New Roman" w:cs="Times New Roman"/>
          <w:sz w:val="24"/>
          <w:szCs w:val="24"/>
        </w:rPr>
        <w:t xml:space="preserve">GP-led </w:t>
      </w:r>
      <w:r w:rsidR="004B1BED">
        <w:rPr>
          <w:rFonts w:ascii="Times New Roman" w:hAnsi="Times New Roman" w:cs="Times New Roman"/>
          <w:sz w:val="24"/>
          <w:szCs w:val="24"/>
        </w:rPr>
        <w:t>Clinical C</w:t>
      </w:r>
      <w:r w:rsidRPr="00D76399">
        <w:rPr>
          <w:rFonts w:ascii="Times New Roman" w:hAnsi="Times New Roman" w:cs="Times New Roman"/>
          <w:sz w:val="24"/>
          <w:szCs w:val="24"/>
        </w:rPr>
        <w:t xml:space="preserve">ommissioning </w:t>
      </w:r>
      <w:r w:rsidR="004B1BED">
        <w:rPr>
          <w:rFonts w:ascii="Times New Roman" w:hAnsi="Times New Roman" w:cs="Times New Roman"/>
          <w:sz w:val="24"/>
          <w:szCs w:val="24"/>
        </w:rPr>
        <w:t>G</w:t>
      </w:r>
      <w:r w:rsidRPr="00D76399">
        <w:rPr>
          <w:rFonts w:ascii="Times New Roman" w:hAnsi="Times New Roman" w:cs="Times New Roman"/>
          <w:sz w:val="24"/>
          <w:szCs w:val="24"/>
        </w:rPr>
        <w:t>roups will be able to decide on priorities and spend state resources to promote them to a much greater extent than at present. Local state schools constituted as separate semi-autonomous agencies will vary in curriculum, staffing and de facto admission policies. Local government services, especially in social care will depend very much on variations in local resources.</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The combination of cut-back and restructuring will impact differently on better and worse-off, women</w:t>
      </w:r>
      <w:r w:rsidR="004152F7">
        <w:rPr>
          <w:rFonts w:ascii="Times New Roman" w:hAnsi="Times New Roman" w:cs="Times New Roman"/>
          <w:sz w:val="24"/>
          <w:szCs w:val="24"/>
        </w:rPr>
        <w:fldChar w:fldCharType="begin"/>
      </w:r>
      <w:r w:rsidR="004152F7">
        <w:instrText xml:space="preserve"> XE "</w:instrText>
      </w:r>
      <w:r w:rsidR="004152F7" w:rsidRPr="00570D20">
        <w:rPr>
          <w:rFonts w:ascii="Times New Roman" w:hAnsi="Times New Roman" w:cs="Times New Roman"/>
          <w:sz w:val="24"/>
          <w:szCs w:val="24"/>
        </w:rPr>
        <w:instrText>women</w:instrText>
      </w:r>
      <w:r w:rsidR="004152F7">
        <w:instrText xml:space="preserve">" </w:instrText>
      </w:r>
      <w:r w:rsidR="004152F7">
        <w:rPr>
          <w:rFonts w:ascii="Times New Roman" w:hAnsi="Times New Roman" w:cs="Times New Roman"/>
          <w:sz w:val="24"/>
          <w:szCs w:val="24"/>
        </w:rPr>
        <w:fldChar w:fldCharType="end"/>
      </w:r>
      <w:r w:rsidRPr="00D76399">
        <w:rPr>
          <w:rFonts w:ascii="Times New Roman" w:hAnsi="Times New Roman" w:cs="Times New Roman"/>
          <w:sz w:val="24"/>
          <w:szCs w:val="24"/>
        </w:rPr>
        <w:t xml:space="preserve"> and men and richer and poorer areas, deepening social divisions. Cash benefits</w:t>
      </w:r>
      <w:r w:rsidR="005E0406">
        <w:rPr>
          <w:rFonts w:ascii="Times New Roman" w:hAnsi="Times New Roman" w:cs="Times New Roman"/>
          <w:sz w:val="24"/>
          <w:szCs w:val="24"/>
        </w:rPr>
        <w:fldChar w:fldCharType="begin"/>
      </w:r>
      <w:r w:rsidR="000D1551">
        <w:instrText xml:space="preserve"> XE "</w:instrText>
      </w:r>
      <w:r w:rsidR="000D1551" w:rsidRPr="00832A0C">
        <w:rPr>
          <w:rFonts w:ascii="Times New Roman" w:hAnsi="Times New Roman" w:cs="Times New Roman"/>
          <w:sz w:val="24"/>
          <w:szCs w:val="24"/>
        </w:rPr>
        <w:instrText>cash benefits</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targeted on lower income people of working age have been cut most sharply while those directed to pensioners have been protected. Reforms to housing benefit will concentrate poorer households in the lowest rental areas of cities. The impact of changes in local government funding is roughly three </w:t>
      </w:r>
      <w:r w:rsidR="004B1BED" w:rsidRPr="00D76399">
        <w:rPr>
          <w:rFonts w:ascii="Times New Roman" w:hAnsi="Times New Roman" w:cs="Times New Roman"/>
          <w:sz w:val="24"/>
          <w:szCs w:val="24"/>
        </w:rPr>
        <w:t>times</w:t>
      </w:r>
      <w:r w:rsidRPr="00D76399">
        <w:rPr>
          <w:rFonts w:ascii="Times New Roman" w:hAnsi="Times New Roman" w:cs="Times New Roman"/>
          <w:sz w:val="24"/>
          <w:szCs w:val="24"/>
        </w:rPr>
        <w:t xml:space="preserve"> as se</w:t>
      </w:r>
      <w:r w:rsidR="00100AA8">
        <w:rPr>
          <w:rFonts w:ascii="Times New Roman" w:hAnsi="Times New Roman" w:cs="Times New Roman"/>
          <w:sz w:val="24"/>
          <w:szCs w:val="24"/>
        </w:rPr>
        <w:t>vere in the</w:t>
      </w:r>
      <w:r w:rsidR="00E83547">
        <w:rPr>
          <w:rFonts w:ascii="Times New Roman" w:hAnsi="Times New Roman" w:cs="Times New Roman"/>
          <w:sz w:val="24"/>
          <w:szCs w:val="24"/>
        </w:rPr>
        <w:t xml:space="preserve"> </w:t>
      </w:r>
      <w:r w:rsidR="00100AA8">
        <w:rPr>
          <w:rFonts w:ascii="Times New Roman" w:hAnsi="Times New Roman" w:cs="Times New Roman"/>
          <w:sz w:val="24"/>
          <w:szCs w:val="24"/>
        </w:rPr>
        <w:t>most deprived areas as in the least deprived</w:t>
      </w:r>
      <w:r w:rsidRPr="00D76399">
        <w:rPr>
          <w:rFonts w:ascii="Times New Roman" w:hAnsi="Times New Roman" w:cs="Times New Roman"/>
          <w:sz w:val="24"/>
          <w:szCs w:val="24"/>
        </w:rPr>
        <w:t xml:space="preserve">. Some specific grants, such as those for the </w:t>
      </w:r>
      <w:r w:rsidR="004B1BED" w:rsidRPr="00D76399">
        <w:rPr>
          <w:rFonts w:ascii="Times New Roman" w:hAnsi="Times New Roman" w:cs="Times New Roman"/>
          <w:sz w:val="24"/>
          <w:szCs w:val="24"/>
        </w:rPr>
        <w:t xml:space="preserve">educational maintenance allowance, </w:t>
      </w:r>
      <w:r w:rsidRPr="00D76399">
        <w:rPr>
          <w:rFonts w:ascii="Times New Roman" w:hAnsi="Times New Roman" w:cs="Times New Roman"/>
          <w:sz w:val="24"/>
          <w:szCs w:val="24"/>
        </w:rPr>
        <w:t>Sure Start</w:t>
      </w:r>
      <w:r w:rsidR="005E0406">
        <w:rPr>
          <w:rFonts w:ascii="Times New Roman" w:hAnsi="Times New Roman" w:cs="Times New Roman"/>
          <w:sz w:val="24"/>
          <w:szCs w:val="24"/>
        </w:rPr>
        <w:fldChar w:fldCharType="begin"/>
      </w:r>
      <w:r w:rsidR="000D1551">
        <w:instrText xml:space="preserve"> XE "</w:instrText>
      </w:r>
      <w:r w:rsidR="000D1551" w:rsidRPr="00DA2C1F">
        <w:rPr>
          <w:rFonts w:ascii="Times New Roman" w:hAnsi="Times New Roman" w:cs="Times New Roman"/>
          <w:sz w:val="24"/>
          <w:szCs w:val="24"/>
        </w:rPr>
        <w:instrText>Sure Start</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day nurseries, or </w:t>
      </w:r>
      <w:r w:rsidR="004B1BED" w:rsidRPr="00D76399">
        <w:rPr>
          <w:rFonts w:ascii="Times New Roman" w:hAnsi="Times New Roman" w:cs="Times New Roman"/>
          <w:sz w:val="24"/>
          <w:szCs w:val="24"/>
        </w:rPr>
        <w:t>community charge</w:t>
      </w:r>
      <w:r w:rsidR="005E0406">
        <w:rPr>
          <w:rFonts w:ascii="Times New Roman" w:hAnsi="Times New Roman" w:cs="Times New Roman"/>
          <w:sz w:val="24"/>
          <w:szCs w:val="24"/>
        </w:rPr>
        <w:fldChar w:fldCharType="begin"/>
      </w:r>
      <w:r w:rsidR="000D1551">
        <w:instrText xml:space="preserve"> XE "</w:instrText>
      </w:r>
      <w:r w:rsidR="000D1551" w:rsidRPr="0033530D">
        <w:rPr>
          <w:rFonts w:ascii="Times New Roman" w:hAnsi="Times New Roman" w:cs="Times New Roman"/>
          <w:sz w:val="24"/>
          <w:szCs w:val="24"/>
        </w:rPr>
        <w:instrText>community charge</w:instrText>
      </w:r>
      <w:r w:rsidR="000D1551">
        <w:instrText xml:space="preserve">" </w:instrText>
      </w:r>
      <w:r w:rsidR="005E0406">
        <w:rPr>
          <w:rFonts w:ascii="Times New Roman" w:hAnsi="Times New Roman" w:cs="Times New Roman"/>
          <w:sz w:val="24"/>
          <w:szCs w:val="24"/>
        </w:rPr>
        <w:fldChar w:fldCharType="end"/>
      </w:r>
      <w:r w:rsidR="004B1BED" w:rsidRPr="00D76399">
        <w:rPr>
          <w:rFonts w:ascii="Times New Roman" w:hAnsi="Times New Roman" w:cs="Times New Roman"/>
          <w:sz w:val="24"/>
          <w:szCs w:val="24"/>
        </w:rPr>
        <w:t xml:space="preserve"> benefit </w:t>
      </w:r>
      <w:r w:rsidRPr="00D76399">
        <w:rPr>
          <w:rFonts w:ascii="Times New Roman" w:hAnsi="Times New Roman" w:cs="Times New Roman"/>
          <w:sz w:val="24"/>
          <w:szCs w:val="24"/>
        </w:rPr>
        <w:t>for poorer payers, have been reduced and authorities given discretion to divert money elsewhere. Local government</w:t>
      </w:r>
      <w:r w:rsidR="005E0406">
        <w:rPr>
          <w:rFonts w:ascii="Times New Roman" w:hAnsi="Times New Roman" w:cs="Times New Roman"/>
          <w:sz w:val="24"/>
          <w:szCs w:val="24"/>
        </w:rPr>
        <w:fldChar w:fldCharType="begin"/>
      </w:r>
      <w:r w:rsidR="000D1551">
        <w:instrText xml:space="preserve"> XE "</w:instrText>
      </w:r>
      <w:r w:rsidR="000D1551" w:rsidRPr="008441F0">
        <w:rPr>
          <w:rFonts w:ascii="Times New Roman" w:hAnsi="Times New Roman" w:cs="Times New Roman"/>
          <w:sz w:val="24"/>
          <w:szCs w:val="24"/>
        </w:rPr>
        <w:instrText>local government</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is prevented by heavy financial penalties from making up the shortfall through higher community charges. </w:t>
      </w:r>
      <w:r w:rsidR="00880AC3" w:rsidRPr="00880AC3">
        <w:rPr>
          <w:rFonts w:ascii="Times New Roman" w:hAnsi="Times New Roman" w:cs="Times New Roman"/>
          <w:sz w:val="24"/>
          <w:szCs w:val="24"/>
        </w:rPr>
        <w:t>The fact that the cuts will hit families of working age and women in those areas</w:t>
      </w:r>
      <w:r w:rsidR="00880AC3">
        <w:rPr>
          <w:rFonts w:ascii="Times New Roman" w:hAnsi="Times New Roman" w:cs="Times New Roman"/>
          <w:sz w:val="24"/>
          <w:szCs w:val="24"/>
        </w:rPr>
        <w:t xml:space="preserve"> more severely</w:t>
      </w:r>
      <w:r w:rsidR="00880AC3" w:rsidRPr="00880AC3">
        <w:rPr>
          <w:rFonts w:ascii="Times New Roman" w:hAnsi="Times New Roman" w:cs="Times New Roman"/>
          <w:sz w:val="24"/>
          <w:szCs w:val="24"/>
        </w:rPr>
        <w:t xml:space="preserve"> has already been discussed.</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The decentralisation of provision and outsourcing of major parts of large national services such as the NHS and education will lead to greater spatial divisions as GP-led commissioners or consortia of schools pursue their own policies and make different arrangements with suppliers. One tendency is for the linkages within national services that spread good practice and improved national standards, for example, the cancer and heart disease networks in the NHS, to be weakened to enable separate contracting and promote local responsibility. In local government</w:t>
      </w:r>
      <w:r w:rsidR="00E83547">
        <w:rPr>
          <w:rFonts w:ascii="Times New Roman" w:hAnsi="Times New Roman" w:cs="Times New Roman"/>
          <w:sz w:val="24"/>
          <w:szCs w:val="24"/>
        </w:rPr>
        <w:t xml:space="preserve"> </w:t>
      </w:r>
      <w:r w:rsidRPr="00D76399">
        <w:rPr>
          <w:rFonts w:ascii="Times New Roman" w:hAnsi="Times New Roman" w:cs="Times New Roman"/>
          <w:sz w:val="24"/>
          <w:szCs w:val="24"/>
        </w:rPr>
        <w:t>the biggest cutbacks are in office services such as planning and development (43 per cent according to IFS</w:t>
      </w:r>
      <w:r w:rsidR="00D553FF">
        <w:rPr>
          <w:rFonts w:ascii="Times New Roman" w:hAnsi="Times New Roman" w:cs="Times New Roman"/>
          <w:sz w:val="24"/>
          <w:szCs w:val="24"/>
        </w:rPr>
        <w:fldChar w:fldCharType="begin"/>
      </w:r>
      <w:r w:rsidR="00D553FF">
        <w:instrText xml:space="preserve"> XE "</w:instrText>
      </w:r>
      <w:r w:rsidR="00D553FF" w:rsidRPr="00E74AB0">
        <w:rPr>
          <w:rFonts w:ascii="Times New Roman" w:hAnsi="Times New Roman" w:cs="Times New Roman"/>
          <w:sz w:val="24"/>
          <w:szCs w:val="24"/>
        </w:rPr>
        <w:instrText>IFS</w:instrText>
      </w:r>
      <w:r w:rsidR="00D553FF">
        <w:instrText xml:space="preserve">" </w:instrText>
      </w:r>
      <w:r w:rsidR="00D553FF">
        <w:rPr>
          <w:rFonts w:ascii="Times New Roman" w:hAnsi="Times New Roman" w:cs="Times New Roman"/>
          <w:sz w:val="24"/>
          <w:szCs w:val="24"/>
        </w:rPr>
        <w:fldChar w:fldCharType="end"/>
      </w:r>
      <w:r w:rsidRPr="00D76399">
        <w:rPr>
          <w:rFonts w:ascii="Times New Roman" w:hAnsi="Times New Roman" w:cs="Times New Roman"/>
          <w:sz w:val="24"/>
          <w:szCs w:val="24"/>
        </w:rPr>
        <w:t>), while social care</w:t>
      </w:r>
      <w:r w:rsidR="005E0406">
        <w:rPr>
          <w:rFonts w:ascii="Times New Roman" w:hAnsi="Times New Roman" w:cs="Times New Roman"/>
          <w:sz w:val="24"/>
          <w:szCs w:val="24"/>
        </w:rPr>
        <w:fldChar w:fldCharType="begin"/>
      </w:r>
      <w:r w:rsidR="000D1551">
        <w:instrText xml:space="preserve"> XE "</w:instrText>
      </w:r>
      <w:r w:rsidR="000D1551" w:rsidRPr="007315D9">
        <w:rPr>
          <w:rFonts w:ascii="Times New Roman" w:hAnsi="Times New Roman" w:cs="Times New Roman"/>
          <w:sz w:val="24"/>
          <w:szCs w:val="24"/>
        </w:rPr>
        <w:instrText>social care</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(the biggest area of council spending) has only suffered a four per cent cut nationally. Transport has been cut by about one fifth and social housing by three-quarters with big local variations (IFS 2012b, ch. 6).</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b/>
          <w:i/>
          <w:sz w:val="24"/>
          <w:szCs w:val="24"/>
        </w:rPr>
        <w:t xml:space="preserve">Mobilisation into paid work: </w:t>
      </w:r>
      <w:r w:rsidRPr="00D76399">
        <w:rPr>
          <w:rFonts w:ascii="Times New Roman" w:hAnsi="Times New Roman" w:cs="Times New Roman"/>
          <w:sz w:val="24"/>
          <w:szCs w:val="24"/>
        </w:rPr>
        <w:t xml:space="preserve">the reforms place great emphasis on programmes to move more claimers into paid work. The structural reforms of benefits, in particular the greater emphasis </w:t>
      </w:r>
      <w:r w:rsidRPr="00D76399">
        <w:rPr>
          <w:rFonts w:ascii="Times New Roman" w:hAnsi="Times New Roman" w:cs="Times New Roman"/>
          <w:sz w:val="24"/>
          <w:szCs w:val="24"/>
        </w:rPr>
        <w:lastRenderedPageBreak/>
        <w:t>within Universal Credit</w:t>
      </w:r>
      <w:r w:rsidR="005E0406">
        <w:rPr>
          <w:rFonts w:ascii="Times New Roman" w:hAnsi="Times New Roman" w:cs="Times New Roman"/>
          <w:sz w:val="24"/>
          <w:szCs w:val="24"/>
        </w:rPr>
        <w:fldChar w:fldCharType="begin"/>
      </w:r>
      <w:r w:rsidR="000D1551">
        <w:instrText xml:space="preserve"> XE "</w:instrText>
      </w:r>
      <w:r w:rsidR="000D1551" w:rsidRPr="00E91FA6">
        <w:rPr>
          <w:rFonts w:ascii="Times New Roman" w:hAnsi="Times New Roman" w:cs="Times New Roman"/>
          <w:sz w:val="24"/>
          <w:szCs w:val="24"/>
        </w:rPr>
        <w:instrText>Universal Credit</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on weakening the poverty trap, the redefinition of part-time work so that tax credit</w:t>
      </w:r>
      <w:r w:rsidR="00930687">
        <w:rPr>
          <w:rFonts w:ascii="Times New Roman" w:hAnsi="Times New Roman" w:cs="Times New Roman"/>
          <w:sz w:val="24"/>
          <w:szCs w:val="24"/>
        </w:rPr>
        <w:fldChar w:fldCharType="begin"/>
      </w:r>
      <w:r w:rsidR="00930687">
        <w:instrText xml:space="preserve"> XE "</w:instrText>
      </w:r>
      <w:r w:rsidR="00930687" w:rsidRPr="00A1449D">
        <w:rPr>
          <w:rFonts w:ascii="Times New Roman" w:hAnsi="Times New Roman" w:cs="Times New Roman"/>
          <w:sz w:val="24"/>
          <w:szCs w:val="24"/>
        </w:rPr>
        <w:instrText>tax credit</w:instrText>
      </w:r>
      <w:r w:rsidR="00930687">
        <w:instrText xml:space="preserve">" </w:instrText>
      </w:r>
      <w:r w:rsidR="00930687">
        <w:rPr>
          <w:rFonts w:ascii="Times New Roman" w:hAnsi="Times New Roman" w:cs="Times New Roman"/>
          <w:sz w:val="24"/>
          <w:szCs w:val="24"/>
        </w:rPr>
        <w:fldChar w:fldCharType="end"/>
      </w:r>
      <w:r w:rsidRPr="00D76399">
        <w:rPr>
          <w:rFonts w:ascii="Times New Roman" w:hAnsi="Times New Roman" w:cs="Times New Roman"/>
          <w:sz w:val="24"/>
          <w:szCs w:val="24"/>
        </w:rPr>
        <w:t xml:space="preserve">s are no longer available to those working between 16 and 24 hours a week, the </w:t>
      </w:r>
      <w:r w:rsidR="00BC6F7A">
        <w:rPr>
          <w:rFonts w:ascii="Times New Roman" w:hAnsi="Times New Roman" w:cs="Times New Roman"/>
          <w:sz w:val="24"/>
          <w:szCs w:val="24"/>
        </w:rPr>
        <w:t>determination to shift some two-fifths</w:t>
      </w:r>
      <w:r w:rsidRPr="00D76399">
        <w:rPr>
          <w:rFonts w:ascii="Times New Roman" w:hAnsi="Times New Roman" w:cs="Times New Roman"/>
          <w:sz w:val="24"/>
          <w:szCs w:val="24"/>
        </w:rPr>
        <w:t xml:space="preserve"> of </w:t>
      </w:r>
      <w:r w:rsidR="00BC6F7A">
        <w:rPr>
          <w:rFonts w:ascii="Times New Roman" w:hAnsi="Times New Roman" w:cs="Times New Roman"/>
          <w:sz w:val="24"/>
          <w:szCs w:val="24"/>
        </w:rPr>
        <w:t xml:space="preserve">those currently claiming </w:t>
      </w:r>
      <w:r w:rsidR="00BC6F7A" w:rsidRPr="00D76399">
        <w:rPr>
          <w:rFonts w:ascii="Times New Roman" w:hAnsi="Times New Roman" w:cs="Times New Roman"/>
          <w:sz w:val="24"/>
          <w:szCs w:val="24"/>
        </w:rPr>
        <w:t xml:space="preserve">disability benefits </w:t>
      </w:r>
      <w:r w:rsidRPr="00D76399">
        <w:rPr>
          <w:rFonts w:ascii="Times New Roman" w:hAnsi="Times New Roman" w:cs="Times New Roman"/>
          <w:sz w:val="24"/>
          <w:szCs w:val="24"/>
        </w:rPr>
        <w:t xml:space="preserve">into the labour market, the imperative in the ‘payment by results’ system for the Employment Service to get claimers into jobs and the restriction of support for lone parents to those whose youngest child is under five, all tighten the pressures on claimers. </w:t>
      </w:r>
      <w:r w:rsidR="007B6A85">
        <w:rPr>
          <w:rFonts w:ascii="Times New Roman" w:hAnsi="Times New Roman" w:cs="Times New Roman"/>
          <w:sz w:val="24"/>
          <w:szCs w:val="24"/>
        </w:rPr>
        <w:t>Th</w:t>
      </w:r>
      <w:r w:rsidRPr="00D76399">
        <w:rPr>
          <w:rFonts w:ascii="Times New Roman" w:hAnsi="Times New Roman" w:cs="Times New Roman"/>
          <w:sz w:val="24"/>
          <w:szCs w:val="24"/>
        </w:rPr>
        <w:t xml:space="preserve">e raising of the pension age to 67 for both </w:t>
      </w:r>
      <w:r w:rsidR="00907A08">
        <w:rPr>
          <w:rFonts w:ascii="Times New Roman" w:hAnsi="Times New Roman" w:cs="Times New Roman"/>
          <w:sz w:val="24"/>
          <w:szCs w:val="24"/>
        </w:rPr>
        <w:t>women and men by the late 2020s</w:t>
      </w:r>
      <w:r w:rsidRPr="00D76399">
        <w:rPr>
          <w:rFonts w:ascii="Times New Roman" w:hAnsi="Times New Roman" w:cs="Times New Roman"/>
          <w:sz w:val="24"/>
          <w:szCs w:val="24"/>
        </w:rPr>
        <w:t xml:space="preserve"> creates a new pool of potential workers.</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Lying behind this is an ideological valuing of ‘strivers’ (Osborne</w:t>
      </w:r>
      <w:r w:rsidR="005E0406">
        <w:rPr>
          <w:rFonts w:ascii="Times New Roman" w:hAnsi="Times New Roman" w:cs="Times New Roman"/>
          <w:sz w:val="24"/>
          <w:szCs w:val="24"/>
        </w:rPr>
        <w:fldChar w:fldCharType="begin"/>
      </w:r>
      <w:r w:rsidR="000D1551">
        <w:instrText xml:space="preserve"> XE "</w:instrText>
      </w:r>
      <w:r w:rsidR="000D1551" w:rsidRPr="00044B38">
        <w:rPr>
          <w:rFonts w:ascii="Times New Roman" w:hAnsi="Times New Roman" w:cs="Times New Roman"/>
          <w:sz w:val="24"/>
          <w:szCs w:val="24"/>
        </w:rPr>
        <w:instrText>Osborne</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2012) and ‘hard-working families’ against the feckless and undeserving poor, presumed to enjoy idleness on benefits</w:t>
      </w:r>
      <w:r w:rsidR="00EB3B45">
        <w:rPr>
          <w:rFonts w:ascii="Times New Roman" w:hAnsi="Times New Roman" w:cs="Times New Roman"/>
          <w:sz w:val="24"/>
          <w:szCs w:val="24"/>
        </w:rPr>
        <w:t>.</w:t>
      </w:r>
      <w:r w:rsidRPr="00D76399">
        <w:rPr>
          <w:rFonts w:ascii="Times New Roman" w:hAnsi="Times New Roman" w:cs="Times New Roman"/>
          <w:sz w:val="24"/>
          <w:szCs w:val="24"/>
        </w:rPr>
        <w:t xml:space="preserve"> </w:t>
      </w:r>
      <w:r w:rsidR="00EB3B45">
        <w:rPr>
          <w:rFonts w:ascii="Times New Roman" w:hAnsi="Times New Roman" w:cs="Times New Roman"/>
          <w:sz w:val="24"/>
          <w:szCs w:val="24"/>
        </w:rPr>
        <w:t>This ignores</w:t>
      </w:r>
      <w:r w:rsidRPr="00D76399">
        <w:rPr>
          <w:rFonts w:ascii="Times New Roman" w:hAnsi="Times New Roman" w:cs="Times New Roman"/>
          <w:sz w:val="24"/>
          <w:szCs w:val="24"/>
        </w:rPr>
        <w:t xml:space="preserve"> the fact that most </w:t>
      </w:r>
      <w:r w:rsidR="00FA6159">
        <w:rPr>
          <w:rFonts w:ascii="Times New Roman" w:hAnsi="Times New Roman" w:cs="Times New Roman"/>
          <w:sz w:val="24"/>
          <w:szCs w:val="24"/>
        </w:rPr>
        <w:t>poor people</w:t>
      </w:r>
      <w:r w:rsidRPr="00D76399">
        <w:rPr>
          <w:rFonts w:ascii="Times New Roman" w:hAnsi="Times New Roman" w:cs="Times New Roman"/>
          <w:sz w:val="24"/>
          <w:szCs w:val="24"/>
        </w:rPr>
        <w:t xml:space="preserve"> earn their poverty. </w:t>
      </w:r>
      <w:r w:rsidR="00FA6159">
        <w:rPr>
          <w:rFonts w:ascii="Times New Roman" w:hAnsi="Times New Roman" w:cs="Times New Roman"/>
          <w:sz w:val="24"/>
          <w:szCs w:val="24"/>
        </w:rPr>
        <w:t>Fifty-nine</w:t>
      </w:r>
      <w:r w:rsidRPr="00D76399">
        <w:rPr>
          <w:rFonts w:ascii="Times New Roman" w:hAnsi="Times New Roman" w:cs="Times New Roman"/>
          <w:sz w:val="24"/>
          <w:szCs w:val="24"/>
        </w:rPr>
        <w:t xml:space="preserve"> per cent of working-age </w:t>
      </w:r>
      <w:r w:rsidR="00FA6159">
        <w:rPr>
          <w:rFonts w:ascii="Times New Roman" w:hAnsi="Times New Roman" w:cs="Times New Roman"/>
          <w:sz w:val="24"/>
          <w:szCs w:val="24"/>
        </w:rPr>
        <w:t>households in poverty</w:t>
      </w:r>
      <w:r w:rsidR="005E0406">
        <w:rPr>
          <w:rFonts w:ascii="Times New Roman" w:hAnsi="Times New Roman" w:cs="Times New Roman"/>
          <w:sz w:val="24"/>
          <w:szCs w:val="24"/>
        </w:rPr>
        <w:fldChar w:fldCharType="begin"/>
      </w:r>
      <w:r w:rsidR="000D1551">
        <w:instrText xml:space="preserve"> XE "</w:instrText>
      </w:r>
      <w:r w:rsidR="000D1551" w:rsidRPr="008379B9">
        <w:rPr>
          <w:rFonts w:ascii="Times New Roman" w:hAnsi="Times New Roman" w:cs="Times New Roman"/>
          <w:sz w:val="24"/>
          <w:szCs w:val="24"/>
        </w:rPr>
        <w:instrText>poverty</w:instrText>
      </w:r>
      <w:r w:rsidR="000D1551">
        <w:instrText xml:space="preserve">" </w:instrText>
      </w:r>
      <w:r w:rsidR="005E0406">
        <w:rPr>
          <w:rFonts w:ascii="Times New Roman" w:hAnsi="Times New Roman" w:cs="Times New Roman"/>
          <w:sz w:val="24"/>
          <w:szCs w:val="24"/>
        </w:rPr>
        <w:fldChar w:fldCharType="end"/>
      </w:r>
      <w:r w:rsidR="00FA6159">
        <w:rPr>
          <w:rFonts w:ascii="Times New Roman" w:hAnsi="Times New Roman" w:cs="Times New Roman"/>
          <w:sz w:val="24"/>
          <w:szCs w:val="24"/>
        </w:rPr>
        <w:t xml:space="preserve"> after housing costs have at least one adult in full-time work</w:t>
      </w:r>
      <w:r w:rsidR="00EB3B45">
        <w:rPr>
          <w:rFonts w:ascii="Times New Roman" w:hAnsi="Times New Roman" w:cs="Times New Roman"/>
          <w:sz w:val="24"/>
          <w:szCs w:val="24"/>
        </w:rPr>
        <w:t xml:space="preserve"> (</w:t>
      </w:r>
      <w:r w:rsidRPr="00D76399">
        <w:rPr>
          <w:rFonts w:ascii="Times New Roman" w:hAnsi="Times New Roman" w:cs="Times New Roman"/>
          <w:sz w:val="24"/>
          <w:szCs w:val="24"/>
        </w:rPr>
        <w:t>DWP</w:t>
      </w:r>
      <w:r w:rsidR="007F76FC">
        <w:rPr>
          <w:rFonts w:ascii="Times New Roman" w:hAnsi="Times New Roman" w:cs="Times New Roman"/>
          <w:sz w:val="24"/>
          <w:szCs w:val="24"/>
        </w:rPr>
        <w:fldChar w:fldCharType="begin"/>
      </w:r>
      <w:r w:rsidR="007F76FC">
        <w:instrText xml:space="preserve"> XE "</w:instrText>
      </w:r>
      <w:r w:rsidR="007F76FC" w:rsidRPr="00727AF7">
        <w:rPr>
          <w:rFonts w:ascii="Times New Roman" w:hAnsi="Times New Roman" w:cs="Times New Roman"/>
          <w:sz w:val="24"/>
          <w:szCs w:val="24"/>
        </w:rPr>
        <w:instrText>DWP</w:instrText>
      </w:r>
      <w:r w:rsidR="007F76FC">
        <w:instrText xml:space="preserve">" </w:instrText>
      </w:r>
      <w:r w:rsidR="007F76FC">
        <w:rPr>
          <w:rFonts w:ascii="Times New Roman" w:hAnsi="Times New Roman" w:cs="Times New Roman"/>
          <w:sz w:val="24"/>
          <w:szCs w:val="24"/>
        </w:rPr>
        <w:fldChar w:fldCharType="end"/>
      </w:r>
      <w:r w:rsidRPr="00D76399">
        <w:rPr>
          <w:rFonts w:ascii="Times New Roman" w:hAnsi="Times New Roman" w:cs="Times New Roman"/>
          <w:sz w:val="24"/>
          <w:szCs w:val="24"/>
        </w:rPr>
        <w:t xml:space="preserve"> 2012c, Table </w:t>
      </w:r>
      <w:r w:rsidR="00FA6159">
        <w:rPr>
          <w:rFonts w:ascii="Times New Roman" w:hAnsi="Times New Roman" w:cs="Times New Roman"/>
          <w:sz w:val="24"/>
          <w:szCs w:val="24"/>
        </w:rPr>
        <w:t>5.4db</w:t>
      </w:r>
      <w:r w:rsidRPr="00D76399">
        <w:rPr>
          <w:rFonts w:ascii="Times New Roman" w:hAnsi="Times New Roman" w:cs="Times New Roman"/>
          <w:sz w:val="24"/>
          <w:szCs w:val="24"/>
        </w:rPr>
        <w:t xml:space="preserve">). The welfare state </w:t>
      </w:r>
      <w:r w:rsidR="00880AC3">
        <w:rPr>
          <w:rFonts w:ascii="Times New Roman" w:hAnsi="Times New Roman" w:cs="Times New Roman"/>
          <w:sz w:val="24"/>
          <w:szCs w:val="24"/>
        </w:rPr>
        <w:t xml:space="preserve">for those of </w:t>
      </w:r>
      <w:r w:rsidR="00880AC3" w:rsidRPr="00D76399">
        <w:rPr>
          <w:rFonts w:ascii="Times New Roman" w:hAnsi="Times New Roman" w:cs="Times New Roman"/>
          <w:sz w:val="24"/>
          <w:szCs w:val="24"/>
        </w:rPr>
        <w:t xml:space="preserve">working age </w:t>
      </w:r>
      <w:r w:rsidRPr="00D76399">
        <w:rPr>
          <w:rFonts w:ascii="Times New Roman" w:hAnsi="Times New Roman" w:cs="Times New Roman"/>
          <w:sz w:val="24"/>
          <w:szCs w:val="24"/>
        </w:rPr>
        <w:t xml:space="preserve">is becoming </w:t>
      </w:r>
      <w:r w:rsidR="00100AA8">
        <w:rPr>
          <w:rFonts w:ascii="Times New Roman" w:hAnsi="Times New Roman" w:cs="Times New Roman"/>
          <w:sz w:val="24"/>
          <w:szCs w:val="24"/>
        </w:rPr>
        <w:t xml:space="preserve">even </w:t>
      </w:r>
      <w:r w:rsidRPr="00D76399">
        <w:rPr>
          <w:rFonts w:ascii="Times New Roman" w:hAnsi="Times New Roman" w:cs="Times New Roman"/>
          <w:sz w:val="24"/>
          <w:szCs w:val="24"/>
        </w:rPr>
        <w:t>more work-centred</w:t>
      </w:r>
      <w:r w:rsidR="005E0406">
        <w:rPr>
          <w:rFonts w:ascii="Times New Roman" w:hAnsi="Times New Roman" w:cs="Times New Roman"/>
          <w:sz w:val="24"/>
          <w:szCs w:val="24"/>
        </w:rPr>
        <w:fldChar w:fldCharType="begin"/>
      </w:r>
      <w:r w:rsidR="000D1551">
        <w:instrText xml:space="preserve"> XE "</w:instrText>
      </w:r>
      <w:r w:rsidR="000D1551" w:rsidRPr="00F07784">
        <w:rPr>
          <w:rFonts w:ascii="Times New Roman" w:hAnsi="Times New Roman" w:cs="Times New Roman"/>
          <w:sz w:val="24"/>
          <w:szCs w:val="24"/>
        </w:rPr>
        <w:instrText>welfare state:</w:instrText>
      </w:r>
      <w:r w:rsidR="000D1551" w:rsidRPr="00F07784">
        <w:instrText>work-centred</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This draws a sharp distinction between those within and outside the realm of employment and maps it onto a corresponding division between deserving and undeserving</w:t>
      </w:r>
      <w:r w:rsidR="005E0406">
        <w:rPr>
          <w:rFonts w:ascii="Times New Roman" w:hAnsi="Times New Roman" w:cs="Times New Roman"/>
          <w:sz w:val="24"/>
          <w:szCs w:val="24"/>
        </w:rPr>
        <w:fldChar w:fldCharType="begin"/>
      </w:r>
      <w:r w:rsidR="000D1551">
        <w:instrText xml:space="preserve"> XE "</w:instrText>
      </w:r>
      <w:r w:rsidR="000D1551" w:rsidRPr="00900221">
        <w:rPr>
          <w:rFonts w:ascii="Times New Roman" w:hAnsi="Times New Roman" w:cs="Times New Roman"/>
          <w:sz w:val="24"/>
          <w:szCs w:val="24"/>
        </w:rPr>
        <w:instrText>stigma</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poor.</w:t>
      </w:r>
    </w:p>
    <w:p w:rsidR="00703A96" w:rsidRPr="00D76399" w:rsidRDefault="00703A96" w:rsidP="00F34DAD">
      <w:pPr>
        <w:jc w:val="left"/>
        <w:rPr>
          <w:rFonts w:ascii="Times New Roman" w:hAnsi="Times New Roman" w:cs="Times New Roman"/>
          <w:sz w:val="24"/>
          <w:szCs w:val="24"/>
        </w:rPr>
      </w:pPr>
    </w:p>
    <w:p w:rsidR="00703A96" w:rsidRPr="00D76399" w:rsidRDefault="005E0406" w:rsidP="00F34DAD">
      <w:pPr>
        <w:jc w:val="left"/>
        <w:rPr>
          <w:rFonts w:ascii="Times New Roman" w:hAnsi="Times New Roman" w:cs="Times New Roman"/>
          <w:b/>
          <w:sz w:val="24"/>
          <w:szCs w:val="24"/>
        </w:rPr>
      </w:pPr>
      <w:r>
        <w:rPr>
          <w:rFonts w:ascii="Times New Roman" w:hAnsi="Times New Roman" w:cs="Times New Roman"/>
          <w:b/>
          <w:sz w:val="24"/>
          <w:szCs w:val="24"/>
        </w:rPr>
        <w:fldChar w:fldCharType="begin"/>
      </w:r>
      <w:r w:rsidR="00DB0E80">
        <w:instrText xml:space="preserve"> XE "</w:instrText>
      </w:r>
      <w:r w:rsidR="00DB0E80" w:rsidRPr="00B258A5">
        <w:instrText>long-term crisis</w:instrText>
      </w:r>
      <w:r w:rsidR="00DB0E80">
        <w:instrText xml:space="preserve">" </w:instrText>
      </w:r>
      <w:r>
        <w:rPr>
          <w:rFonts w:ascii="Times New Roman" w:hAnsi="Times New Roman" w:cs="Times New Roman"/>
          <w:b/>
          <w:sz w:val="24"/>
          <w:szCs w:val="24"/>
        </w:rPr>
        <w:fldChar w:fldCharType="end"/>
      </w:r>
      <w:r w:rsidR="00703A96" w:rsidRPr="00D76399">
        <w:rPr>
          <w:rFonts w:ascii="Times New Roman" w:hAnsi="Times New Roman" w:cs="Times New Roman"/>
          <w:b/>
          <w:sz w:val="24"/>
          <w:szCs w:val="24"/>
        </w:rPr>
        <w:t>The long-run crisis</w:t>
      </w:r>
    </w:p>
    <w:p w:rsidR="00703A96" w:rsidRPr="00D76399" w:rsidRDefault="00703A96" w:rsidP="00F34DAD">
      <w:pPr>
        <w:jc w:val="left"/>
        <w:rPr>
          <w:rFonts w:ascii="Times New Roman" w:hAnsi="Times New Roman" w:cs="Times New Roman"/>
          <w:b/>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The headlong cuts and root and branch restructuring of the welfare state are the government’s response to the immediate crisis</w:t>
      </w:r>
      <w:r w:rsidR="00AA31C0">
        <w:rPr>
          <w:rFonts w:ascii="Times New Roman" w:hAnsi="Times New Roman" w:cs="Times New Roman"/>
          <w:sz w:val="24"/>
          <w:szCs w:val="24"/>
        </w:rPr>
        <w:fldChar w:fldCharType="begin"/>
      </w:r>
      <w:r w:rsidR="00AA31C0">
        <w:instrText xml:space="preserve"> XE "</w:instrText>
      </w:r>
      <w:r w:rsidR="00AA31C0" w:rsidRPr="00BA4C26">
        <w:rPr>
          <w:rFonts w:ascii="Times New Roman" w:hAnsi="Times New Roman" w:cs="Times New Roman"/>
          <w:sz w:val="24"/>
          <w:szCs w:val="24"/>
        </w:rPr>
        <w:instrText>short-term crisis</w:instrText>
      </w:r>
      <w:r w:rsidR="00AA31C0">
        <w:instrText xml:space="preserve">" </w:instrText>
      </w:r>
      <w:r w:rsidR="00AA31C0">
        <w:rPr>
          <w:rFonts w:ascii="Times New Roman" w:hAnsi="Times New Roman" w:cs="Times New Roman"/>
          <w:sz w:val="24"/>
          <w:szCs w:val="24"/>
        </w:rPr>
        <w:fldChar w:fldCharType="end"/>
      </w:r>
      <w:r w:rsidRPr="00D76399">
        <w:rPr>
          <w:rFonts w:ascii="Times New Roman" w:hAnsi="Times New Roman" w:cs="Times New Roman"/>
          <w:sz w:val="24"/>
          <w:szCs w:val="24"/>
        </w:rPr>
        <w:t xml:space="preserve"> of public spending</w:t>
      </w:r>
      <w:r w:rsidR="005B2DCA">
        <w:rPr>
          <w:rFonts w:ascii="Times New Roman" w:hAnsi="Times New Roman" w:cs="Times New Roman"/>
          <w:sz w:val="24"/>
          <w:szCs w:val="24"/>
        </w:rPr>
        <w:fldChar w:fldCharType="begin"/>
      </w:r>
      <w:r w:rsidR="005B2DCA">
        <w:instrText xml:space="preserve"> XE "</w:instrText>
      </w:r>
      <w:r w:rsidR="005B2DCA" w:rsidRPr="00B76A30">
        <w:rPr>
          <w:rFonts w:ascii="Times New Roman" w:hAnsi="Times New Roman" w:cs="Times New Roman"/>
          <w:sz w:val="24"/>
          <w:szCs w:val="24"/>
        </w:rPr>
        <w:instrText>public spending</w:instrText>
      </w:r>
      <w:r w:rsidR="005B2DCA">
        <w:instrText xml:space="preserve">" </w:instrText>
      </w:r>
      <w:r w:rsidR="005B2DCA">
        <w:rPr>
          <w:rFonts w:ascii="Times New Roman" w:hAnsi="Times New Roman" w:cs="Times New Roman"/>
          <w:sz w:val="24"/>
          <w:szCs w:val="24"/>
        </w:rPr>
        <w:fldChar w:fldCharType="end"/>
      </w:r>
      <w:r w:rsidRPr="00D76399">
        <w:rPr>
          <w:rFonts w:ascii="Times New Roman" w:hAnsi="Times New Roman" w:cs="Times New Roman"/>
          <w:sz w:val="24"/>
          <w:szCs w:val="24"/>
        </w:rPr>
        <w:t xml:space="preserve">. This approach is an extreme outlier in the international context, driven by commitment to a </w:t>
      </w:r>
      <w:r w:rsidR="0044240D">
        <w:rPr>
          <w:rFonts w:ascii="Times New Roman" w:hAnsi="Times New Roman" w:cs="Times New Roman"/>
          <w:sz w:val="24"/>
          <w:szCs w:val="24"/>
        </w:rPr>
        <w:t xml:space="preserve">radical </w:t>
      </w:r>
      <w:r w:rsidRPr="00D76399">
        <w:rPr>
          <w:rFonts w:ascii="Times New Roman" w:hAnsi="Times New Roman" w:cs="Times New Roman"/>
          <w:sz w:val="24"/>
          <w:szCs w:val="24"/>
        </w:rPr>
        <w:t>liberal</w:t>
      </w:r>
      <w:r w:rsidR="005E0406">
        <w:rPr>
          <w:rFonts w:ascii="Times New Roman" w:hAnsi="Times New Roman" w:cs="Times New Roman"/>
          <w:sz w:val="24"/>
          <w:szCs w:val="24"/>
        </w:rPr>
        <w:fldChar w:fldCharType="begin"/>
      </w:r>
      <w:r w:rsidR="000D1551">
        <w:instrText xml:space="preserve"> XE "</w:instrText>
      </w:r>
      <w:r w:rsidR="000D1551" w:rsidRPr="00D32774">
        <w:rPr>
          <w:rFonts w:ascii="Times New Roman" w:hAnsi="Times New Roman" w:cs="Times New Roman"/>
          <w:sz w:val="24"/>
          <w:szCs w:val="24"/>
        </w:rPr>
        <w:instrText>liberal</w:instrText>
      </w:r>
      <w:r w:rsidR="002A7776">
        <w:rPr>
          <w:rFonts w:ascii="Times New Roman" w:hAnsi="Times New Roman" w:cs="Times New Roman"/>
          <w:sz w:val="24"/>
          <w:szCs w:val="24"/>
        </w:rPr>
        <w:instrText>ism</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political economy. The current crisis is set in the context of longer-run pressures which escalate costs in the higher-spending areas of social provision and call the future stability of the state welfare system into question. The main pressures are:</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pStyle w:val="ListParagraph"/>
        <w:numPr>
          <w:ilvl w:val="0"/>
          <w:numId w:val="10"/>
        </w:numPr>
        <w:spacing w:after="0"/>
        <w:rPr>
          <w:rFonts w:ascii="Times New Roman" w:hAnsi="Times New Roman" w:cs="Times New Roman"/>
          <w:sz w:val="24"/>
          <w:szCs w:val="24"/>
        </w:rPr>
      </w:pPr>
      <w:r w:rsidRPr="00D76399">
        <w:rPr>
          <w:rFonts w:ascii="Times New Roman" w:hAnsi="Times New Roman" w:cs="Times New Roman"/>
          <w:sz w:val="24"/>
          <w:szCs w:val="24"/>
        </w:rPr>
        <w:t>Population ageing</w:t>
      </w:r>
      <w:r w:rsidR="005E0406">
        <w:rPr>
          <w:rFonts w:ascii="Times New Roman" w:hAnsi="Times New Roman" w:cs="Times New Roman"/>
          <w:sz w:val="24"/>
          <w:szCs w:val="24"/>
        </w:rPr>
        <w:fldChar w:fldCharType="begin"/>
      </w:r>
      <w:r w:rsidR="000D1551">
        <w:instrText xml:space="preserve"> XE "</w:instrText>
      </w:r>
      <w:r w:rsidR="000D1551" w:rsidRPr="001303C2">
        <w:rPr>
          <w:rFonts w:ascii="Times New Roman" w:hAnsi="Times New Roman" w:cs="Times New Roman"/>
          <w:sz w:val="24"/>
          <w:szCs w:val="24"/>
        </w:rPr>
        <w:instrText>population ageing</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with increases in the numbers claiming pensions and using health services and social care, which will far outweigh a projected decline in numbers in education;</w:t>
      </w:r>
    </w:p>
    <w:p w:rsidR="00703A96" w:rsidRPr="00D76399" w:rsidRDefault="00703A96" w:rsidP="00F34DAD">
      <w:pPr>
        <w:pStyle w:val="ListParagraph"/>
        <w:spacing w:after="0"/>
        <w:rPr>
          <w:rFonts w:ascii="Times New Roman" w:hAnsi="Times New Roman" w:cs="Times New Roman"/>
          <w:sz w:val="24"/>
          <w:szCs w:val="24"/>
        </w:rPr>
      </w:pPr>
    </w:p>
    <w:p w:rsidR="00703A96" w:rsidRPr="00D76399" w:rsidRDefault="00703A96" w:rsidP="00F34DAD">
      <w:pPr>
        <w:pStyle w:val="ListParagraph"/>
        <w:numPr>
          <w:ilvl w:val="0"/>
          <w:numId w:val="10"/>
        </w:numPr>
        <w:spacing w:after="0"/>
        <w:rPr>
          <w:rFonts w:ascii="Times New Roman" w:hAnsi="Times New Roman" w:cs="Times New Roman"/>
          <w:sz w:val="24"/>
          <w:szCs w:val="24"/>
        </w:rPr>
      </w:pPr>
      <w:r w:rsidRPr="00D76399">
        <w:rPr>
          <w:rFonts w:ascii="Times New Roman" w:hAnsi="Times New Roman" w:cs="Times New Roman"/>
          <w:sz w:val="24"/>
          <w:szCs w:val="24"/>
        </w:rPr>
        <w:t>Continuing pressures for wage</w:t>
      </w:r>
      <w:r w:rsidR="005E0406">
        <w:rPr>
          <w:rFonts w:ascii="Times New Roman" w:hAnsi="Times New Roman" w:cs="Times New Roman"/>
          <w:sz w:val="24"/>
          <w:szCs w:val="24"/>
        </w:rPr>
        <w:fldChar w:fldCharType="begin"/>
      </w:r>
      <w:r w:rsidR="000D1551">
        <w:instrText xml:space="preserve"> XE "</w:instrText>
      </w:r>
      <w:r w:rsidR="000D1551" w:rsidRPr="003F27B5">
        <w:rPr>
          <w:rFonts w:ascii="Times New Roman" w:hAnsi="Times New Roman" w:cs="Times New Roman"/>
          <w:sz w:val="24"/>
          <w:szCs w:val="24"/>
        </w:rPr>
        <w:instrText>wage pressure</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rises in these services to match those in the rest of the economy</w:t>
      </w:r>
      <w:r w:rsidR="0044240D">
        <w:rPr>
          <w:rFonts w:ascii="Times New Roman" w:hAnsi="Times New Roman" w:cs="Times New Roman"/>
          <w:sz w:val="24"/>
          <w:szCs w:val="24"/>
        </w:rPr>
        <w:t xml:space="preserve"> although productivity does not rise at the same rate</w:t>
      </w:r>
      <w:r w:rsidRPr="00D76399">
        <w:rPr>
          <w:rFonts w:ascii="Times New Roman" w:hAnsi="Times New Roman" w:cs="Times New Roman"/>
          <w:sz w:val="24"/>
          <w:szCs w:val="24"/>
        </w:rPr>
        <w:t>; and</w:t>
      </w:r>
    </w:p>
    <w:p w:rsidR="00703A96" w:rsidRPr="00D76399" w:rsidRDefault="00703A96" w:rsidP="00F34DAD">
      <w:pPr>
        <w:pStyle w:val="ListParagraph"/>
        <w:spacing w:after="0"/>
        <w:rPr>
          <w:rFonts w:ascii="Times New Roman" w:hAnsi="Times New Roman" w:cs="Times New Roman"/>
          <w:sz w:val="24"/>
          <w:szCs w:val="24"/>
        </w:rPr>
      </w:pPr>
    </w:p>
    <w:p w:rsidR="00703A96" w:rsidRPr="00D76399" w:rsidRDefault="00703A96" w:rsidP="00F34DAD">
      <w:pPr>
        <w:pStyle w:val="ListParagraph"/>
        <w:numPr>
          <w:ilvl w:val="0"/>
          <w:numId w:val="10"/>
        </w:numPr>
        <w:spacing w:after="0"/>
        <w:rPr>
          <w:rFonts w:ascii="Times New Roman" w:hAnsi="Times New Roman" w:cs="Times New Roman"/>
          <w:sz w:val="24"/>
          <w:szCs w:val="24"/>
        </w:rPr>
      </w:pPr>
      <w:r w:rsidRPr="00D76399">
        <w:rPr>
          <w:rFonts w:ascii="Times New Roman" w:hAnsi="Times New Roman" w:cs="Times New Roman"/>
          <w:sz w:val="24"/>
          <w:szCs w:val="24"/>
        </w:rPr>
        <w:t>Social factors such as shifts in</w:t>
      </w:r>
      <w:r w:rsidR="0044240D">
        <w:rPr>
          <w:rFonts w:ascii="Times New Roman" w:hAnsi="Times New Roman" w:cs="Times New Roman"/>
          <w:sz w:val="24"/>
          <w:szCs w:val="24"/>
        </w:rPr>
        <w:t xml:space="preserve"> expectations</w:t>
      </w:r>
      <w:r w:rsidR="005E0406">
        <w:rPr>
          <w:rFonts w:ascii="Times New Roman" w:hAnsi="Times New Roman" w:cs="Times New Roman"/>
          <w:sz w:val="24"/>
          <w:szCs w:val="24"/>
        </w:rPr>
        <w:fldChar w:fldCharType="begin"/>
      </w:r>
      <w:r w:rsidR="000D1551">
        <w:instrText xml:space="preserve"> XE "</w:instrText>
      </w:r>
      <w:r w:rsidR="000D1551" w:rsidRPr="005E06D4">
        <w:rPr>
          <w:rFonts w:ascii="Times New Roman" w:hAnsi="Times New Roman" w:cs="Times New Roman"/>
          <w:sz w:val="24"/>
          <w:szCs w:val="24"/>
        </w:rPr>
        <w:instrText>expectations</w:instrText>
      </w:r>
      <w:r w:rsidR="000D1551">
        <w:instrText xml:space="preserve">" </w:instrText>
      </w:r>
      <w:r w:rsidR="005E0406">
        <w:rPr>
          <w:rFonts w:ascii="Times New Roman" w:hAnsi="Times New Roman" w:cs="Times New Roman"/>
          <w:sz w:val="24"/>
          <w:szCs w:val="24"/>
        </w:rPr>
        <w:fldChar w:fldCharType="end"/>
      </w:r>
      <w:r w:rsidR="0044240D">
        <w:rPr>
          <w:rFonts w:ascii="Times New Roman" w:hAnsi="Times New Roman" w:cs="Times New Roman"/>
          <w:sz w:val="24"/>
          <w:szCs w:val="24"/>
        </w:rPr>
        <w:t xml:space="preserve"> about service standards and</w:t>
      </w:r>
      <w:r w:rsidRPr="00D76399">
        <w:rPr>
          <w:rFonts w:ascii="Times New Roman" w:hAnsi="Times New Roman" w:cs="Times New Roman"/>
          <w:sz w:val="24"/>
          <w:szCs w:val="24"/>
        </w:rPr>
        <w:t xml:space="preserve"> changes in family support which are substantial but often hard to quantify.</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We will examine the three areas: population ageing, the impact of sluggish productivity in welfare services on costs and the social context.</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b/>
          <w:i/>
          <w:sz w:val="24"/>
          <w:szCs w:val="24"/>
        </w:rPr>
        <w:t>Population age</w:t>
      </w:r>
      <w:r w:rsidR="00014C9C">
        <w:rPr>
          <w:rFonts w:ascii="Times New Roman" w:hAnsi="Times New Roman" w:cs="Times New Roman"/>
          <w:b/>
          <w:i/>
          <w:sz w:val="24"/>
          <w:szCs w:val="24"/>
        </w:rPr>
        <w:t>ing and rising demand for health</w:t>
      </w:r>
      <w:r w:rsidR="002A7776">
        <w:rPr>
          <w:rFonts w:ascii="Times New Roman" w:hAnsi="Times New Roman" w:cs="Times New Roman"/>
          <w:b/>
          <w:i/>
          <w:sz w:val="24"/>
          <w:szCs w:val="24"/>
        </w:rPr>
        <w:fldChar w:fldCharType="begin"/>
      </w:r>
      <w:r w:rsidR="002A7776">
        <w:instrText xml:space="preserve"> XE "</w:instrText>
      </w:r>
      <w:r w:rsidR="002A7776" w:rsidRPr="00DB61B0">
        <w:rPr>
          <w:rFonts w:ascii="Times New Roman" w:hAnsi="Times New Roman" w:cs="Times New Roman"/>
          <w:sz w:val="24"/>
          <w:szCs w:val="24"/>
        </w:rPr>
        <w:instrText>health</w:instrText>
      </w:r>
      <w:r w:rsidR="002A7776">
        <w:instrText xml:space="preserve">" </w:instrText>
      </w:r>
      <w:r w:rsidR="002A7776">
        <w:rPr>
          <w:rFonts w:ascii="Times New Roman" w:hAnsi="Times New Roman" w:cs="Times New Roman"/>
          <w:b/>
          <w:i/>
          <w:sz w:val="24"/>
          <w:szCs w:val="24"/>
        </w:rPr>
        <w:fldChar w:fldCharType="end"/>
      </w:r>
      <w:r w:rsidR="00014C9C">
        <w:rPr>
          <w:rFonts w:ascii="Times New Roman" w:hAnsi="Times New Roman" w:cs="Times New Roman"/>
          <w:b/>
          <w:i/>
          <w:sz w:val="24"/>
          <w:szCs w:val="24"/>
        </w:rPr>
        <w:t>,</w:t>
      </w:r>
      <w:r w:rsidRPr="00D76399">
        <w:rPr>
          <w:rFonts w:ascii="Times New Roman" w:hAnsi="Times New Roman" w:cs="Times New Roman"/>
          <w:b/>
          <w:i/>
          <w:sz w:val="24"/>
          <w:szCs w:val="24"/>
        </w:rPr>
        <w:t xml:space="preserve"> social care and pensions</w:t>
      </w:r>
      <w:r w:rsidR="002A7776">
        <w:rPr>
          <w:rFonts w:ascii="Times New Roman" w:hAnsi="Times New Roman" w:cs="Times New Roman"/>
          <w:b/>
          <w:i/>
          <w:sz w:val="24"/>
          <w:szCs w:val="24"/>
        </w:rPr>
        <w:fldChar w:fldCharType="begin"/>
      </w:r>
      <w:r w:rsidR="002A7776">
        <w:instrText xml:space="preserve"> XE "</w:instrText>
      </w:r>
      <w:r w:rsidR="002A7776" w:rsidRPr="00797F9C">
        <w:rPr>
          <w:rFonts w:ascii="Times New Roman" w:hAnsi="Times New Roman" w:cs="Times New Roman"/>
          <w:sz w:val="24"/>
          <w:szCs w:val="24"/>
        </w:rPr>
        <w:instrText>pension</w:instrText>
      </w:r>
      <w:r w:rsidR="002A7776">
        <w:instrText xml:space="preserve">" </w:instrText>
      </w:r>
      <w:r w:rsidR="002A7776">
        <w:rPr>
          <w:rFonts w:ascii="Times New Roman" w:hAnsi="Times New Roman" w:cs="Times New Roman"/>
          <w:b/>
          <w:i/>
          <w:sz w:val="24"/>
          <w:szCs w:val="24"/>
        </w:rPr>
        <w:fldChar w:fldCharType="end"/>
      </w:r>
      <w:r w:rsidRPr="00D76399">
        <w:rPr>
          <w:rFonts w:ascii="Times New Roman" w:hAnsi="Times New Roman" w:cs="Times New Roman"/>
          <w:b/>
          <w:i/>
          <w:sz w:val="24"/>
          <w:szCs w:val="24"/>
        </w:rPr>
        <w:t xml:space="preserve">: </w:t>
      </w:r>
      <w:r w:rsidRPr="00D76399">
        <w:rPr>
          <w:rFonts w:ascii="Times New Roman" w:hAnsi="Times New Roman" w:cs="Times New Roman"/>
          <w:sz w:val="24"/>
          <w:szCs w:val="24"/>
        </w:rPr>
        <w:t xml:space="preserve">people tend to live longer lives, have fewer children and have them rather later in life. As a result the average age of UK citizens will rise as time goes on, an effect </w:t>
      </w:r>
      <w:r w:rsidR="000A1D3D">
        <w:rPr>
          <w:rFonts w:ascii="Times New Roman" w:hAnsi="Times New Roman" w:cs="Times New Roman"/>
          <w:sz w:val="24"/>
          <w:szCs w:val="24"/>
        </w:rPr>
        <w:t>amplified</w:t>
      </w:r>
      <w:r w:rsidRPr="00D76399">
        <w:rPr>
          <w:rFonts w:ascii="Times New Roman" w:hAnsi="Times New Roman" w:cs="Times New Roman"/>
          <w:sz w:val="24"/>
          <w:szCs w:val="24"/>
        </w:rPr>
        <w:t xml:space="preserve"> by the post-war demographic bulge. The proportion of the population over 65 is expected to increase from 17 </w:t>
      </w:r>
      <w:r w:rsidRPr="00D76399">
        <w:rPr>
          <w:rFonts w:ascii="Times New Roman" w:hAnsi="Times New Roman" w:cs="Times New Roman"/>
          <w:sz w:val="24"/>
          <w:szCs w:val="24"/>
        </w:rPr>
        <w:lastRenderedPageBreak/>
        <w:t xml:space="preserve">to roughly 26 per cent </w:t>
      </w:r>
      <w:r w:rsidR="00C11044">
        <w:rPr>
          <w:rFonts w:ascii="Times New Roman" w:hAnsi="Times New Roman" w:cs="Times New Roman"/>
          <w:sz w:val="24"/>
          <w:szCs w:val="24"/>
        </w:rPr>
        <w:t>between 2012 and 2061 (OBR</w:t>
      </w:r>
      <w:r w:rsidR="00D553FF">
        <w:rPr>
          <w:rFonts w:ascii="Times New Roman" w:hAnsi="Times New Roman" w:cs="Times New Roman"/>
          <w:sz w:val="24"/>
          <w:szCs w:val="24"/>
        </w:rPr>
        <w:fldChar w:fldCharType="begin"/>
      </w:r>
      <w:r w:rsidR="00D553FF">
        <w:instrText xml:space="preserve"> XE "</w:instrText>
      </w:r>
      <w:r w:rsidR="00D553FF" w:rsidRPr="00250641">
        <w:rPr>
          <w:rFonts w:ascii="Times New Roman" w:hAnsi="Times New Roman" w:cs="Times New Roman"/>
          <w:sz w:val="24"/>
          <w:szCs w:val="24"/>
        </w:rPr>
        <w:instrText>OBR</w:instrText>
      </w:r>
      <w:r w:rsidR="00D553FF">
        <w:instrText xml:space="preserve">" </w:instrText>
      </w:r>
      <w:r w:rsidR="00D553FF">
        <w:rPr>
          <w:rFonts w:ascii="Times New Roman" w:hAnsi="Times New Roman" w:cs="Times New Roman"/>
          <w:sz w:val="24"/>
          <w:szCs w:val="24"/>
        </w:rPr>
        <w:fldChar w:fldCharType="end"/>
      </w:r>
      <w:r w:rsidR="00C11044">
        <w:rPr>
          <w:rFonts w:ascii="Times New Roman" w:hAnsi="Times New Roman" w:cs="Times New Roman"/>
          <w:sz w:val="24"/>
          <w:szCs w:val="24"/>
        </w:rPr>
        <w:t xml:space="preserve"> 2012c</w:t>
      </w:r>
      <w:r w:rsidRPr="00D76399">
        <w:rPr>
          <w:rFonts w:ascii="Times New Roman" w:hAnsi="Times New Roman" w:cs="Times New Roman"/>
          <w:sz w:val="24"/>
          <w:szCs w:val="24"/>
        </w:rPr>
        <w:t>, para 2</w:t>
      </w:r>
      <w:r w:rsidR="00C11044">
        <w:rPr>
          <w:rFonts w:ascii="Times New Roman" w:hAnsi="Times New Roman" w:cs="Times New Roman"/>
          <w:sz w:val="24"/>
          <w:szCs w:val="24"/>
        </w:rPr>
        <w:t>2</w:t>
      </w:r>
      <w:r w:rsidRPr="00D76399">
        <w:rPr>
          <w:rFonts w:ascii="Times New Roman" w:hAnsi="Times New Roman" w:cs="Times New Roman"/>
          <w:sz w:val="24"/>
          <w:szCs w:val="24"/>
        </w:rPr>
        <w:t>). Population structures are also affected by other factors such as the mortality of children and young people, which is gradually falling, and immigration, which has made a marked contribution in recent years, but is expected to continue at a substantial but rather lower rate. Population ageing and falling mortality apply across most European countries. The UK is expected to age rather more gradually than many, mainly because immigration will bring in extra people of working age. The projected population increase is from 62 million in 2010 to about 79 million by 2060, slightly ahead of France</w:t>
      </w:r>
      <w:r w:rsidR="004C5788">
        <w:rPr>
          <w:rFonts w:ascii="Times New Roman" w:hAnsi="Times New Roman" w:cs="Times New Roman"/>
          <w:sz w:val="24"/>
          <w:szCs w:val="24"/>
        </w:rPr>
        <w:fldChar w:fldCharType="begin"/>
      </w:r>
      <w:r w:rsidR="004C5788">
        <w:instrText xml:space="preserve"> XE "</w:instrText>
      </w:r>
      <w:r w:rsidR="004C5788" w:rsidRPr="00DF0FC2">
        <w:rPr>
          <w:rFonts w:ascii="Times New Roman" w:hAnsi="Times New Roman" w:cs="Times New Roman"/>
          <w:sz w:val="24"/>
          <w:szCs w:val="24"/>
        </w:rPr>
        <w:instrText>France</w:instrText>
      </w:r>
      <w:r w:rsidR="004C5788">
        <w:instrText xml:space="preserve">" </w:instrText>
      </w:r>
      <w:r w:rsidR="004C5788">
        <w:rPr>
          <w:rFonts w:ascii="Times New Roman" w:hAnsi="Times New Roman" w:cs="Times New Roman"/>
          <w:sz w:val="24"/>
          <w:szCs w:val="24"/>
        </w:rPr>
        <w:fldChar w:fldCharType="end"/>
      </w:r>
      <w:r w:rsidRPr="00D76399">
        <w:rPr>
          <w:rFonts w:ascii="Times New Roman" w:hAnsi="Times New Roman" w:cs="Times New Roman"/>
          <w:sz w:val="24"/>
          <w:szCs w:val="24"/>
        </w:rPr>
        <w:t xml:space="preserve">, rising from 65 </w:t>
      </w:r>
      <w:r w:rsidR="0044240D" w:rsidRPr="00D76399">
        <w:rPr>
          <w:rFonts w:ascii="Times New Roman" w:hAnsi="Times New Roman" w:cs="Times New Roman"/>
          <w:sz w:val="24"/>
          <w:szCs w:val="24"/>
        </w:rPr>
        <w:t xml:space="preserve">to 74 </w:t>
      </w:r>
      <w:r w:rsidRPr="00D76399">
        <w:rPr>
          <w:rFonts w:ascii="Times New Roman" w:hAnsi="Times New Roman" w:cs="Times New Roman"/>
          <w:sz w:val="24"/>
          <w:szCs w:val="24"/>
        </w:rPr>
        <w:t>million. Italy will grow from 60 to 65 and Spain from 46 to 52 million. On the other hand, the population of Germany</w:t>
      </w:r>
      <w:r w:rsidR="004C5788">
        <w:rPr>
          <w:rFonts w:ascii="Times New Roman" w:hAnsi="Times New Roman" w:cs="Times New Roman"/>
          <w:sz w:val="24"/>
          <w:szCs w:val="24"/>
        </w:rPr>
        <w:fldChar w:fldCharType="begin"/>
      </w:r>
      <w:r w:rsidR="004C5788">
        <w:instrText xml:space="preserve"> XE "</w:instrText>
      </w:r>
      <w:r w:rsidR="004C5788" w:rsidRPr="00B67173">
        <w:rPr>
          <w:rFonts w:ascii="Times New Roman" w:hAnsi="Times New Roman" w:cs="Times New Roman"/>
          <w:sz w:val="24"/>
          <w:szCs w:val="24"/>
        </w:rPr>
        <w:instrText>Germany</w:instrText>
      </w:r>
      <w:r w:rsidR="004C5788">
        <w:instrText xml:space="preserve">" </w:instrText>
      </w:r>
      <w:r w:rsidR="004C5788">
        <w:rPr>
          <w:rFonts w:ascii="Times New Roman" w:hAnsi="Times New Roman" w:cs="Times New Roman"/>
          <w:sz w:val="24"/>
          <w:szCs w:val="24"/>
        </w:rPr>
        <w:fldChar w:fldCharType="end"/>
      </w:r>
      <w:r w:rsidRPr="00D76399">
        <w:rPr>
          <w:rFonts w:ascii="Times New Roman" w:hAnsi="Times New Roman" w:cs="Times New Roman"/>
          <w:sz w:val="24"/>
          <w:szCs w:val="24"/>
        </w:rPr>
        <w:t>, where population ageing is further advanced and expected immigration</w:t>
      </w:r>
      <w:r w:rsidR="005E0406">
        <w:rPr>
          <w:rFonts w:ascii="Times New Roman" w:hAnsi="Times New Roman" w:cs="Times New Roman"/>
          <w:sz w:val="24"/>
          <w:szCs w:val="24"/>
        </w:rPr>
        <w:fldChar w:fldCharType="begin"/>
      </w:r>
      <w:r w:rsidR="000D1551">
        <w:instrText xml:space="preserve"> XE "</w:instrText>
      </w:r>
      <w:r w:rsidR="000D1551" w:rsidRPr="008373CA">
        <w:rPr>
          <w:rFonts w:ascii="Times New Roman" w:hAnsi="Times New Roman" w:cs="Times New Roman"/>
          <w:sz w:val="24"/>
          <w:szCs w:val="24"/>
        </w:rPr>
        <w:instrText>immigration</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lower, will fall from about 82 to 66 million (EC 2012, 26).</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Changes in population structure affect public spending. Pensions, of course, apply to older people. The distribution of health care spending by age peaks for those over 65, at about £15</w:t>
      </w:r>
      <w:r w:rsidR="007B6A85">
        <w:rPr>
          <w:rFonts w:ascii="Times New Roman" w:hAnsi="Times New Roman" w:cs="Times New Roman"/>
          <w:sz w:val="24"/>
          <w:szCs w:val="24"/>
        </w:rPr>
        <w:t xml:space="preserve"> thousand a year on average, and for </w:t>
      </w:r>
      <w:r w:rsidRPr="00D76399">
        <w:rPr>
          <w:rFonts w:ascii="Times New Roman" w:hAnsi="Times New Roman" w:cs="Times New Roman"/>
          <w:sz w:val="24"/>
          <w:szCs w:val="24"/>
        </w:rPr>
        <w:t>those aged five or younger, at about five thousand a year</w:t>
      </w:r>
      <w:r w:rsidR="007B6A85">
        <w:rPr>
          <w:rFonts w:ascii="Times New Roman" w:hAnsi="Times New Roman" w:cs="Times New Roman"/>
          <w:sz w:val="24"/>
          <w:szCs w:val="24"/>
        </w:rPr>
        <w:t xml:space="preserve">. Spending on </w:t>
      </w:r>
      <w:r w:rsidRPr="00D76399">
        <w:rPr>
          <w:rFonts w:ascii="Times New Roman" w:hAnsi="Times New Roman" w:cs="Times New Roman"/>
          <w:sz w:val="24"/>
          <w:szCs w:val="24"/>
        </w:rPr>
        <w:t>those in between</w:t>
      </w:r>
      <w:r w:rsidR="007B6A85">
        <w:rPr>
          <w:rFonts w:ascii="Times New Roman" w:hAnsi="Times New Roman" w:cs="Times New Roman"/>
          <w:sz w:val="24"/>
          <w:szCs w:val="24"/>
        </w:rPr>
        <w:t xml:space="preserve"> is on average lower. S</w:t>
      </w:r>
      <w:r w:rsidRPr="00D76399">
        <w:rPr>
          <w:rFonts w:ascii="Times New Roman" w:hAnsi="Times New Roman" w:cs="Times New Roman"/>
          <w:sz w:val="24"/>
          <w:szCs w:val="24"/>
        </w:rPr>
        <w:t xml:space="preserve">ocial care spending hits a peak in advanced old age (six thousand a year for those aged 85 or over) and education among the young, averaging £12 thousand a year at age 12. </w:t>
      </w:r>
      <w:r w:rsidR="007B6A85">
        <w:rPr>
          <w:rFonts w:ascii="Times New Roman" w:hAnsi="Times New Roman" w:cs="Times New Roman"/>
          <w:sz w:val="24"/>
          <w:szCs w:val="24"/>
        </w:rPr>
        <w:t>Aggregate s</w:t>
      </w:r>
      <w:r w:rsidRPr="00D76399">
        <w:rPr>
          <w:rFonts w:ascii="Times New Roman" w:hAnsi="Times New Roman" w:cs="Times New Roman"/>
          <w:sz w:val="24"/>
          <w:szCs w:val="24"/>
        </w:rPr>
        <w:t xml:space="preserve">ocial spending is </w:t>
      </w:r>
      <w:r w:rsidR="007B6A85">
        <w:rPr>
          <w:rFonts w:ascii="Times New Roman" w:hAnsi="Times New Roman" w:cs="Times New Roman"/>
          <w:sz w:val="24"/>
          <w:szCs w:val="24"/>
        </w:rPr>
        <w:t xml:space="preserve">relatively </w:t>
      </w:r>
      <w:r w:rsidRPr="00D76399">
        <w:rPr>
          <w:rFonts w:ascii="Times New Roman" w:hAnsi="Times New Roman" w:cs="Times New Roman"/>
          <w:sz w:val="24"/>
          <w:szCs w:val="24"/>
        </w:rPr>
        <w:t xml:space="preserve">high for young people, </w:t>
      </w:r>
      <w:r w:rsidR="0044240D">
        <w:rPr>
          <w:rFonts w:ascii="Times New Roman" w:hAnsi="Times New Roman" w:cs="Times New Roman"/>
          <w:sz w:val="24"/>
          <w:szCs w:val="24"/>
        </w:rPr>
        <w:t xml:space="preserve">averaging </w:t>
      </w:r>
      <w:r w:rsidRPr="00D76399">
        <w:rPr>
          <w:rFonts w:ascii="Times New Roman" w:hAnsi="Times New Roman" w:cs="Times New Roman"/>
          <w:sz w:val="24"/>
          <w:szCs w:val="24"/>
        </w:rPr>
        <w:t xml:space="preserve">about £18 thousand a year for those aged 10 to 12, </w:t>
      </w:r>
      <w:r w:rsidR="0044240D">
        <w:rPr>
          <w:rFonts w:ascii="Times New Roman" w:hAnsi="Times New Roman" w:cs="Times New Roman"/>
          <w:sz w:val="24"/>
          <w:szCs w:val="24"/>
        </w:rPr>
        <w:t xml:space="preserve">lower at </w:t>
      </w:r>
      <w:r w:rsidRPr="00D76399">
        <w:rPr>
          <w:rFonts w:ascii="Times New Roman" w:hAnsi="Times New Roman" w:cs="Times New Roman"/>
          <w:sz w:val="24"/>
          <w:szCs w:val="24"/>
        </w:rPr>
        <w:t xml:space="preserve">about eight thousand </w:t>
      </w:r>
      <w:r w:rsidR="0044240D">
        <w:rPr>
          <w:rFonts w:ascii="Times New Roman" w:hAnsi="Times New Roman" w:cs="Times New Roman"/>
          <w:sz w:val="24"/>
          <w:szCs w:val="24"/>
        </w:rPr>
        <w:t xml:space="preserve">a year </w:t>
      </w:r>
      <w:r w:rsidRPr="00D76399">
        <w:rPr>
          <w:rFonts w:ascii="Times New Roman" w:hAnsi="Times New Roman" w:cs="Times New Roman"/>
          <w:sz w:val="24"/>
          <w:szCs w:val="24"/>
        </w:rPr>
        <w:t>in middle age, then ris</w:t>
      </w:r>
      <w:r w:rsidR="007B6A85">
        <w:rPr>
          <w:rFonts w:ascii="Times New Roman" w:hAnsi="Times New Roman" w:cs="Times New Roman"/>
          <w:sz w:val="24"/>
          <w:szCs w:val="24"/>
        </w:rPr>
        <w:t>es</w:t>
      </w:r>
      <w:r w:rsidRPr="00D76399">
        <w:rPr>
          <w:rFonts w:ascii="Times New Roman" w:hAnsi="Times New Roman" w:cs="Times New Roman"/>
          <w:sz w:val="24"/>
          <w:szCs w:val="24"/>
        </w:rPr>
        <w:t xml:space="preserve"> steadily from aged 65 to plateau at age 85 at about £27 thousand a year. The distribution of tax payments is much flatter, with a peak at about age 45 (OBR 2012</w:t>
      </w:r>
      <w:r w:rsidR="00C11044">
        <w:rPr>
          <w:rFonts w:ascii="Times New Roman" w:hAnsi="Times New Roman" w:cs="Times New Roman"/>
          <w:sz w:val="24"/>
          <w:szCs w:val="24"/>
        </w:rPr>
        <w:t>c</w:t>
      </w:r>
      <w:r w:rsidRPr="00D76399">
        <w:rPr>
          <w:rFonts w:ascii="Times New Roman" w:hAnsi="Times New Roman" w:cs="Times New Roman"/>
          <w:sz w:val="24"/>
          <w:szCs w:val="24"/>
        </w:rPr>
        <w:t>, 65). Population ageing increases demand but doesn’t increase revenue.</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As the population ages</w:t>
      </w:r>
      <w:r w:rsidR="005E0406">
        <w:rPr>
          <w:rFonts w:ascii="Times New Roman" w:hAnsi="Times New Roman" w:cs="Times New Roman"/>
          <w:sz w:val="24"/>
          <w:szCs w:val="24"/>
        </w:rPr>
        <w:fldChar w:fldCharType="begin"/>
      </w:r>
      <w:r w:rsidR="000D1551">
        <w:instrText xml:space="preserve"> XE "</w:instrText>
      </w:r>
      <w:r w:rsidR="000D1551" w:rsidRPr="00DB0748">
        <w:rPr>
          <w:rFonts w:ascii="Times New Roman" w:hAnsi="Times New Roman" w:cs="Times New Roman"/>
          <w:sz w:val="24"/>
          <w:szCs w:val="24"/>
        </w:rPr>
        <w:instrText>population ageing:</w:instrText>
      </w:r>
      <w:r w:rsidR="000D1551" w:rsidRPr="00DB0748">
        <w:instrText>cost</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spending will increase, from 36 per cent of GDP in 2016-17 to 41 per cent by 2061-2, according to the OBR projections. Rising health spending is the main factor, followed by pension and social care</w:t>
      </w:r>
      <w:r w:rsidR="002A7776">
        <w:rPr>
          <w:rFonts w:ascii="Times New Roman" w:hAnsi="Times New Roman" w:cs="Times New Roman"/>
          <w:sz w:val="24"/>
          <w:szCs w:val="24"/>
        </w:rPr>
        <w:fldChar w:fldCharType="begin"/>
      </w:r>
      <w:r w:rsidR="002A7776">
        <w:instrText xml:space="preserve"> XE "</w:instrText>
      </w:r>
      <w:r w:rsidR="002A7776" w:rsidRPr="00982C9D">
        <w:rPr>
          <w:rFonts w:ascii="Times New Roman" w:hAnsi="Times New Roman" w:cs="Times New Roman"/>
          <w:sz w:val="24"/>
          <w:szCs w:val="24"/>
        </w:rPr>
        <w:instrText>social care</w:instrText>
      </w:r>
      <w:r w:rsidR="002A7776">
        <w:instrText xml:space="preserve">" </w:instrText>
      </w:r>
      <w:r w:rsidR="002A777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costs. The estimates refer to an extended time period and do not allow for any changes in unemployment</w:t>
      </w:r>
      <w:r w:rsidR="00930687">
        <w:rPr>
          <w:rFonts w:ascii="Times New Roman" w:hAnsi="Times New Roman" w:cs="Times New Roman"/>
          <w:sz w:val="24"/>
          <w:szCs w:val="24"/>
        </w:rPr>
        <w:fldChar w:fldCharType="begin"/>
      </w:r>
      <w:r w:rsidR="00930687">
        <w:instrText xml:space="preserve"> XE "</w:instrText>
      </w:r>
      <w:r w:rsidR="00930687" w:rsidRPr="00544B1C">
        <w:rPr>
          <w:rFonts w:ascii="Times New Roman" w:hAnsi="Times New Roman" w:cs="Times New Roman"/>
          <w:sz w:val="24"/>
          <w:szCs w:val="24"/>
        </w:rPr>
        <w:instrText>unemployment</w:instrText>
      </w:r>
      <w:r w:rsidR="00930687">
        <w:instrText xml:space="preserve">" </w:instrText>
      </w:r>
      <w:r w:rsidR="00930687">
        <w:rPr>
          <w:rFonts w:ascii="Times New Roman" w:hAnsi="Times New Roman" w:cs="Times New Roman"/>
          <w:sz w:val="24"/>
          <w:szCs w:val="24"/>
        </w:rPr>
        <w:fldChar w:fldCharType="end"/>
      </w:r>
      <w:r w:rsidRPr="00D76399">
        <w:rPr>
          <w:rFonts w:ascii="Times New Roman" w:hAnsi="Times New Roman" w:cs="Times New Roman"/>
          <w:sz w:val="24"/>
          <w:szCs w:val="24"/>
        </w:rPr>
        <w:t xml:space="preserve"> or the possibility that productivity will fall as population ageing slows enterprise and innovation (estimated by the EC to cut EU</w:t>
      </w:r>
      <w:r w:rsidR="005E0406">
        <w:rPr>
          <w:rFonts w:ascii="Times New Roman" w:hAnsi="Times New Roman" w:cs="Times New Roman"/>
          <w:sz w:val="24"/>
          <w:szCs w:val="24"/>
        </w:rPr>
        <w:fldChar w:fldCharType="begin"/>
      </w:r>
      <w:r w:rsidR="000D1551">
        <w:instrText xml:space="preserve"> XE "</w:instrText>
      </w:r>
      <w:r w:rsidR="000D1551" w:rsidRPr="0030486C">
        <w:rPr>
          <w:rFonts w:ascii="Times New Roman" w:hAnsi="Times New Roman" w:cs="Times New Roman"/>
          <w:sz w:val="24"/>
          <w:szCs w:val="24"/>
        </w:rPr>
        <w:instrText>EU</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growth rates from 1.6 to 1.3 per cent annually after 2030: EC 2012, 32). They are highly sensitive to fluctuations, for example in the cost of health care or in immigration rates. </w:t>
      </w:r>
      <w:r w:rsidR="00FC1D97" w:rsidRPr="00D76399">
        <w:rPr>
          <w:rFonts w:ascii="Times New Roman" w:hAnsi="Times New Roman" w:cs="Times New Roman"/>
          <w:sz w:val="24"/>
          <w:szCs w:val="24"/>
        </w:rPr>
        <w:t>However, projections</w:t>
      </w:r>
      <w:r w:rsidRPr="00D76399">
        <w:rPr>
          <w:rFonts w:ascii="Times New Roman" w:hAnsi="Times New Roman" w:cs="Times New Roman"/>
          <w:sz w:val="24"/>
          <w:szCs w:val="24"/>
        </w:rPr>
        <w:t xml:space="preserve"> by the EC point to broadly similar increases and show that the UK is slightly below the European average and </w:t>
      </w:r>
      <w:r w:rsidR="00FC1D97">
        <w:rPr>
          <w:rFonts w:ascii="Times New Roman" w:hAnsi="Times New Roman" w:cs="Times New Roman"/>
          <w:sz w:val="24"/>
          <w:szCs w:val="24"/>
        </w:rPr>
        <w:t>clearly below</w:t>
      </w:r>
      <w:r w:rsidRPr="00D76399">
        <w:rPr>
          <w:rFonts w:ascii="Times New Roman" w:hAnsi="Times New Roman" w:cs="Times New Roman"/>
          <w:sz w:val="24"/>
          <w:szCs w:val="24"/>
        </w:rPr>
        <w:t xml:space="preserve"> Germany</w:t>
      </w:r>
      <w:r w:rsidR="004C5788">
        <w:rPr>
          <w:rFonts w:ascii="Times New Roman" w:hAnsi="Times New Roman" w:cs="Times New Roman"/>
          <w:sz w:val="24"/>
          <w:szCs w:val="24"/>
        </w:rPr>
        <w:fldChar w:fldCharType="begin"/>
      </w:r>
      <w:r w:rsidR="004C5788">
        <w:instrText xml:space="preserve"> XE "</w:instrText>
      </w:r>
      <w:r w:rsidR="004C5788" w:rsidRPr="00E80383">
        <w:rPr>
          <w:rFonts w:ascii="Times New Roman" w:hAnsi="Times New Roman" w:cs="Times New Roman"/>
          <w:sz w:val="24"/>
          <w:szCs w:val="24"/>
        </w:rPr>
        <w:instrText>Germany</w:instrText>
      </w:r>
      <w:r w:rsidR="004C5788">
        <w:instrText xml:space="preserve">" </w:instrText>
      </w:r>
      <w:r w:rsidR="004C5788">
        <w:rPr>
          <w:rFonts w:ascii="Times New Roman" w:hAnsi="Times New Roman" w:cs="Times New Roman"/>
          <w:sz w:val="24"/>
          <w:szCs w:val="24"/>
        </w:rPr>
        <w:fldChar w:fldCharType="end"/>
      </w:r>
      <w:r w:rsidRPr="00D76399">
        <w:rPr>
          <w:rFonts w:ascii="Times New Roman" w:hAnsi="Times New Roman" w:cs="Times New Roman"/>
          <w:sz w:val="24"/>
          <w:szCs w:val="24"/>
        </w:rPr>
        <w:t>, Spain and Italy in the impact of ageing on public finances. The precise impact of the changes is uncertain but likely to be significant and expansionary. It will be very much greater if the kinds of efficiency gains in welfare state services discussed below cannot be achieved.</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b/>
          <w:i/>
          <w:sz w:val="24"/>
          <w:szCs w:val="24"/>
        </w:rPr>
        <w:t xml:space="preserve">Productivity and staff costs: </w:t>
      </w:r>
      <w:r w:rsidRPr="00D76399">
        <w:rPr>
          <w:rFonts w:ascii="Times New Roman" w:hAnsi="Times New Roman" w:cs="Times New Roman"/>
          <w:sz w:val="24"/>
          <w:szCs w:val="24"/>
        </w:rPr>
        <w:t>the main welfare state services, health and social care and education, employ large and increasing numbers of people. Numbers employed in education rose from 1.4 to 1.6 million and in the NHS from 1.2 to 1.6 million between 1999 and 2011 (ONS 2012b). Pay constitutes the major part of the costs of running these services. Under normal conditions, the economy</w:t>
      </w:r>
      <w:r w:rsidR="005E0406">
        <w:rPr>
          <w:rFonts w:ascii="Times New Roman" w:hAnsi="Times New Roman" w:cs="Times New Roman"/>
          <w:sz w:val="24"/>
          <w:szCs w:val="24"/>
        </w:rPr>
        <w:fldChar w:fldCharType="begin"/>
      </w:r>
      <w:r w:rsidR="000D1551">
        <w:instrText xml:space="preserve"> XE "</w:instrText>
      </w:r>
      <w:r w:rsidR="000D1551" w:rsidRPr="00903D1F">
        <w:rPr>
          <w:rFonts w:ascii="Times New Roman" w:hAnsi="Times New Roman" w:cs="Times New Roman"/>
          <w:sz w:val="24"/>
          <w:szCs w:val="24"/>
        </w:rPr>
        <w:instrText>productivity</w:instrText>
      </w:r>
      <w:r w:rsidR="000D1551">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grows and produces more each year. Part of the extra product is allocated in pay increases for workers. Staff in the welfare state sector will expect </w:t>
      </w:r>
      <w:r w:rsidRPr="00D76399">
        <w:rPr>
          <w:rFonts w:ascii="Times New Roman" w:hAnsi="Times New Roman" w:cs="Times New Roman"/>
          <w:sz w:val="24"/>
          <w:szCs w:val="24"/>
        </w:rPr>
        <w:lastRenderedPageBreak/>
        <w:t>pay rises at roughly the same rate, although their contribution to the economy is indirect in enabling the private sector to generate a greater surplus.</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 xml:space="preserve">Productivity in welfare state services is typically understood as the relationship between the output of the service (such factors as numbers of patients treated or students taught) and the input (the money and other resources spent), taking account of any changes in quality (measured by factors such as patient satisfaction, waiting times or examination passes). In education and health care the main input is staff pay. Workers in these sectors are likely to demand the same wage increases as elsewhere in the economy, where rises reflect greater productivity and economic growth. The problem is that it is very difficult to achieve real increases in the output of these services year by year comparable to those in the economy as a whole. In many areas real gains can be achieved by automation, use of ICT and new management techniques. The human services are intricate operations and often it is the time spent in contact with skilled (and expensive) professionals that people value most highly and that seems to produce the results. It is difficult, for example, for every teacher to teach larger classes </w:t>
      </w:r>
      <w:r w:rsidR="007B6A85" w:rsidRPr="00D76399">
        <w:rPr>
          <w:rFonts w:ascii="Times New Roman" w:hAnsi="Times New Roman" w:cs="Times New Roman"/>
          <w:sz w:val="24"/>
          <w:szCs w:val="24"/>
        </w:rPr>
        <w:t xml:space="preserve">year on year </w:t>
      </w:r>
      <w:r w:rsidRPr="00D76399">
        <w:rPr>
          <w:rFonts w:ascii="Times New Roman" w:hAnsi="Times New Roman" w:cs="Times New Roman"/>
          <w:sz w:val="24"/>
          <w:szCs w:val="24"/>
        </w:rPr>
        <w:t xml:space="preserve">or </w:t>
      </w:r>
      <w:r w:rsidR="007B6A85">
        <w:rPr>
          <w:rFonts w:ascii="Times New Roman" w:hAnsi="Times New Roman" w:cs="Times New Roman"/>
          <w:sz w:val="24"/>
          <w:szCs w:val="24"/>
        </w:rPr>
        <w:t xml:space="preserve">for </w:t>
      </w:r>
      <w:r w:rsidRPr="00D76399">
        <w:rPr>
          <w:rFonts w:ascii="Times New Roman" w:hAnsi="Times New Roman" w:cs="Times New Roman"/>
          <w:sz w:val="24"/>
          <w:szCs w:val="24"/>
        </w:rPr>
        <w:t>a surgeon to do more hip replacements.</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Enormous efforts have been spent on trying to achieve real improvements in welfare state productivity in recent years. These have included: introducing competition</w:t>
      </w:r>
      <w:r w:rsidR="00BE30B5">
        <w:rPr>
          <w:rFonts w:ascii="Times New Roman" w:hAnsi="Times New Roman" w:cs="Times New Roman"/>
          <w:sz w:val="24"/>
          <w:szCs w:val="24"/>
        </w:rPr>
        <w:fldChar w:fldCharType="begin"/>
      </w:r>
      <w:r w:rsidR="00BE30B5">
        <w:instrText xml:space="preserve"> XE "</w:instrText>
      </w:r>
      <w:r w:rsidR="00BE30B5" w:rsidRPr="0071706A">
        <w:rPr>
          <w:rFonts w:ascii="Times New Roman" w:hAnsi="Times New Roman" w:cs="Times New Roman"/>
          <w:sz w:val="24"/>
          <w:szCs w:val="24"/>
        </w:rPr>
        <w:instrText>competition</w:instrText>
      </w:r>
      <w:r w:rsidR="00BE30B5">
        <w:instrText xml:space="preserve">" </w:instrText>
      </w:r>
      <w:r w:rsidR="00BE30B5">
        <w:rPr>
          <w:rFonts w:ascii="Times New Roman" w:hAnsi="Times New Roman" w:cs="Times New Roman"/>
          <w:sz w:val="24"/>
          <w:szCs w:val="24"/>
        </w:rPr>
        <w:fldChar w:fldCharType="end"/>
      </w:r>
      <w:r w:rsidRPr="00D76399">
        <w:rPr>
          <w:rFonts w:ascii="Times New Roman" w:hAnsi="Times New Roman" w:cs="Times New Roman"/>
          <w:sz w:val="24"/>
          <w:szCs w:val="24"/>
        </w:rPr>
        <w:t xml:space="preserve"> between the various clinics, schools and other agencies within state services or between state and non-state, commerc</w:t>
      </w:r>
      <w:r w:rsidR="0044240D">
        <w:rPr>
          <w:rFonts w:ascii="Times New Roman" w:hAnsi="Times New Roman" w:cs="Times New Roman"/>
          <w:sz w:val="24"/>
          <w:szCs w:val="24"/>
        </w:rPr>
        <w:t>ial on not-for-profit providers</w:t>
      </w:r>
      <w:r w:rsidRPr="00D76399">
        <w:rPr>
          <w:rFonts w:ascii="Times New Roman" w:hAnsi="Times New Roman" w:cs="Times New Roman"/>
          <w:sz w:val="24"/>
          <w:szCs w:val="24"/>
        </w:rPr>
        <w:t xml:space="preserve"> in education and NHS front-line services from the early 1990s onwards; a number of experiments with ICT, including the ambitious attempt to establish a national system of access to patients records between 2005 and 2011, only partially successful; ‘efficiency saving’</w:t>
      </w:r>
      <w:r w:rsidR="00BE30B5">
        <w:rPr>
          <w:rFonts w:ascii="Times New Roman" w:hAnsi="Times New Roman" w:cs="Times New Roman"/>
          <w:sz w:val="24"/>
          <w:szCs w:val="24"/>
        </w:rPr>
        <w:fldChar w:fldCharType="begin"/>
      </w:r>
      <w:r w:rsidR="00BE30B5">
        <w:instrText xml:space="preserve"> XE "</w:instrText>
      </w:r>
      <w:r w:rsidR="00BE30B5" w:rsidRPr="00AB63C9">
        <w:rPr>
          <w:rFonts w:ascii="Times New Roman" w:hAnsi="Times New Roman" w:cs="Times New Roman"/>
          <w:sz w:val="24"/>
          <w:szCs w:val="24"/>
        </w:rPr>
        <w:instrText>cost saving</w:instrText>
      </w:r>
      <w:r w:rsidR="00BE30B5">
        <w:instrText xml:space="preserve">" </w:instrText>
      </w:r>
      <w:r w:rsidR="00BE30B5">
        <w:rPr>
          <w:rFonts w:ascii="Times New Roman" w:hAnsi="Times New Roman" w:cs="Times New Roman"/>
          <w:sz w:val="24"/>
          <w:szCs w:val="24"/>
        </w:rPr>
        <w:fldChar w:fldCharType="end"/>
      </w:r>
      <w:r w:rsidRPr="00D76399">
        <w:rPr>
          <w:rFonts w:ascii="Times New Roman" w:hAnsi="Times New Roman" w:cs="Times New Roman"/>
          <w:sz w:val="24"/>
          <w:szCs w:val="24"/>
        </w:rPr>
        <w:t xml:space="preserve"> cost-</w:t>
      </w:r>
      <w:r w:rsidR="00926D8B">
        <w:rPr>
          <w:rFonts w:ascii="Times New Roman" w:hAnsi="Times New Roman" w:cs="Times New Roman"/>
          <w:sz w:val="24"/>
          <w:szCs w:val="24"/>
        </w:rPr>
        <w:t>par</w:t>
      </w:r>
      <w:r w:rsidRPr="00D76399">
        <w:rPr>
          <w:rFonts w:ascii="Times New Roman" w:hAnsi="Times New Roman" w:cs="Times New Roman"/>
          <w:sz w:val="24"/>
          <w:szCs w:val="24"/>
        </w:rPr>
        <w:t>ing measures from the mid-1980s onwards; a target</w:t>
      </w:r>
      <w:r w:rsidR="0054482E">
        <w:rPr>
          <w:rFonts w:ascii="Times New Roman" w:hAnsi="Times New Roman" w:cs="Times New Roman"/>
          <w:sz w:val="24"/>
          <w:szCs w:val="24"/>
        </w:rPr>
        <w:fldChar w:fldCharType="begin"/>
      </w:r>
      <w:r w:rsidR="0054482E">
        <w:instrText xml:space="preserve"> XE "</w:instrText>
      </w:r>
      <w:r w:rsidR="0054482E" w:rsidRPr="0058321B">
        <w:rPr>
          <w:rFonts w:ascii="Times New Roman" w:hAnsi="Times New Roman" w:cs="Times New Roman"/>
          <w:sz w:val="24"/>
          <w:szCs w:val="24"/>
        </w:rPr>
        <w:instrText>targets</w:instrText>
      </w:r>
      <w:r w:rsidR="0054482E">
        <w:instrText xml:space="preserve">" </w:instrText>
      </w:r>
      <w:r w:rsidR="0054482E">
        <w:rPr>
          <w:rFonts w:ascii="Times New Roman" w:hAnsi="Times New Roman" w:cs="Times New Roman"/>
          <w:sz w:val="24"/>
          <w:szCs w:val="24"/>
        </w:rPr>
        <w:fldChar w:fldCharType="end"/>
      </w:r>
      <w:r w:rsidRPr="00D76399">
        <w:rPr>
          <w:rFonts w:ascii="Times New Roman" w:hAnsi="Times New Roman" w:cs="Times New Roman"/>
          <w:sz w:val="24"/>
          <w:szCs w:val="24"/>
        </w:rPr>
        <w:t>-centred management system through Public Service Agreements developed from the 1998 Comprehensive Spending Review onwards, radically scaled back in 2010; the ‘Nicholson Challenge’</w:t>
      </w:r>
      <w:r w:rsidR="00BE30B5">
        <w:rPr>
          <w:rFonts w:ascii="Times New Roman" w:hAnsi="Times New Roman" w:cs="Times New Roman"/>
          <w:sz w:val="24"/>
          <w:szCs w:val="24"/>
        </w:rPr>
        <w:fldChar w:fldCharType="begin"/>
      </w:r>
      <w:r w:rsidR="00BE30B5">
        <w:instrText xml:space="preserve"> XE "</w:instrText>
      </w:r>
      <w:r w:rsidR="00BE30B5" w:rsidRPr="006376CE">
        <w:rPr>
          <w:rFonts w:ascii="Times New Roman" w:hAnsi="Times New Roman" w:cs="Times New Roman"/>
          <w:sz w:val="24"/>
          <w:szCs w:val="24"/>
        </w:rPr>
        <w:instrText>Nicholson Challenge</w:instrText>
      </w:r>
      <w:r w:rsidR="00BE30B5">
        <w:instrText xml:space="preserve">" </w:instrText>
      </w:r>
      <w:r w:rsidR="00BE30B5">
        <w:rPr>
          <w:rFonts w:ascii="Times New Roman" w:hAnsi="Times New Roman" w:cs="Times New Roman"/>
          <w:sz w:val="24"/>
          <w:szCs w:val="24"/>
        </w:rPr>
        <w:fldChar w:fldCharType="end"/>
      </w:r>
      <w:r w:rsidRPr="00D76399">
        <w:rPr>
          <w:rFonts w:ascii="Times New Roman" w:hAnsi="Times New Roman" w:cs="Times New Roman"/>
          <w:sz w:val="24"/>
          <w:szCs w:val="24"/>
        </w:rPr>
        <w:t xml:space="preserve"> from 2009, intended to produce four per cent savings annually in the NHS from 2009 onwards, succeeding at less than half that rate; pay freezes, which damage recruitment if maintained; and now payment by results.</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It is difficult to estimate productivity</w:t>
      </w:r>
      <w:r w:rsidR="00BE30B5">
        <w:rPr>
          <w:rFonts w:ascii="Times New Roman" w:hAnsi="Times New Roman" w:cs="Times New Roman"/>
          <w:sz w:val="24"/>
          <w:szCs w:val="24"/>
        </w:rPr>
        <w:fldChar w:fldCharType="begin"/>
      </w:r>
      <w:r w:rsidR="00BE30B5">
        <w:instrText xml:space="preserve"> XE "</w:instrText>
      </w:r>
      <w:r w:rsidR="00BE30B5" w:rsidRPr="00D03345">
        <w:rPr>
          <w:rFonts w:ascii="Times New Roman" w:hAnsi="Times New Roman" w:cs="Times New Roman"/>
          <w:sz w:val="24"/>
          <w:szCs w:val="24"/>
        </w:rPr>
        <w:instrText>productivity</w:instrText>
      </w:r>
      <w:r w:rsidR="00BE30B5">
        <w:instrText xml:space="preserve">" </w:instrText>
      </w:r>
      <w:r w:rsidR="00BE30B5">
        <w:rPr>
          <w:rFonts w:ascii="Times New Roman" w:hAnsi="Times New Roman" w:cs="Times New Roman"/>
          <w:sz w:val="24"/>
          <w:szCs w:val="24"/>
        </w:rPr>
        <w:fldChar w:fldCharType="end"/>
      </w:r>
      <w:r w:rsidRPr="00D76399">
        <w:rPr>
          <w:rFonts w:ascii="Times New Roman" w:hAnsi="Times New Roman" w:cs="Times New Roman"/>
          <w:sz w:val="24"/>
          <w:szCs w:val="24"/>
        </w:rPr>
        <w:t xml:space="preserve"> for services like the NHS and education because the quality of provision is </w:t>
      </w:r>
      <w:r w:rsidR="00DA6C07">
        <w:rPr>
          <w:rFonts w:ascii="Times New Roman" w:hAnsi="Times New Roman" w:cs="Times New Roman"/>
          <w:sz w:val="24"/>
          <w:szCs w:val="24"/>
        </w:rPr>
        <w:t>often a matter of judgement</w:t>
      </w:r>
      <w:r w:rsidRPr="00D76399">
        <w:rPr>
          <w:rFonts w:ascii="Times New Roman" w:hAnsi="Times New Roman" w:cs="Times New Roman"/>
          <w:sz w:val="24"/>
          <w:szCs w:val="24"/>
        </w:rPr>
        <w:t xml:space="preserve">. The most recent ONS estimates take into account </w:t>
      </w:r>
      <w:r w:rsidR="00DA6C07">
        <w:rPr>
          <w:rFonts w:ascii="Times New Roman" w:hAnsi="Times New Roman" w:cs="Times New Roman"/>
          <w:sz w:val="24"/>
          <w:szCs w:val="24"/>
        </w:rPr>
        <w:t>measures of output (patients treated, students in schools) and also of quality (</w:t>
      </w:r>
      <w:r w:rsidRPr="00D76399">
        <w:rPr>
          <w:rFonts w:ascii="Times New Roman" w:hAnsi="Times New Roman" w:cs="Times New Roman"/>
          <w:sz w:val="24"/>
          <w:szCs w:val="24"/>
        </w:rPr>
        <w:t>waiting times, patient satisfaction survey results, the success of treatment, exam pass rates, test results</w:t>
      </w:r>
      <w:r w:rsidR="00DA6C07">
        <w:rPr>
          <w:rFonts w:ascii="Times New Roman" w:hAnsi="Times New Roman" w:cs="Times New Roman"/>
          <w:sz w:val="24"/>
          <w:szCs w:val="24"/>
        </w:rPr>
        <w:t>, school satisfaction</w:t>
      </w:r>
      <w:r w:rsidRPr="00D76399">
        <w:rPr>
          <w:rFonts w:ascii="Times New Roman" w:hAnsi="Times New Roman" w:cs="Times New Roman"/>
          <w:sz w:val="24"/>
          <w:szCs w:val="24"/>
        </w:rPr>
        <w:t xml:space="preserve"> and similar factors</w:t>
      </w:r>
      <w:r w:rsidR="00DA6C07">
        <w:rPr>
          <w:rFonts w:ascii="Times New Roman" w:hAnsi="Times New Roman" w:cs="Times New Roman"/>
          <w:sz w:val="24"/>
          <w:szCs w:val="24"/>
        </w:rPr>
        <w:t>)</w:t>
      </w:r>
      <w:r w:rsidRPr="00D76399">
        <w:rPr>
          <w:rFonts w:ascii="Times New Roman" w:hAnsi="Times New Roman" w:cs="Times New Roman"/>
          <w:sz w:val="24"/>
          <w:szCs w:val="24"/>
        </w:rPr>
        <w:t>.</w:t>
      </w:r>
      <w:r w:rsidR="00E83547">
        <w:rPr>
          <w:rFonts w:ascii="Times New Roman" w:hAnsi="Times New Roman" w:cs="Times New Roman"/>
          <w:sz w:val="24"/>
          <w:szCs w:val="24"/>
        </w:rPr>
        <w:t xml:space="preserve"> </w:t>
      </w:r>
      <w:r w:rsidRPr="00D76399">
        <w:rPr>
          <w:rFonts w:ascii="Times New Roman" w:hAnsi="Times New Roman" w:cs="Times New Roman"/>
          <w:sz w:val="24"/>
          <w:szCs w:val="24"/>
        </w:rPr>
        <w:t>They conclude that o</w:t>
      </w:r>
      <w:r w:rsidR="00DA6C07">
        <w:rPr>
          <w:rFonts w:ascii="Times New Roman" w:hAnsi="Times New Roman" w:cs="Times New Roman"/>
          <w:sz w:val="24"/>
          <w:szCs w:val="24"/>
        </w:rPr>
        <w:t>verall o</w:t>
      </w:r>
      <w:r w:rsidRPr="00D76399">
        <w:rPr>
          <w:rFonts w:ascii="Times New Roman" w:hAnsi="Times New Roman" w:cs="Times New Roman"/>
          <w:sz w:val="24"/>
          <w:szCs w:val="24"/>
        </w:rPr>
        <w:t xml:space="preserve">utput in health and social care kept pace with inputs between 1995 and 2001. Resources for health care increased sharply after 2001 but had little immediate effect on output, so productivity actually fell between 2001 and 2004. From 2005 to 2009 productivity has been largely unchanged. The net effect over the whole 14 years is a slight average annual fall (-0.2 per cent: Hardie </w:t>
      </w:r>
      <w:r w:rsidR="00131591" w:rsidRPr="00131591">
        <w:rPr>
          <w:rFonts w:ascii="Times New Roman" w:hAnsi="Times New Roman" w:cs="Times New Roman"/>
          <w:i/>
          <w:sz w:val="24"/>
          <w:szCs w:val="24"/>
        </w:rPr>
        <w:t>et al.</w:t>
      </w:r>
      <w:r w:rsidRPr="00D76399">
        <w:rPr>
          <w:rFonts w:ascii="Times New Roman" w:hAnsi="Times New Roman" w:cs="Times New Roman"/>
          <w:sz w:val="24"/>
          <w:szCs w:val="24"/>
        </w:rPr>
        <w:t xml:space="preserve"> 2011). For education, productivity grew in the early period as the school age population expanded, fell in the middle period as this was outstripped by extra funding, then increased after 2004 as funding increments tailed off and quality measured by exam results rose.</w:t>
      </w:r>
      <w:r w:rsidR="00E83547">
        <w:rPr>
          <w:rFonts w:ascii="Times New Roman" w:hAnsi="Times New Roman" w:cs="Times New Roman"/>
          <w:sz w:val="24"/>
          <w:szCs w:val="24"/>
        </w:rPr>
        <w:t xml:space="preserve"> </w:t>
      </w:r>
      <w:r w:rsidRPr="00D76399">
        <w:rPr>
          <w:rFonts w:ascii="Times New Roman" w:hAnsi="Times New Roman" w:cs="Times New Roman"/>
          <w:sz w:val="24"/>
          <w:szCs w:val="24"/>
        </w:rPr>
        <w:lastRenderedPageBreak/>
        <w:t xml:space="preserve">Overall, productivity declined, but at an even slower rate than in the case of health (Baird </w:t>
      </w:r>
      <w:r w:rsidR="00131591" w:rsidRPr="00131591">
        <w:rPr>
          <w:rFonts w:ascii="Times New Roman" w:hAnsi="Times New Roman" w:cs="Times New Roman"/>
          <w:i/>
          <w:sz w:val="24"/>
          <w:szCs w:val="24"/>
        </w:rPr>
        <w:t>et al.</w:t>
      </w:r>
      <w:r w:rsidRPr="00D76399">
        <w:rPr>
          <w:rFonts w:ascii="Times New Roman" w:hAnsi="Times New Roman" w:cs="Times New Roman"/>
          <w:sz w:val="24"/>
          <w:szCs w:val="24"/>
        </w:rPr>
        <w:t xml:space="preserve"> 2010).</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Attempts to examine a longer period run into further data problems. Research by the University of York shows a broadly similar pattern, while work that attempts to look back to 1979-80 suggests a gradual productivity improvement under more stable financing (Oliver 2005). Le Grand</w:t>
      </w:r>
      <w:r w:rsidR="007F76FC">
        <w:rPr>
          <w:rFonts w:ascii="Times New Roman" w:hAnsi="Times New Roman" w:cs="Times New Roman"/>
          <w:sz w:val="24"/>
          <w:szCs w:val="24"/>
        </w:rPr>
        <w:fldChar w:fldCharType="begin"/>
      </w:r>
      <w:r w:rsidR="007F76FC">
        <w:instrText xml:space="preserve"> XE "</w:instrText>
      </w:r>
      <w:r w:rsidR="007F76FC" w:rsidRPr="00AC2B24">
        <w:rPr>
          <w:rFonts w:ascii="Times New Roman" w:hAnsi="Times New Roman" w:cs="Times New Roman"/>
          <w:sz w:val="24"/>
          <w:szCs w:val="24"/>
        </w:rPr>
        <w:instrText>Le Grand</w:instrText>
      </w:r>
      <w:r w:rsidR="007F76FC">
        <w:instrText xml:space="preserve">" </w:instrText>
      </w:r>
      <w:r w:rsidR="007F76FC">
        <w:rPr>
          <w:rFonts w:ascii="Times New Roman" w:hAnsi="Times New Roman" w:cs="Times New Roman"/>
          <w:sz w:val="24"/>
          <w:szCs w:val="24"/>
        </w:rPr>
        <w:fldChar w:fldCharType="end"/>
      </w:r>
      <w:r w:rsidRPr="00D76399">
        <w:rPr>
          <w:rFonts w:ascii="Times New Roman" w:hAnsi="Times New Roman" w:cs="Times New Roman"/>
          <w:sz w:val="24"/>
          <w:szCs w:val="24"/>
        </w:rPr>
        <w:t xml:space="preserve">’s </w:t>
      </w:r>
      <w:r w:rsidR="00E538A0">
        <w:rPr>
          <w:rFonts w:ascii="Times New Roman" w:hAnsi="Times New Roman" w:cs="Times New Roman"/>
          <w:sz w:val="24"/>
          <w:szCs w:val="24"/>
        </w:rPr>
        <w:t>summary of recent evidence</w:t>
      </w:r>
      <w:r w:rsidRPr="00D76399">
        <w:rPr>
          <w:rFonts w:ascii="Times New Roman" w:hAnsi="Times New Roman" w:cs="Times New Roman"/>
          <w:sz w:val="24"/>
          <w:szCs w:val="24"/>
        </w:rPr>
        <w:t xml:space="preserve"> implies that some, at least, of the quality improvement is due to greater competition between health service providers (2007). It is unclear whether productivity in the private sector is greater or lower than i</w:t>
      </w:r>
      <w:r w:rsidR="00E538A0">
        <w:rPr>
          <w:rFonts w:ascii="Times New Roman" w:hAnsi="Times New Roman" w:cs="Times New Roman"/>
          <w:sz w:val="24"/>
          <w:szCs w:val="24"/>
        </w:rPr>
        <w:t>n the public sector (Jurd 2011), and how far gains from privatisation</w:t>
      </w:r>
      <w:r w:rsidR="005E0406">
        <w:rPr>
          <w:rFonts w:ascii="Times New Roman" w:hAnsi="Times New Roman" w:cs="Times New Roman"/>
          <w:sz w:val="24"/>
          <w:szCs w:val="24"/>
        </w:rPr>
        <w:fldChar w:fldCharType="begin"/>
      </w:r>
      <w:r w:rsidR="000D1551">
        <w:instrText xml:space="preserve"> XE "</w:instrText>
      </w:r>
      <w:r w:rsidR="000D1551" w:rsidRPr="005379CD">
        <w:rPr>
          <w:rFonts w:ascii="Times New Roman" w:hAnsi="Times New Roman" w:cs="Times New Roman"/>
          <w:sz w:val="24"/>
          <w:szCs w:val="24"/>
        </w:rPr>
        <w:instrText>privatisation</w:instrText>
      </w:r>
      <w:r w:rsidR="000D1551">
        <w:instrText xml:space="preserve">" </w:instrText>
      </w:r>
      <w:r w:rsidR="005E0406">
        <w:rPr>
          <w:rFonts w:ascii="Times New Roman" w:hAnsi="Times New Roman" w:cs="Times New Roman"/>
          <w:sz w:val="24"/>
          <w:szCs w:val="24"/>
        </w:rPr>
        <w:fldChar w:fldCharType="end"/>
      </w:r>
      <w:r w:rsidR="00E538A0">
        <w:rPr>
          <w:rFonts w:ascii="Times New Roman" w:hAnsi="Times New Roman" w:cs="Times New Roman"/>
          <w:sz w:val="24"/>
          <w:szCs w:val="24"/>
        </w:rPr>
        <w:t xml:space="preserve"> result from changes such as a shift to non-unionised labour that cannot be repeated over time.</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The overall picture is inconclusive but carries a strong suggestion that productivity improvements in the main welfare state services are much harder to achieve than in the private non-welfare sector, where annual productivity rises are normal and average just over two per cent a year for the whole period between 1990 and 2011, including the first recession (OECD</w:t>
      </w:r>
      <w:r w:rsidR="007F76FC">
        <w:rPr>
          <w:rFonts w:ascii="Times New Roman" w:hAnsi="Times New Roman" w:cs="Times New Roman"/>
          <w:sz w:val="24"/>
          <w:szCs w:val="24"/>
        </w:rPr>
        <w:fldChar w:fldCharType="begin"/>
      </w:r>
      <w:r w:rsidR="007F76FC">
        <w:instrText xml:space="preserve"> XE "</w:instrText>
      </w:r>
      <w:r w:rsidR="007F76FC" w:rsidRPr="00B022E7">
        <w:rPr>
          <w:rFonts w:ascii="Times New Roman" w:hAnsi="Times New Roman" w:cs="Times New Roman"/>
          <w:sz w:val="24"/>
          <w:szCs w:val="24"/>
        </w:rPr>
        <w:instrText>OECD</w:instrText>
      </w:r>
      <w:r w:rsidR="007F76FC">
        <w:instrText xml:space="preserve">" </w:instrText>
      </w:r>
      <w:r w:rsidR="007F76FC">
        <w:rPr>
          <w:rFonts w:ascii="Times New Roman" w:hAnsi="Times New Roman" w:cs="Times New Roman"/>
          <w:sz w:val="24"/>
          <w:szCs w:val="24"/>
        </w:rPr>
        <w:fldChar w:fldCharType="end"/>
      </w:r>
      <w:r w:rsidRPr="00D76399">
        <w:rPr>
          <w:rFonts w:ascii="Times New Roman" w:hAnsi="Times New Roman" w:cs="Times New Roman"/>
          <w:sz w:val="24"/>
          <w:szCs w:val="24"/>
        </w:rPr>
        <w:t xml:space="preserve"> 2012</w:t>
      </w:r>
      <w:r w:rsidR="00D4374C">
        <w:rPr>
          <w:rFonts w:ascii="Times New Roman" w:hAnsi="Times New Roman" w:cs="Times New Roman"/>
          <w:sz w:val="24"/>
          <w:szCs w:val="24"/>
        </w:rPr>
        <w:t>a</w:t>
      </w:r>
      <w:r w:rsidRPr="00D76399">
        <w:rPr>
          <w:rFonts w:ascii="Times New Roman" w:hAnsi="Times New Roman" w:cs="Times New Roman"/>
          <w:sz w:val="24"/>
          <w:szCs w:val="24"/>
        </w:rPr>
        <w:t xml:space="preserve">). This matters: if the state sector does not make productivity gains </w:t>
      </w:r>
      <w:r w:rsidR="00926D8B">
        <w:rPr>
          <w:rFonts w:ascii="Times New Roman" w:hAnsi="Times New Roman" w:cs="Times New Roman"/>
          <w:sz w:val="24"/>
          <w:szCs w:val="24"/>
        </w:rPr>
        <w:t>at the same rate as the</w:t>
      </w:r>
      <w:r w:rsidRPr="00D76399">
        <w:rPr>
          <w:rFonts w:ascii="Times New Roman" w:hAnsi="Times New Roman" w:cs="Times New Roman"/>
          <w:sz w:val="24"/>
          <w:szCs w:val="24"/>
        </w:rPr>
        <w:t xml:space="preserve"> private sector but wants </w:t>
      </w:r>
      <w:r w:rsidR="00926D8B">
        <w:rPr>
          <w:rFonts w:ascii="Times New Roman" w:hAnsi="Times New Roman" w:cs="Times New Roman"/>
          <w:sz w:val="24"/>
          <w:szCs w:val="24"/>
        </w:rPr>
        <w:t>similar pay rises</w:t>
      </w:r>
      <w:r w:rsidRPr="00D76399">
        <w:rPr>
          <w:rFonts w:ascii="Times New Roman" w:hAnsi="Times New Roman" w:cs="Times New Roman"/>
          <w:sz w:val="24"/>
          <w:szCs w:val="24"/>
        </w:rPr>
        <w:t xml:space="preserve"> it must find ways to reduce costs</w:t>
      </w:r>
      <w:r w:rsidR="00DA6C07">
        <w:rPr>
          <w:rFonts w:ascii="Times New Roman" w:hAnsi="Times New Roman" w:cs="Times New Roman"/>
          <w:sz w:val="24"/>
          <w:szCs w:val="24"/>
        </w:rPr>
        <w:t xml:space="preserve"> or spend more money</w:t>
      </w:r>
      <w:r w:rsidR="00926D8B">
        <w:rPr>
          <w:rFonts w:ascii="Times New Roman" w:hAnsi="Times New Roman" w:cs="Times New Roman"/>
          <w:sz w:val="24"/>
          <w:szCs w:val="24"/>
        </w:rPr>
        <w:t xml:space="preserve"> each year</w:t>
      </w:r>
      <w:r w:rsidRPr="00D76399">
        <w:rPr>
          <w:rFonts w:ascii="Times New Roman" w:hAnsi="Times New Roman" w:cs="Times New Roman"/>
          <w:sz w:val="24"/>
          <w:szCs w:val="24"/>
        </w:rPr>
        <w:t>. By way of illustration, the Office for Budgetary Responsibility in its projections estimates the impact on health care costs of differences in productivity. If productivity in health care matches that in the rest of the economy, overall costs will grow steadily from about six per cent of GDP in 2016-17 to about nine per cent by 2061-2, mainly as a result of demographic shifts. This is a real but manageable pressure. If productivity fails to improve, costs inch up to 10 per cent of GDP by 20131-2, nearly 15 per cent by 2041-2 and to 24 per cent by the end of the period (OBR</w:t>
      </w:r>
      <w:r w:rsidR="00D553FF">
        <w:rPr>
          <w:rFonts w:ascii="Times New Roman" w:hAnsi="Times New Roman" w:cs="Times New Roman"/>
          <w:sz w:val="24"/>
          <w:szCs w:val="24"/>
        </w:rPr>
        <w:fldChar w:fldCharType="begin"/>
      </w:r>
      <w:r w:rsidR="00D553FF">
        <w:instrText xml:space="preserve"> XE "</w:instrText>
      </w:r>
      <w:r w:rsidR="00D553FF" w:rsidRPr="006011C3">
        <w:rPr>
          <w:rFonts w:ascii="Times New Roman" w:hAnsi="Times New Roman" w:cs="Times New Roman"/>
          <w:sz w:val="24"/>
          <w:szCs w:val="24"/>
        </w:rPr>
        <w:instrText>OBR</w:instrText>
      </w:r>
      <w:r w:rsidR="00D553FF">
        <w:instrText xml:space="preserve">" </w:instrText>
      </w:r>
      <w:r w:rsidR="00D553FF">
        <w:rPr>
          <w:rFonts w:ascii="Times New Roman" w:hAnsi="Times New Roman" w:cs="Times New Roman"/>
          <w:sz w:val="24"/>
          <w:szCs w:val="24"/>
        </w:rPr>
        <w:fldChar w:fldCharType="end"/>
      </w:r>
      <w:r w:rsidRPr="00D76399">
        <w:rPr>
          <w:rFonts w:ascii="Times New Roman" w:hAnsi="Times New Roman" w:cs="Times New Roman"/>
          <w:sz w:val="24"/>
          <w:szCs w:val="24"/>
        </w:rPr>
        <w:t xml:space="preserve"> 201</w:t>
      </w:r>
      <w:r w:rsidR="00C11044">
        <w:rPr>
          <w:rFonts w:ascii="Times New Roman" w:hAnsi="Times New Roman" w:cs="Times New Roman"/>
          <w:sz w:val="24"/>
          <w:szCs w:val="24"/>
        </w:rPr>
        <w:t>2c</w:t>
      </w:r>
      <w:r w:rsidRPr="00D76399">
        <w:rPr>
          <w:rFonts w:ascii="Times New Roman" w:hAnsi="Times New Roman" w:cs="Times New Roman"/>
          <w:sz w:val="24"/>
          <w:szCs w:val="24"/>
        </w:rPr>
        <w:t xml:space="preserve">, Chart b5). To shift from six per cent of GDP to nearly </w:t>
      </w:r>
      <w:r w:rsidR="001952E4">
        <w:rPr>
          <w:rFonts w:ascii="Times New Roman" w:hAnsi="Times New Roman" w:cs="Times New Roman"/>
          <w:sz w:val="24"/>
          <w:szCs w:val="24"/>
        </w:rPr>
        <w:t>25 per cent</w:t>
      </w:r>
      <w:r w:rsidRPr="00D76399">
        <w:rPr>
          <w:rFonts w:ascii="Times New Roman" w:hAnsi="Times New Roman" w:cs="Times New Roman"/>
          <w:sz w:val="24"/>
          <w:szCs w:val="24"/>
        </w:rPr>
        <w:t xml:space="preserve"> on health care would have major consequences for the rest of social spending and for the economy as a whole. However, experience indicates that the most stringent efforts can do little more than hold productivity constant.</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b/>
          <w:i/>
          <w:sz w:val="24"/>
          <w:szCs w:val="24"/>
        </w:rPr>
        <w:t>Social changes: family structure, standards</w:t>
      </w:r>
      <w:r w:rsidR="00EB3B45">
        <w:rPr>
          <w:rFonts w:ascii="Times New Roman" w:hAnsi="Times New Roman" w:cs="Times New Roman"/>
          <w:b/>
          <w:i/>
          <w:sz w:val="24"/>
          <w:szCs w:val="24"/>
        </w:rPr>
        <w:t xml:space="preserve"> and expectations</w:t>
      </w:r>
      <w:r w:rsidR="005E0406">
        <w:rPr>
          <w:rFonts w:ascii="Times New Roman" w:hAnsi="Times New Roman" w:cs="Times New Roman"/>
          <w:b/>
          <w:i/>
          <w:sz w:val="24"/>
          <w:szCs w:val="24"/>
        </w:rPr>
        <w:fldChar w:fldCharType="begin"/>
      </w:r>
      <w:r w:rsidR="000D1551">
        <w:instrText xml:space="preserve"> XE "</w:instrText>
      </w:r>
      <w:r w:rsidR="000D1551" w:rsidRPr="007940D8">
        <w:rPr>
          <w:rFonts w:ascii="Times New Roman" w:hAnsi="Times New Roman" w:cs="Times New Roman"/>
          <w:sz w:val="24"/>
          <w:szCs w:val="24"/>
        </w:rPr>
        <w:instrText>expectations</w:instrText>
      </w:r>
      <w:r w:rsidR="000D1551">
        <w:instrText xml:space="preserve">" </w:instrText>
      </w:r>
      <w:r w:rsidR="005E0406">
        <w:rPr>
          <w:rFonts w:ascii="Times New Roman" w:hAnsi="Times New Roman" w:cs="Times New Roman"/>
          <w:b/>
          <w:i/>
          <w:sz w:val="24"/>
          <w:szCs w:val="24"/>
        </w:rPr>
        <w:fldChar w:fldCharType="end"/>
      </w:r>
      <w:r w:rsidRPr="00D76399">
        <w:rPr>
          <w:rFonts w:ascii="Times New Roman" w:hAnsi="Times New Roman" w:cs="Times New Roman"/>
          <w:b/>
          <w:i/>
          <w:sz w:val="24"/>
          <w:szCs w:val="24"/>
        </w:rPr>
        <w:t xml:space="preserve">: </w:t>
      </w:r>
      <w:r w:rsidRPr="00D76399">
        <w:rPr>
          <w:rFonts w:ascii="Times New Roman" w:hAnsi="Times New Roman" w:cs="Times New Roman"/>
          <w:sz w:val="24"/>
          <w:szCs w:val="24"/>
        </w:rPr>
        <w:t>some of the other factors likely to influence public spending</w:t>
      </w:r>
      <w:r w:rsidR="005B2DCA">
        <w:rPr>
          <w:rFonts w:ascii="Times New Roman" w:hAnsi="Times New Roman" w:cs="Times New Roman"/>
          <w:sz w:val="24"/>
          <w:szCs w:val="24"/>
        </w:rPr>
        <w:fldChar w:fldCharType="begin"/>
      </w:r>
      <w:r w:rsidR="005B2DCA">
        <w:instrText xml:space="preserve"> XE "</w:instrText>
      </w:r>
      <w:r w:rsidR="005B2DCA" w:rsidRPr="00BA6EC2">
        <w:rPr>
          <w:rFonts w:ascii="Times New Roman" w:hAnsi="Times New Roman" w:cs="Times New Roman"/>
          <w:sz w:val="24"/>
          <w:szCs w:val="24"/>
        </w:rPr>
        <w:instrText>public spending</w:instrText>
      </w:r>
      <w:r w:rsidR="005B2DCA">
        <w:instrText xml:space="preserve">" </w:instrText>
      </w:r>
      <w:r w:rsidR="005B2DCA">
        <w:rPr>
          <w:rFonts w:ascii="Times New Roman" w:hAnsi="Times New Roman" w:cs="Times New Roman"/>
          <w:sz w:val="24"/>
          <w:szCs w:val="24"/>
        </w:rPr>
        <w:fldChar w:fldCharType="end"/>
      </w:r>
      <w:r w:rsidRPr="00D76399">
        <w:rPr>
          <w:rFonts w:ascii="Times New Roman" w:hAnsi="Times New Roman" w:cs="Times New Roman"/>
          <w:sz w:val="24"/>
          <w:szCs w:val="24"/>
        </w:rPr>
        <w:t xml:space="preserve"> are also difficult to quantify. These include: changes in family structure, which will probably increase the proportion of people in paid work, but also affect demand for accommodation and reduce the amount of informal family care available; </w:t>
      </w:r>
      <w:r w:rsidR="00EB3B45">
        <w:rPr>
          <w:rFonts w:ascii="Times New Roman" w:hAnsi="Times New Roman" w:cs="Times New Roman"/>
          <w:sz w:val="24"/>
          <w:szCs w:val="24"/>
        </w:rPr>
        <w:t xml:space="preserve">and </w:t>
      </w:r>
      <w:r w:rsidRPr="00D76399">
        <w:rPr>
          <w:rFonts w:ascii="Times New Roman" w:hAnsi="Times New Roman" w:cs="Times New Roman"/>
          <w:sz w:val="24"/>
          <w:szCs w:val="24"/>
        </w:rPr>
        <w:t>the demands that people make for higher standards in public services as they become</w:t>
      </w:r>
      <w:r w:rsidR="00926D8B">
        <w:rPr>
          <w:rFonts w:ascii="Times New Roman" w:hAnsi="Times New Roman" w:cs="Times New Roman"/>
          <w:sz w:val="24"/>
          <w:szCs w:val="24"/>
        </w:rPr>
        <w:t xml:space="preserve"> increasingly</w:t>
      </w:r>
      <w:r w:rsidRPr="00D76399">
        <w:rPr>
          <w:rFonts w:ascii="Times New Roman" w:hAnsi="Times New Roman" w:cs="Times New Roman"/>
          <w:sz w:val="24"/>
          <w:szCs w:val="24"/>
        </w:rPr>
        <w:t xml:space="preserve"> aware of what is technically available</w:t>
      </w:r>
      <w:r w:rsidR="00EB3B45">
        <w:rPr>
          <w:rFonts w:ascii="Times New Roman" w:hAnsi="Times New Roman" w:cs="Times New Roman"/>
          <w:sz w:val="24"/>
          <w:szCs w:val="24"/>
        </w:rPr>
        <w:t xml:space="preserve"> or is provided elsewhere.</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b/>
          <w:i/>
          <w:sz w:val="24"/>
          <w:szCs w:val="24"/>
        </w:rPr>
        <w:t>Family structure</w:t>
      </w:r>
      <w:r w:rsidR="00445D6D">
        <w:rPr>
          <w:rFonts w:ascii="Times New Roman" w:hAnsi="Times New Roman" w:cs="Times New Roman"/>
          <w:b/>
          <w:i/>
          <w:sz w:val="24"/>
          <w:szCs w:val="24"/>
        </w:rPr>
        <w:t>:</w:t>
      </w:r>
      <w:r w:rsidRPr="00445D6D">
        <w:rPr>
          <w:rFonts w:ascii="Times New Roman" w:hAnsi="Times New Roman" w:cs="Times New Roman"/>
          <w:sz w:val="24"/>
          <w:szCs w:val="24"/>
        </w:rPr>
        <w:t xml:space="preserve"> </w:t>
      </w:r>
      <w:r w:rsidR="00445D6D" w:rsidRPr="00445D6D">
        <w:rPr>
          <w:rFonts w:ascii="Times New Roman" w:hAnsi="Times New Roman" w:cs="Times New Roman"/>
          <w:sz w:val="24"/>
          <w:szCs w:val="24"/>
        </w:rPr>
        <w:t xml:space="preserve">the </w:t>
      </w:r>
      <w:r w:rsidR="00880AC3">
        <w:rPr>
          <w:rFonts w:ascii="Times New Roman" w:hAnsi="Times New Roman" w:cs="Times New Roman"/>
          <w:sz w:val="24"/>
          <w:szCs w:val="24"/>
        </w:rPr>
        <w:t xml:space="preserve">rising </w:t>
      </w:r>
      <w:r w:rsidR="00445D6D">
        <w:rPr>
          <w:rFonts w:ascii="Times New Roman" w:hAnsi="Times New Roman" w:cs="Times New Roman"/>
          <w:sz w:val="24"/>
          <w:szCs w:val="24"/>
        </w:rPr>
        <w:t xml:space="preserve">pressure on housing </w:t>
      </w:r>
      <w:r w:rsidR="00880AC3">
        <w:rPr>
          <w:rFonts w:ascii="Times New Roman" w:hAnsi="Times New Roman" w:cs="Times New Roman"/>
          <w:sz w:val="24"/>
          <w:szCs w:val="24"/>
        </w:rPr>
        <w:t>as the number of households increases has</w:t>
      </w:r>
      <w:r w:rsidR="00445D6D">
        <w:rPr>
          <w:rFonts w:ascii="Times New Roman" w:hAnsi="Times New Roman" w:cs="Times New Roman"/>
          <w:sz w:val="24"/>
          <w:szCs w:val="24"/>
        </w:rPr>
        <w:t xml:space="preserve"> already been discussed</w:t>
      </w:r>
      <w:r w:rsidR="00445D6D" w:rsidRPr="00445D6D">
        <w:rPr>
          <w:rFonts w:ascii="Times New Roman" w:hAnsi="Times New Roman" w:cs="Times New Roman"/>
          <w:sz w:val="24"/>
          <w:szCs w:val="24"/>
        </w:rPr>
        <w:t>.</w:t>
      </w:r>
      <w:r w:rsidR="00445D6D">
        <w:rPr>
          <w:rFonts w:ascii="Times New Roman" w:hAnsi="Times New Roman" w:cs="Times New Roman"/>
          <w:i/>
          <w:sz w:val="24"/>
          <w:szCs w:val="24"/>
        </w:rPr>
        <w:t xml:space="preserve"> </w:t>
      </w:r>
      <w:r w:rsidRPr="00D76399">
        <w:rPr>
          <w:rFonts w:ascii="Times New Roman" w:hAnsi="Times New Roman" w:cs="Times New Roman"/>
          <w:sz w:val="24"/>
          <w:szCs w:val="24"/>
        </w:rPr>
        <w:t>At the same time gender</w:t>
      </w:r>
      <w:r w:rsidR="00367790">
        <w:rPr>
          <w:rFonts w:ascii="Times New Roman" w:hAnsi="Times New Roman" w:cs="Times New Roman"/>
          <w:sz w:val="24"/>
          <w:szCs w:val="24"/>
        </w:rPr>
        <w:fldChar w:fldCharType="begin"/>
      </w:r>
      <w:r w:rsidR="00367790">
        <w:instrText xml:space="preserve"> XE "</w:instrText>
      </w:r>
      <w:r w:rsidR="00367790" w:rsidRPr="00132C03">
        <w:rPr>
          <w:rFonts w:ascii="Times New Roman" w:hAnsi="Times New Roman" w:cs="Times New Roman"/>
          <w:sz w:val="24"/>
          <w:szCs w:val="24"/>
        </w:rPr>
        <w:instrText>gender</w:instrText>
      </w:r>
      <w:r w:rsidR="00367790">
        <w:instrText xml:space="preserve">" </w:instrText>
      </w:r>
      <w:r w:rsidR="00367790">
        <w:rPr>
          <w:rFonts w:ascii="Times New Roman" w:hAnsi="Times New Roman" w:cs="Times New Roman"/>
          <w:sz w:val="24"/>
          <w:szCs w:val="24"/>
        </w:rPr>
        <w:fldChar w:fldCharType="end"/>
      </w:r>
      <w:r w:rsidRPr="00D76399">
        <w:rPr>
          <w:rFonts w:ascii="Times New Roman" w:hAnsi="Times New Roman" w:cs="Times New Roman"/>
          <w:sz w:val="24"/>
          <w:szCs w:val="24"/>
        </w:rPr>
        <w:t xml:space="preserve"> roles are changing. The numbers of women</w:t>
      </w:r>
      <w:r w:rsidR="004152F7">
        <w:rPr>
          <w:rFonts w:ascii="Times New Roman" w:hAnsi="Times New Roman" w:cs="Times New Roman"/>
          <w:sz w:val="24"/>
          <w:szCs w:val="24"/>
        </w:rPr>
        <w:fldChar w:fldCharType="begin"/>
      </w:r>
      <w:r w:rsidR="004152F7">
        <w:instrText xml:space="preserve"> XE "</w:instrText>
      </w:r>
      <w:r w:rsidR="004152F7" w:rsidRPr="00DE5978">
        <w:rPr>
          <w:rFonts w:ascii="Times New Roman" w:hAnsi="Times New Roman" w:cs="Times New Roman"/>
          <w:sz w:val="24"/>
          <w:szCs w:val="24"/>
        </w:rPr>
        <w:instrText>women</w:instrText>
      </w:r>
      <w:r w:rsidR="004152F7">
        <w:instrText xml:space="preserve">" </w:instrText>
      </w:r>
      <w:r w:rsidR="004152F7">
        <w:rPr>
          <w:rFonts w:ascii="Times New Roman" w:hAnsi="Times New Roman" w:cs="Times New Roman"/>
          <w:sz w:val="24"/>
          <w:szCs w:val="24"/>
        </w:rPr>
        <w:fldChar w:fldCharType="end"/>
      </w:r>
      <w:r w:rsidRPr="00D76399">
        <w:rPr>
          <w:rFonts w:ascii="Times New Roman" w:hAnsi="Times New Roman" w:cs="Times New Roman"/>
          <w:sz w:val="24"/>
          <w:szCs w:val="24"/>
        </w:rPr>
        <w:t xml:space="preserve"> in work and the numbers who combine work with </w:t>
      </w:r>
      <w:r w:rsidR="000A1D3D">
        <w:rPr>
          <w:rFonts w:ascii="Times New Roman" w:hAnsi="Times New Roman" w:cs="Times New Roman"/>
          <w:sz w:val="24"/>
          <w:szCs w:val="24"/>
        </w:rPr>
        <w:t>childcare</w:t>
      </w:r>
      <w:r w:rsidRPr="00D76399">
        <w:rPr>
          <w:rFonts w:ascii="Times New Roman" w:hAnsi="Times New Roman" w:cs="Times New Roman"/>
          <w:sz w:val="24"/>
          <w:szCs w:val="24"/>
        </w:rPr>
        <w:t xml:space="preserve"> have risen steadily. The proportion of men in paid work fell from 95 to 83 per cent between 1971 and 2011, while that of women rose from 56 to 7</w:t>
      </w:r>
      <w:r w:rsidR="00880AC3">
        <w:rPr>
          <w:rFonts w:ascii="Times New Roman" w:hAnsi="Times New Roman" w:cs="Times New Roman"/>
          <w:sz w:val="24"/>
          <w:szCs w:val="24"/>
        </w:rPr>
        <w:t>0</w:t>
      </w:r>
      <w:r w:rsidRPr="00D76399">
        <w:rPr>
          <w:rFonts w:ascii="Times New Roman" w:hAnsi="Times New Roman" w:cs="Times New Roman"/>
          <w:sz w:val="24"/>
          <w:szCs w:val="24"/>
        </w:rPr>
        <w:t xml:space="preserve"> per cent. </w:t>
      </w:r>
      <w:r w:rsidR="00E538A0">
        <w:rPr>
          <w:rFonts w:ascii="Times New Roman" w:hAnsi="Times New Roman" w:cs="Times New Roman"/>
          <w:sz w:val="24"/>
          <w:szCs w:val="24"/>
        </w:rPr>
        <w:t>Seventy-one</w:t>
      </w:r>
      <w:r w:rsidRPr="00D76399">
        <w:rPr>
          <w:rFonts w:ascii="Times New Roman" w:hAnsi="Times New Roman" w:cs="Times New Roman"/>
          <w:sz w:val="24"/>
          <w:szCs w:val="24"/>
        </w:rPr>
        <w:t xml:space="preserve"> per cent of mothers with dependent children were in paid work by 20</w:t>
      </w:r>
      <w:r w:rsidR="00926D8B">
        <w:rPr>
          <w:rFonts w:ascii="Times New Roman" w:hAnsi="Times New Roman" w:cs="Times New Roman"/>
          <w:sz w:val="24"/>
          <w:szCs w:val="24"/>
        </w:rPr>
        <w:t xml:space="preserve">11, up from 66 per cent in 1996, </w:t>
      </w:r>
      <w:r w:rsidRPr="00D76399">
        <w:rPr>
          <w:rFonts w:ascii="Times New Roman" w:hAnsi="Times New Roman" w:cs="Times New Roman"/>
          <w:sz w:val="24"/>
          <w:szCs w:val="24"/>
        </w:rPr>
        <w:t>against 90 per cent of fathers in both years (ONS 2012c).</w:t>
      </w:r>
      <w:r w:rsidR="00E83547">
        <w:rPr>
          <w:rFonts w:ascii="Times New Roman" w:hAnsi="Times New Roman" w:cs="Times New Roman"/>
          <w:sz w:val="24"/>
          <w:szCs w:val="24"/>
        </w:rPr>
        <w:t xml:space="preserve"> </w:t>
      </w:r>
      <w:r w:rsidRPr="00D76399">
        <w:rPr>
          <w:rFonts w:ascii="Times New Roman" w:hAnsi="Times New Roman" w:cs="Times New Roman"/>
          <w:sz w:val="24"/>
          <w:szCs w:val="24"/>
        </w:rPr>
        <w:t xml:space="preserve">Current benefit reforms will withdraw benefits from </w:t>
      </w:r>
      <w:r w:rsidRPr="00D76399">
        <w:rPr>
          <w:rFonts w:ascii="Times New Roman" w:hAnsi="Times New Roman" w:cs="Times New Roman"/>
          <w:sz w:val="24"/>
          <w:szCs w:val="24"/>
        </w:rPr>
        <w:lastRenderedPageBreak/>
        <w:t xml:space="preserve">mothers of school age children, increasing work incentives for this group at the same time as cuts to </w:t>
      </w:r>
      <w:r w:rsidR="000A1D3D">
        <w:rPr>
          <w:rFonts w:ascii="Times New Roman" w:hAnsi="Times New Roman" w:cs="Times New Roman"/>
          <w:sz w:val="24"/>
          <w:szCs w:val="24"/>
        </w:rPr>
        <w:t>childcare</w:t>
      </w:r>
      <w:r w:rsidRPr="00D76399">
        <w:rPr>
          <w:rFonts w:ascii="Times New Roman" w:hAnsi="Times New Roman" w:cs="Times New Roman"/>
          <w:sz w:val="24"/>
          <w:szCs w:val="24"/>
        </w:rPr>
        <w:t xml:space="preserve"> support and other services make it more difficult for mothers to pursue </w:t>
      </w:r>
      <w:r w:rsidR="001952E4">
        <w:rPr>
          <w:rFonts w:ascii="Times New Roman" w:hAnsi="Times New Roman" w:cs="Times New Roman"/>
          <w:sz w:val="24"/>
          <w:szCs w:val="24"/>
        </w:rPr>
        <w:t>employment</w:t>
      </w:r>
      <w:r w:rsidRPr="00D76399">
        <w:rPr>
          <w:rFonts w:ascii="Times New Roman" w:hAnsi="Times New Roman" w:cs="Times New Roman"/>
          <w:sz w:val="24"/>
          <w:szCs w:val="24"/>
        </w:rPr>
        <w:t>.</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b/>
          <w:i/>
          <w:sz w:val="24"/>
          <w:szCs w:val="24"/>
        </w:rPr>
        <w:t>Standard</w:t>
      </w:r>
      <w:r w:rsidR="005E0406">
        <w:rPr>
          <w:rFonts w:ascii="Times New Roman" w:hAnsi="Times New Roman" w:cs="Times New Roman"/>
          <w:b/>
          <w:i/>
          <w:sz w:val="24"/>
          <w:szCs w:val="24"/>
        </w:rPr>
        <w:fldChar w:fldCharType="begin"/>
      </w:r>
      <w:r w:rsidR="000D1551">
        <w:instrText xml:space="preserve"> XE "</w:instrText>
      </w:r>
      <w:r w:rsidR="000D1551" w:rsidRPr="00E733AD">
        <w:rPr>
          <w:rFonts w:ascii="Times New Roman" w:hAnsi="Times New Roman" w:cs="Times New Roman"/>
          <w:sz w:val="24"/>
          <w:szCs w:val="24"/>
        </w:rPr>
        <w:instrText>standards</w:instrText>
      </w:r>
      <w:r w:rsidR="000D1551">
        <w:instrText xml:space="preserve">" </w:instrText>
      </w:r>
      <w:r w:rsidR="005E0406">
        <w:rPr>
          <w:rFonts w:ascii="Times New Roman" w:hAnsi="Times New Roman" w:cs="Times New Roman"/>
          <w:b/>
          <w:i/>
          <w:sz w:val="24"/>
          <w:szCs w:val="24"/>
        </w:rPr>
        <w:fldChar w:fldCharType="end"/>
      </w:r>
      <w:r w:rsidRPr="00D76399">
        <w:rPr>
          <w:rFonts w:ascii="Times New Roman" w:hAnsi="Times New Roman" w:cs="Times New Roman"/>
          <w:b/>
          <w:i/>
          <w:sz w:val="24"/>
          <w:szCs w:val="24"/>
        </w:rPr>
        <w:t xml:space="preserve">s in public services </w:t>
      </w:r>
      <w:r w:rsidRPr="00D76399">
        <w:rPr>
          <w:rFonts w:ascii="Times New Roman" w:hAnsi="Times New Roman" w:cs="Times New Roman"/>
          <w:sz w:val="24"/>
          <w:szCs w:val="24"/>
        </w:rPr>
        <w:t xml:space="preserve">raise complex issues. </w:t>
      </w:r>
      <w:r w:rsidR="00474ADA">
        <w:rPr>
          <w:rFonts w:ascii="Times New Roman" w:hAnsi="Times New Roman" w:cs="Times New Roman"/>
          <w:sz w:val="24"/>
          <w:szCs w:val="24"/>
        </w:rPr>
        <w:t>S</w:t>
      </w:r>
      <w:r w:rsidRPr="00D76399">
        <w:rPr>
          <w:rFonts w:ascii="Times New Roman" w:hAnsi="Times New Roman" w:cs="Times New Roman"/>
          <w:sz w:val="24"/>
          <w:szCs w:val="24"/>
        </w:rPr>
        <w:t xml:space="preserve">ociety </w:t>
      </w:r>
      <w:r w:rsidR="00474ADA">
        <w:rPr>
          <w:rFonts w:ascii="Times New Roman" w:hAnsi="Times New Roman" w:cs="Times New Roman"/>
          <w:sz w:val="24"/>
          <w:szCs w:val="24"/>
        </w:rPr>
        <w:t xml:space="preserve">has become </w:t>
      </w:r>
      <w:r w:rsidR="00474ADA" w:rsidRPr="00D76399">
        <w:rPr>
          <w:rFonts w:ascii="Times New Roman" w:hAnsi="Times New Roman" w:cs="Times New Roman"/>
          <w:sz w:val="24"/>
          <w:szCs w:val="24"/>
        </w:rPr>
        <w:t>more individualistic</w:t>
      </w:r>
      <w:r w:rsidR="00474ADA">
        <w:rPr>
          <w:rFonts w:ascii="Times New Roman" w:hAnsi="Times New Roman" w:cs="Times New Roman"/>
          <w:sz w:val="24"/>
          <w:szCs w:val="24"/>
        </w:rPr>
        <w:t>,</w:t>
      </w:r>
      <w:r w:rsidRPr="00D76399">
        <w:rPr>
          <w:rFonts w:ascii="Times New Roman" w:hAnsi="Times New Roman" w:cs="Times New Roman"/>
          <w:sz w:val="24"/>
          <w:szCs w:val="24"/>
        </w:rPr>
        <w:t xml:space="preserve"> people are typically better educated, feel that a greater range of opportunities should be open to them and are generally less deferential and more confident in their own judgements (Giddens</w:t>
      </w:r>
      <w:r w:rsidR="007F76FC">
        <w:rPr>
          <w:rFonts w:ascii="Times New Roman" w:hAnsi="Times New Roman" w:cs="Times New Roman"/>
          <w:sz w:val="24"/>
          <w:szCs w:val="24"/>
        </w:rPr>
        <w:fldChar w:fldCharType="begin"/>
      </w:r>
      <w:r w:rsidR="007F76FC">
        <w:instrText xml:space="preserve"> XE "</w:instrText>
      </w:r>
      <w:r w:rsidR="007F76FC" w:rsidRPr="00C42D2D">
        <w:rPr>
          <w:rFonts w:ascii="Times New Roman" w:hAnsi="Times New Roman" w:cs="Times New Roman"/>
          <w:sz w:val="24"/>
          <w:szCs w:val="24"/>
        </w:rPr>
        <w:instrText>Giddens</w:instrText>
      </w:r>
      <w:r w:rsidR="007F76FC">
        <w:instrText xml:space="preserve">" </w:instrText>
      </w:r>
      <w:r w:rsidR="007F76FC">
        <w:rPr>
          <w:rFonts w:ascii="Times New Roman" w:hAnsi="Times New Roman" w:cs="Times New Roman"/>
          <w:sz w:val="24"/>
          <w:szCs w:val="24"/>
        </w:rPr>
        <w:fldChar w:fldCharType="end"/>
      </w:r>
      <w:r w:rsidRPr="00D76399">
        <w:rPr>
          <w:rFonts w:ascii="Times New Roman" w:hAnsi="Times New Roman" w:cs="Times New Roman"/>
          <w:sz w:val="24"/>
          <w:szCs w:val="24"/>
        </w:rPr>
        <w:t xml:space="preserve"> 1995, ch.4). One result is a much greater awareness of attainable standards in such services as health care and education and a willingness to demand better provision. Two outcomes can be identified. First people experience treatment as consumers</w:t>
      </w:r>
      <w:r w:rsidR="0054482E">
        <w:rPr>
          <w:rFonts w:ascii="Times New Roman" w:hAnsi="Times New Roman" w:cs="Times New Roman"/>
          <w:sz w:val="24"/>
          <w:szCs w:val="24"/>
        </w:rPr>
        <w:fldChar w:fldCharType="begin"/>
      </w:r>
      <w:r w:rsidR="0054482E">
        <w:instrText xml:space="preserve"> XE "</w:instrText>
      </w:r>
      <w:r w:rsidR="0054482E" w:rsidRPr="00BE3846">
        <w:instrText>consumerism</w:instrText>
      </w:r>
      <w:r w:rsidR="0054482E">
        <w:instrText xml:space="preserve">" </w:instrText>
      </w:r>
      <w:r w:rsidR="0054482E">
        <w:rPr>
          <w:rFonts w:ascii="Times New Roman" w:hAnsi="Times New Roman" w:cs="Times New Roman"/>
          <w:sz w:val="24"/>
          <w:szCs w:val="24"/>
        </w:rPr>
        <w:fldChar w:fldCharType="end"/>
      </w:r>
      <w:r w:rsidR="0054482E">
        <w:rPr>
          <w:rFonts w:ascii="Times New Roman" w:hAnsi="Times New Roman" w:cs="Times New Roman"/>
          <w:sz w:val="24"/>
          <w:szCs w:val="24"/>
        </w:rPr>
        <w:t xml:space="preserve"> </w:t>
      </w:r>
      <w:r w:rsidRPr="00D76399">
        <w:rPr>
          <w:rFonts w:ascii="Times New Roman" w:hAnsi="Times New Roman" w:cs="Times New Roman"/>
          <w:sz w:val="24"/>
          <w:szCs w:val="24"/>
        </w:rPr>
        <w:t>rather than clients in the private sector an</w:t>
      </w:r>
      <w:r w:rsidR="00926D8B">
        <w:rPr>
          <w:rFonts w:ascii="Times New Roman" w:hAnsi="Times New Roman" w:cs="Times New Roman"/>
          <w:sz w:val="24"/>
          <w:szCs w:val="24"/>
        </w:rPr>
        <w:t>d increasingly expect the same when they use state services</w:t>
      </w:r>
      <w:r w:rsidRPr="00D76399">
        <w:rPr>
          <w:rFonts w:ascii="Times New Roman" w:hAnsi="Times New Roman" w:cs="Times New Roman"/>
          <w:sz w:val="24"/>
          <w:szCs w:val="24"/>
        </w:rPr>
        <w:t xml:space="preserve"> (Glennerster</w:t>
      </w:r>
      <w:r w:rsidR="007F76FC">
        <w:rPr>
          <w:rFonts w:ascii="Times New Roman" w:hAnsi="Times New Roman" w:cs="Times New Roman"/>
          <w:sz w:val="24"/>
          <w:szCs w:val="24"/>
        </w:rPr>
        <w:fldChar w:fldCharType="begin"/>
      </w:r>
      <w:r w:rsidR="007F76FC">
        <w:instrText xml:space="preserve"> XE "</w:instrText>
      </w:r>
      <w:r w:rsidR="007F76FC" w:rsidRPr="008D01E8">
        <w:rPr>
          <w:rFonts w:ascii="Times New Roman" w:hAnsi="Times New Roman" w:cs="Times New Roman"/>
          <w:sz w:val="24"/>
          <w:szCs w:val="24"/>
        </w:rPr>
        <w:instrText>Glennerster</w:instrText>
      </w:r>
      <w:r w:rsidR="007F76FC">
        <w:instrText xml:space="preserve">" </w:instrText>
      </w:r>
      <w:r w:rsidR="007F76FC">
        <w:rPr>
          <w:rFonts w:ascii="Times New Roman" w:hAnsi="Times New Roman" w:cs="Times New Roman"/>
          <w:sz w:val="24"/>
          <w:szCs w:val="24"/>
        </w:rPr>
        <w:fldChar w:fldCharType="end"/>
      </w:r>
      <w:r w:rsidRPr="00D76399">
        <w:rPr>
          <w:rFonts w:ascii="Times New Roman" w:hAnsi="Times New Roman" w:cs="Times New Roman"/>
          <w:sz w:val="24"/>
          <w:szCs w:val="24"/>
        </w:rPr>
        <w:t xml:space="preserve"> 2010). One result has been a move towards user choice in health and social care services and towards much greater personalisation in provision</w:t>
      </w:r>
      <w:r w:rsidR="00926D8B">
        <w:rPr>
          <w:rFonts w:ascii="Times New Roman" w:hAnsi="Times New Roman" w:cs="Times New Roman"/>
          <w:sz w:val="24"/>
          <w:szCs w:val="24"/>
        </w:rPr>
        <w:t xml:space="preserve"> (see chapter four)</w:t>
      </w:r>
      <w:r w:rsidRPr="00D76399">
        <w:rPr>
          <w:rFonts w:ascii="Times New Roman" w:hAnsi="Times New Roman" w:cs="Times New Roman"/>
          <w:sz w:val="24"/>
          <w:szCs w:val="24"/>
        </w:rPr>
        <w:t>. This has encouraged the development of personal budgeting</w:t>
      </w:r>
      <w:r w:rsidR="00E55001">
        <w:rPr>
          <w:rFonts w:ascii="Times New Roman" w:hAnsi="Times New Roman" w:cs="Times New Roman"/>
          <w:sz w:val="24"/>
          <w:szCs w:val="24"/>
        </w:rPr>
        <w:fldChar w:fldCharType="begin"/>
      </w:r>
      <w:r w:rsidR="00E55001">
        <w:instrText xml:space="preserve"> XE "</w:instrText>
      </w:r>
      <w:r w:rsidR="00E55001" w:rsidRPr="00223BD0">
        <w:rPr>
          <w:rFonts w:ascii="Times New Roman" w:hAnsi="Times New Roman" w:cs="Times New Roman"/>
          <w:sz w:val="24"/>
          <w:szCs w:val="24"/>
        </w:rPr>
        <w:instrText>personal budgeting</w:instrText>
      </w:r>
      <w:r w:rsidR="00E55001">
        <w:instrText xml:space="preserve">" </w:instrText>
      </w:r>
      <w:r w:rsidR="00E55001">
        <w:rPr>
          <w:rFonts w:ascii="Times New Roman" w:hAnsi="Times New Roman" w:cs="Times New Roman"/>
          <w:sz w:val="24"/>
          <w:szCs w:val="24"/>
        </w:rPr>
        <w:fldChar w:fldCharType="end"/>
      </w:r>
      <w:r w:rsidRPr="00D76399">
        <w:rPr>
          <w:rFonts w:ascii="Times New Roman" w:hAnsi="Times New Roman" w:cs="Times New Roman"/>
          <w:sz w:val="24"/>
          <w:szCs w:val="24"/>
        </w:rPr>
        <w:t xml:space="preserve"> where health and social care</w:t>
      </w:r>
      <w:r w:rsidR="002A7776">
        <w:rPr>
          <w:rFonts w:ascii="Times New Roman" w:hAnsi="Times New Roman" w:cs="Times New Roman"/>
          <w:sz w:val="24"/>
          <w:szCs w:val="24"/>
        </w:rPr>
        <w:fldChar w:fldCharType="begin"/>
      </w:r>
      <w:r w:rsidR="002A7776">
        <w:instrText xml:space="preserve"> XE "</w:instrText>
      </w:r>
      <w:r w:rsidR="002A7776" w:rsidRPr="00240A30">
        <w:rPr>
          <w:rFonts w:ascii="Times New Roman" w:hAnsi="Times New Roman" w:cs="Times New Roman"/>
          <w:sz w:val="24"/>
          <w:szCs w:val="24"/>
        </w:rPr>
        <w:instrText>social care</w:instrText>
      </w:r>
      <w:r w:rsidR="002A7776">
        <w:instrText xml:space="preserve">" </w:instrText>
      </w:r>
      <w:r w:rsidR="002A777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services may make available (within constraints) the relevant budget to individual user</w:t>
      </w:r>
      <w:r w:rsidR="00474ADA">
        <w:rPr>
          <w:rFonts w:ascii="Times New Roman" w:hAnsi="Times New Roman" w:cs="Times New Roman"/>
          <w:sz w:val="24"/>
          <w:szCs w:val="24"/>
        </w:rPr>
        <w:t>s</w:t>
      </w:r>
      <w:r w:rsidRPr="00D76399">
        <w:rPr>
          <w:rFonts w:ascii="Times New Roman" w:hAnsi="Times New Roman" w:cs="Times New Roman"/>
          <w:sz w:val="24"/>
          <w:szCs w:val="24"/>
        </w:rPr>
        <w:t>, who then decides how to spend the money to best meet their own needs (Glendinning</w:t>
      </w:r>
      <w:r w:rsidR="00E55001">
        <w:rPr>
          <w:rFonts w:ascii="Times New Roman" w:hAnsi="Times New Roman" w:cs="Times New Roman"/>
          <w:sz w:val="24"/>
          <w:szCs w:val="24"/>
        </w:rPr>
        <w:fldChar w:fldCharType="begin"/>
      </w:r>
      <w:r w:rsidR="00E55001">
        <w:instrText xml:space="preserve"> XE "</w:instrText>
      </w:r>
      <w:r w:rsidR="00E55001" w:rsidRPr="006471DA">
        <w:rPr>
          <w:rFonts w:ascii="Times New Roman" w:hAnsi="Times New Roman" w:cs="Times New Roman"/>
          <w:sz w:val="24"/>
          <w:szCs w:val="24"/>
        </w:rPr>
        <w:instrText>Glendinning</w:instrText>
      </w:r>
      <w:r w:rsidR="00E55001">
        <w:instrText xml:space="preserve">" </w:instrText>
      </w:r>
      <w:r w:rsidR="00E55001">
        <w:rPr>
          <w:rFonts w:ascii="Times New Roman" w:hAnsi="Times New Roman" w:cs="Times New Roman"/>
          <w:sz w:val="24"/>
          <w:szCs w:val="24"/>
        </w:rPr>
        <w:fldChar w:fldCharType="end"/>
      </w:r>
      <w:r w:rsidRPr="00D76399">
        <w:rPr>
          <w:rFonts w:ascii="Times New Roman" w:hAnsi="Times New Roman" w:cs="Times New Roman"/>
          <w:sz w:val="24"/>
          <w:szCs w:val="24"/>
        </w:rPr>
        <w:t xml:space="preserve"> </w:t>
      </w:r>
      <w:r w:rsidR="00131591" w:rsidRPr="00131591">
        <w:rPr>
          <w:rFonts w:ascii="Times New Roman" w:hAnsi="Times New Roman" w:cs="Times New Roman"/>
          <w:i/>
          <w:sz w:val="24"/>
          <w:szCs w:val="24"/>
        </w:rPr>
        <w:t>et al.</w:t>
      </w:r>
      <w:r w:rsidRPr="00D76399">
        <w:rPr>
          <w:rFonts w:ascii="Times New Roman" w:hAnsi="Times New Roman" w:cs="Times New Roman"/>
          <w:sz w:val="24"/>
          <w:szCs w:val="24"/>
        </w:rPr>
        <w:t xml:space="preserve"> 2009). If resources are constrained user</w:t>
      </w:r>
      <w:r w:rsidR="00474ADA">
        <w:rPr>
          <w:rFonts w:ascii="Times New Roman" w:hAnsi="Times New Roman" w:cs="Times New Roman"/>
          <w:sz w:val="24"/>
          <w:szCs w:val="24"/>
        </w:rPr>
        <w:t>s</w:t>
      </w:r>
      <w:r w:rsidRPr="00D76399">
        <w:rPr>
          <w:rFonts w:ascii="Times New Roman" w:hAnsi="Times New Roman" w:cs="Times New Roman"/>
          <w:sz w:val="24"/>
          <w:szCs w:val="24"/>
        </w:rPr>
        <w:t xml:space="preserve"> may end up supplementing payments from their own purse.</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Another development is much greater willingness for service users to pursue litigation</w:t>
      </w:r>
      <w:r w:rsidR="005E0406">
        <w:rPr>
          <w:rFonts w:ascii="Times New Roman" w:hAnsi="Times New Roman" w:cs="Times New Roman"/>
          <w:sz w:val="24"/>
          <w:szCs w:val="24"/>
        </w:rPr>
        <w:fldChar w:fldCharType="begin"/>
      </w:r>
      <w:r w:rsidR="008B01F8">
        <w:instrText xml:space="preserve"> XE "</w:instrText>
      </w:r>
      <w:r w:rsidR="008B01F8" w:rsidRPr="00A14971">
        <w:rPr>
          <w:rFonts w:ascii="Times New Roman" w:hAnsi="Times New Roman" w:cs="Times New Roman"/>
          <w:sz w:val="24"/>
          <w:szCs w:val="24"/>
        </w:rPr>
        <w:instrText>welfare state:</w:instrText>
      </w:r>
      <w:r w:rsidR="008B01F8" w:rsidRPr="00A14971">
        <w:instrText>litigation</w:instrText>
      </w:r>
      <w:r w:rsidR="008B01F8">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 to demand higher quality treatment or to protest against apparent shortfalls. The total cost of NHS</w:t>
      </w:r>
      <w:r w:rsidR="00E55001">
        <w:rPr>
          <w:rFonts w:ascii="Times New Roman" w:hAnsi="Times New Roman" w:cs="Times New Roman"/>
          <w:sz w:val="24"/>
          <w:szCs w:val="24"/>
        </w:rPr>
        <w:fldChar w:fldCharType="begin"/>
      </w:r>
      <w:r w:rsidR="00E55001">
        <w:instrText xml:space="preserve"> XE "</w:instrText>
      </w:r>
      <w:r w:rsidR="00E55001" w:rsidRPr="000B29C1">
        <w:rPr>
          <w:rFonts w:ascii="Times New Roman" w:hAnsi="Times New Roman" w:cs="Times New Roman"/>
          <w:sz w:val="24"/>
          <w:szCs w:val="24"/>
        </w:rPr>
        <w:instrText>NHS</w:instrText>
      </w:r>
      <w:r w:rsidR="00E55001">
        <w:instrText xml:space="preserve">" </w:instrText>
      </w:r>
      <w:r w:rsidR="00E55001">
        <w:rPr>
          <w:rFonts w:ascii="Times New Roman" w:hAnsi="Times New Roman" w:cs="Times New Roman"/>
          <w:sz w:val="24"/>
          <w:szCs w:val="24"/>
        </w:rPr>
        <w:fldChar w:fldCharType="end"/>
      </w:r>
      <w:r w:rsidRPr="00D76399">
        <w:rPr>
          <w:rFonts w:ascii="Times New Roman" w:hAnsi="Times New Roman" w:cs="Times New Roman"/>
          <w:sz w:val="24"/>
          <w:szCs w:val="24"/>
        </w:rPr>
        <w:t xml:space="preserve"> compensation claims has risen from £550 million in 2001-2 to £1,329 million in 2011-12. (NHS Litigation Authority 2012). A series of demands from suppliers and patients for new and expensive treatments to be funded by the NHS exerts significant pressures on the drugs bill.</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All these changes alter the environment in which</w:t>
      </w:r>
      <w:r w:rsidR="00474ADA">
        <w:rPr>
          <w:rFonts w:ascii="Times New Roman" w:hAnsi="Times New Roman" w:cs="Times New Roman"/>
          <w:sz w:val="24"/>
          <w:szCs w:val="24"/>
        </w:rPr>
        <w:t xml:space="preserve"> the</w:t>
      </w:r>
      <w:r w:rsidRPr="00D76399">
        <w:rPr>
          <w:rFonts w:ascii="Times New Roman" w:hAnsi="Times New Roman" w:cs="Times New Roman"/>
          <w:sz w:val="24"/>
          <w:szCs w:val="24"/>
        </w:rPr>
        <w:t xml:space="preserve"> welfare </w:t>
      </w:r>
      <w:r w:rsidR="00474ADA">
        <w:rPr>
          <w:rFonts w:ascii="Times New Roman" w:hAnsi="Times New Roman" w:cs="Times New Roman"/>
          <w:sz w:val="24"/>
          <w:szCs w:val="24"/>
        </w:rPr>
        <w:t>state</w:t>
      </w:r>
      <w:r w:rsidRPr="00D76399">
        <w:rPr>
          <w:rFonts w:ascii="Times New Roman" w:hAnsi="Times New Roman" w:cs="Times New Roman"/>
          <w:sz w:val="24"/>
          <w:szCs w:val="24"/>
        </w:rPr>
        <w:t xml:space="preserve"> operate</w:t>
      </w:r>
      <w:r w:rsidR="00474ADA">
        <w:rPr>
          <w:rFonts w:ascii="Times New Roman" w:hAnsi="Times New Roman" w:cs="Times New Roman"/>
          <w:sz w:val="24"/>
          <w:szCs w:val="24"/>
        </w:rPr>
        <w:t>s</w:t>
      </w:r>
      <w:r w:rsidRPr="00D76399">
        <w:rPr>
          <w:rFonts w:ascii="Times New Roman" w:hAnsi="Times New Roman" w:cs="Times New Roman"/>
          <w:sz w:val="24"/>
          <w:szCs w:val="24"/>
        </w:rPr>
        <w:t xml:space="preserve"> and increase pressure for radical changes, in most cases increasing the cost of maintaining provision. The profound and immediate cuts and restructuring currently underway are set in the context of a longer-run crisis resulting from established trends towards rising real costs for the most expensive areas of social provision, an increase in the proportion of older people in the population and social and attitudinal changes that are likely to escalate demands</w:t>
      </w:r>
      <w:r w:rsidR="00FB3F85">
        <w:rPr>
          <w:rFonts w:ascii="Times New Roman" w:hAnsi="Times New Roman" w:cs="Times New Roman"/>
          <w:sz w:val="24"/>
          <w:szCs w:val="24"/>
        </w:rPr>
        <w:t xml:space="preserve">. These demands bear mainly </w:t>
      </w:r>
      <w:r w:rsidRPr="00D76399">
        <w:rPr>
          <w:rFonts w:ascii="Times New Roman" w:hAnsi="Times New Roman" w:cs="Times New Roman"/>
          <w:sz w:val="24"/>
          <w:szCs w:val="24"/>
        </w:rPr>
        <w:t xml:space="preserve">but not exclusively on the mass services that make up the bulk of current spending. It is because the cutbacks are set in this context that the pressures on </w:t>
      </w:r>
      <w:r w:rsidR="00EA53C0">
        <w:rPr>
          <w:rFonts w:ascii="Times New Roman" w:hAnsi="Times New Roman" w:cs="Times New Roman"/>
          <w:sz w:val="24"/>
          <w:szCs w:val="24"/>
        </w:rPr>
        <w:t>public provision are so intense and bear so heavily on the least popular area of provision, for the poorest groups.</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b/>
          <w:sz w:val="24"/>
          <w:szCs w:val="24"/>
        </w:rPr>
      </w:pPr>
      <w:r w:rsidRPr="00D76399">
        <w:rPr>
          <w:rFonts w:ascii="Times New Roman" w:hAnsi="Times New Roman" w:cs="Times New Roman"/>
          <w:b/>
          <w:sz w:val="24"/>
          <w:szCs w:val="24"/>
        </w:rPr>
        <w:t>Conclusion</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This chapter makes three points:</w:t>
      </w:r>
    </w:p>
    <w:p w:rsidR="00703A96" w:rsidRPr="00D76399" w:rsidRDefault="00703A96" w:rsidP="00F34DAD">
      <w:pPr>
        <w:jc w:val="left"/>
        <w:rPr>
          <w:rFonts w:ascii="Times New Roman" w:hAnsi="Times New Roman" w:cs="Times New Roman"/>
          <w:sz w:val="24"/>
          <w:szCs w:val="24"/>
        </w:rPr>
      </w:pPr>
    </w:p>
    <w:p w:rsidR="00703A96" w:rsidRPr="00D76399" w:rsidRDefault="00703A96" w:rsidP="00F34DAD">
      <w:pPr>
        <w:pStyle w:val="ListParagraph"/>
        <w:numPr>
          <w:ilvl w:val="0"/>
          <w:numId w:val="6"/>
        </w:numPr>
        <w:spacing w:after="0"/>
        <w:rPr>
          <w:rFonts w:ascii="Times New Roman" w:hAnsi="Times New Roman" w:cs="Times New Roman"/>
          <w:sz w:val="24"/>
          <w:szCs w:val="24"/>
        </w:rPr>
      </w:pPr>
      <w:r w:rsidRPr="00D76399">
        <w:rPr>
          <w:rFonts w:ascii="Times New Roman" w:hAnsi="Times New Roman" w:cs="Times New Roman"/>
          <w:sz w:val="24"/>
          <w:szCs w:val="24"/>
        </w:rPr>
        <w:t>The UK welfare state faces an immediate crisis</w:t>
      </w:r>
      <w:r w:rsidR="00AA31C0">
        <w:rPr>
          <w:rFonts w:ascii="Times New Roman" w:hAnsi="Times New Roman" w:cs="Times New Roman"/>
          <w:sz w:val="24"/>
          <w:szCs w:val="24"/>
        </w:rPr>
        <w:fldChar w:fldCharType="begin"/>
      </w:r>
      <w:r w:rsidR="00AA31C0">
        <w:instrText xml:space="preserve"> XE "</w:instrText>
      </w:r>
      <w:r w:rsidR="00AA31C0" w:rsidRPr="00CC0AE8">
        <w:instrText>short-term crisis</w:instrText>
      </w:r>
      <w:r w:rsidR="00AA31C0">
        <w:instrText xml:space="preserve">" </w:instrText>
      </w:r>
      <w:r w:rsidR="00AA31C0">
        <w:rPr>
          <w:rFonts w:ascii="Times New Roman" w:hAnsi="Times New Roman" w:cs="Times New Roman"/>
          <w:sz w:val="24"/>
          <w:szCs w:val="24"/>
        </w:rPr>
        <w:fldChar w:fldCharType="end"/>
      </w:r>
      <w:r w:rsidRPr="00D76399">
        <w:rPr>
          <w:rFonts w:ascii="Times New Roman" w:hAnsi="Times New Roman" w:cs="Times New Roman"/>
          <w:sz w:val="24"/>
          <w:szCs w:val="24"/>
        </w:rPr>
        <w:t xml:space="preserve"> as resources are cut back precipitately and services are restructured, fragmented and privatised. These policies carry real political, economic and practical risks. They may damage support as voters lose </w:t>
      </w:r>
      <w:r w:rsidRPr="00D76399">
        <w:rPr>
          <w:rFonts w:ascii="Times New Roman" w:hAnsi="Times New Roman" w:cs="Times New Roman"/>
          <w:sz w:val="24"/>
          <w:szCs w:val="24"/>
        </w:rPr>
        <w:lastRenderedPageBreak/>
        <w:t>valued services, they may fail to restore growth, as investment is reduced, and they may fail to deliver services of acceptable standard. For political reasons the cuts</w:t>
      </w:r>
      <w:r w:rsidR="0054482E">
        <w:rPr>
          <w:rFonts w:ascii="Times New Roman" w:hAnsi="Times New Roman" w:cs="Times New Roman"/>
          <w:sz w:val="24"/>
          <w:szCs w:val="24"/>
        </w:rPr>
        <w:fldChar w:fldCharType="begin"/>
      </w:r>
      <w:r w:rsidR="0054482E">
        <w:instrText xml:space="preserve"> XE "</w:instrText>
      </w:r>
      <w:r w:rsidR="0054482E" w:rsidRPr="009578FC">
        <w:rPr>
          <w:rFonts w:ascii="Times New Roman" w:hAnsi="Times New Roman" w:cs="Times New Roman"/>
          <w:sz w:val="24"/>
          <w:szCs w:val="24"/>
        </w:rPr>
        <w:instrText>cuts</w:instrText>
      </w:r>
      <w:r w:rsidR="0054482E">
        <w:instrText xml:space="preserve">" </w:instrText>
      </w:r>
      <w:r w:rsidR="0054482E">
        <w:rPr>
          <w:rFonts w:ascii="Times New Roman" w:hAnsi="Times New Roman" w:cs="Times New Roman"/>
          <w:sz w:val="24"/>
          <w:szCs w:val="24"/>
        </w:rPr>
        <w:fldChar w:fldCharType="end"/>
      </w:r>
      <w:r w:rsidRPr="00D76399">
        <w:rPr>
          <w:rFonts w:ascii="Times New Roman" w:hAnsi="Times New Roman" w:cs="Times New Roman"/>
          <w:sz w:val="24"/>
          <w:szCs w:val="24"/>
        </w:rPr>
        <w:t xml:space="preserve"> are imposed most stringently on welfare for lower-income minorities of working age</w:t>
      </w:r>
      <w:r w:rsidR="00880224">
        <w:rPr>
          <w:rFonts w:ascii="Times New Roman" w:hAnsi="Times New Roman" w:cs="Times New Roman"/>
          <w:sz w:val="24"/>
          <w:szCs w:val="24"/>
        </w:rPr>
        <w:t>, impacting most severely on women and children among them. H</w:t>
      </w:r>
      <w:r w:rsidRPr="00D76399">
        <w:rPr>
          <w:rFonts w:ascii="Times New Roman" w:hAnsi="Times New Roman" w:cs="Times New Roman"/>
          <w:sz w:val="24"/>
          <w:szCs w:val="24"/>
        </w:rPr>
        <w:t>ealth care, pensions and education</w:t>
      </w:r>
      <w:r w:rsidR="00880224">
        <w:rPr>
          <w:rFonts w:ascii="Times New Roman" w:hAnsi="Times New Roman" w:cs="Times New Roman"/>
          <w:sz w:val="24"/>
          <w:szCs w:val="24"/>
        </w:rPr>
        <w:t xml:space="preserve">, the </w:t>
      </w:r>
      <w:r w:rsidRPr="00D76399">
        <w:rPr>
          <w:rFonts w:ascii="Times New Roman" w:hAnsi="Times New Roman" w:cs="Times New Roman"/>
          <w:sz w:val="24"/>
          <w:szCs w:val="24"/>
        </w:rPr>
        <w:t xml:space="preserve">welfare state </w:t>
      </w:r>
      <w:r w:rsidR="00880224">
        <w:rPr>
          <w:rFonts w:ascii="Times New Roman" w:hAnsi="Times New Roman" w:cs="Times New Roman"/>
          <w:sz w:val="24"/>
          <w:szCs w:val="24"/>
        </w:rPr>
        <w:t xml:space="preserve">services </w:t>
      </w:r>
      <w:r w:rsidRPr="00D76399">
        <w:rPr>
          <w:rFonts w:ascii="Times New Roman" w:hAnsi="Times New Roman" w:cs="Times New Roman"/>
          <w:sz w:val="24"/>
          <w:szCs w:val="24"/>
        </w:rPr>
        <w:t>most valued by the mass of the populatio</w:t>
      </w:r>
      <w:r w:rsidR="00880224">
        <w:rPr>
          <w:rFonts w:ascii="Times New Roman" w:hAnsi="Times New Roman" w:cs="Times New Roman"/>
          <w:sz w:val="24"/>
          <w:szCs w:val="24"/>
        </w:rPr>
        <w:t>n,</w:t>
      </w:r>
      <w:r w:rsidRPr="00D76399">
        <w:rPr>
          <w:rFonts w:ascii="Times New Roman" w:hAnsi="Times New Roman" w:cs="Times New Roman"/>
          <w:sz w:val="24"/>
          <w:szCs w:val="24"/>
        </w:rPr>
        <w:t xml:space="preserve"> escape the harshest cuts</w:t>
      </w:r>
      <w:r w:rsidR="00FB3F85">
        <w:rPr>
          <w:rFonts w:ascii="Times New Roman" w:hAnsi="Times New Roman" w:cs="Times New Roman"/>
          <w:sz w:val="24"/>
          <w:szCs w:val="24"/>
        </w:rPr>
        <w:t>, but still face real pressures</w:t>
      </w:r>
      <w:r w:rsidRPr="00D76399">
        <w:rPr>
          <w:rFonts w:ascii="Times New Roman" w:hAnsi="Times New Roman" w:cs="Times New Roman"/>
          <w:sz w:val="24"/>
          <w:szCs w:val="24"/>
        </w:rPr>
        <w:t xml:space="preserve">. </w:t>
      </w:r>
      <w:r w:rsidR="00FB3F85">
        <w:rPr>
          <w:rFonts w:ascii="Times New Roman" w:hAnsi="Times New Roman" w:cs="Times New Roman"/>
          <w:sz w:val="24"/>
          <w:szCs w:val="24"/>
        </w:rPr>
        <w:t xml:space="preserve">The current government is addressing the </w:t>
      </w:r>
      <w:r w:rsidRPr="00D76399">
        <w:rPr>
          <w:rFonts w:ascii="Times New Roman" w:hAnsi="Times New Roman" w:cs="Times New Roman"/>
          <w:sz w:val="24"/>
          <w:szCs w:val="24"/>
        </w:rPr>
        <w:t>immediate crisis in a way that deepens divisions between the mass and the more vulnerable poorer minorities.</w:t>
      </w:r>
    </w:p>
    <w:p w:rsidR="00703A96" w:rsidRPr="00D76399" w:rsidRDefault="00703A96" w:rsidP="00F34DAD">
      <w:pPr>
        <w:pStyle w:val="ListParagraph"/>
        <w:spacing w:after="0"/>
        <w:rPr>
          <w:rFonts w:ascii="Times New Roman" w:hAnsi="Times New Roman" w:cs="Times New Roman"/>
          <w:sz w:val="24"/>
          <w:szCs w:val="24"/>
        </w:rPr>
      </w:pPr>
    </w:p>
    <w:p w:rsidR="00703A96" w:rsidRPr="00D76399" w:rsidRDefault="00703A96" w:rsidP="00F34DAD">
      <w:pPr>
        <w:pStyle w:val="ListParagraph"/>
        <w:numPr>
          <w:ilvl w:val="0"/>
          <w:numId w:val="6"/>
        </w:numPr>
        <w:spacing w:after="0"/>
        <w:rPr>
          <w:rFonts w:ascii="Times New Roman" w:hAnsi="Times New Roman" w:cs="Times New Roman"/>
          <w:sz w:val="24"/>
          <w:szCs w:val="24"/>
        </w:rPr>
      </w:pPr>
      <w:r w:rsidRPr="00D76399">
        <w:rPr>
          <w:rFonts w:ascii="Times New Roman" w:hAnsi="Times New Roman" w:cs="Times New Roman"/>
          <w:sz w:val="24"/>
          <w:szCs w:val="24"/>
        </w:rPr>
        <w:t>These changes are taking place in the context of long-run p</w:t>
      </w:r>
      <w:r w:rsidR="00906714">
        <w:rPr>
          <w:rFonts w:ascii="Times New Roman" w:hAnsi="Times New Roman" w:cs="Times New Roman"/>
          <w:sz w:val="24"/>
          <w:szCs w:val="24"/>
        </w:rPr>
        <w:t>ressures</w:t>
      </w:r>
      <w:r w:rsidR="00AA31C0">
        <w:rPr>
          <w:rFonts w:ascii="Times New Roman" w:hAnsi="Times New Roman" w:cs="Times New Roman"/>
          <w:sz w:val="24"/>
          <w:szCs w:val="24"/>
        </w:rPr>
        <w:fldChar w:fldCharType="begin"/>
      </w:r>
      <w:r w:rsidR="00AA31C0">
        <w:instrText xml:space="preserve"> XE "</w:instrText>
      </w:r>
      <w:r w:rsidR="00AA31C0" w:rsidRPr="0051029D">
        <w:instrText>long-term crisis</w:instrText>
      </w:r>
      <w:r w:rsidR="00AA31C0">
        <w:instrText xml:space="preserve">" </w:instrText>
      </w:r>
      <w:r w:rsidR="00AA31C0">
        <w:rPr>
          <w:rFonts w:ascii="Times New Roman" w:hAnsi="Times New Roman" w:cs="Times New Roman"/>
          <w:sz w:val="24"/>
          <w:szCs w:val="24"/>
        </w:rPr>
        <w:fldChar w:fldCharType="end"/>
      </w:r>
      <w:r w:rsidR="00906714">
        <w:rPr>
          <w:rFonts w:ascii="Times New Roman" w:hAnsi="Times New Roman" w:cs="Times New Roman"/>
          <w:sz w:val="24"/>
          <w:szCs w:val="24"/>
        </w:rPr>
        <w:t xml:space="preserve"> from population ageing, continuing wage</w:t>
      </w:r>
      <w:r w:rsidR="00930687">
        <w:rPr>
          <w:rFonts w:ascii="Times New Roman" w:hAnsi="Times New Roman" w:cs="Times New Roman"/>
          <w:sz w:val="24"/>
          <w:szCs w:val="24"/>
        </w:rPr>
        <w:fldChar w:fldCharType="begin"/>
      </w:r>
      <w:r w:rsidR="00930687">
        <w:instrText xml:space="preserve"> XE "</w:instrText>
      </w:r>
      <w:r w:rsidR="00930687" w:rsidRPr="001B766E">
        <w:rPr>
          <w:rFonts w:ascii="Times New Roman" w:hAnsi="Times New Roman" w:cs="Times New Roman"/>
          <w:sz w:val="24"/>
          <w:szCs w:val="24"/>
        </w:rPr>
        <w:instrText>wage pressure</w:instrText>
      </w:r>
      <w:r w:rsidR="00930687">
        <w:instrText xml:space="preserve">" </w:instrText>
      </w:r>
      <w:r w:rsidR="00930687">
        <w:rPr>
          <w:rFonts w:ascii="Times New Roman" w:hAnsi="Times New Roman" w:cs="Times New Roman"/>
          <w:sz w:val="24"/>
          <w:szCs w:val="24"/>
        </w:rPr>
        <w:fldChar w:fldCharType="end"/>
      </w:r>
      <w:r w:rsidR="00906714">
        <w:rPr>
          <w:rFonts w:ascii="Times New Roman" w:hAnsi="Times New Roman" w:cs="Times New Roman"/>
          <w:sz w:val="24"/>
          <w:szCs w:val="24"/>
        </w:rPr>
        <w:t xml:space="preserve"> escalation </w:t>
      </w:r>
      <w:r w:rsidRPr="00D76399">
        <w:rPr>
          <w:rFonts w:ascii="Times New Roman" w:hAnsi="Times New Roman" w:cs="Times New Roman"/>
          <w:sz w:val="24"/>
          <w:szCs w:val="24"/>
        </w:rPr>
        <w:t>and other factors</w:t>
      </w:r>
      <w:r w:rsidR="00906714">
        <w:rPr>
          <w:rFonts w:ascii="Times New Roman" w:hAnsi="Times New Roman" w:cs="Times New Roman"/>
          <w:sz w:val="24"/>
          <w:szCs w:val="24"/>
        </w:rPr>
        <w:t>, which</w:t>
      </w:r>
      <w:r w:rsidRPr="00D76399">
        <w:rPr>
          <w:rFonts w:ascii="Times New Roman" w:hAnsi="Times New Roman" w:cs="Times New Roman"/>
          <w:sz w:val="24"/>
          <w:szCs w:val="24"/>
        </w:rPr>
        <w:t xml:space="preserve"> bear mainly on the popular services, predominantly on health and social care and pensions. </w:t>
      </w:r>
      <w:r w:rsidR="00906714">
        <w:rPr>
          <w:rFonts w:ascii="Times New Roman" w:hAnsi="Times New Roman" w:cs="Times New Roman"/>
          <w:sz w:val="24"/>
          <w:szCs w:val="24"/>
        </w:rPr>
        <w:t xml:space="preserve">More resources are required over time simply to maintain standards. </w:t>
      </w:r>
      <w:r w:rsidRPr="00D76399">
        <w:rPr>
          <w:rFonts w:ascii="Times New Roman" w:hAnsi="Times New Roman" w:cs="Times New Roman"/>
          <w:sz w:val="24"/>
          <w:szCs w:val="24"/>
        </w:rPr>
        <w:t xml:space="preserve">Demands for extra spending here intensify the squeeze on </w:t>
      </w:r>
      <w:r w:rsidR="00474ADA">
        <w:rPr>
          <w:rFonts w:ascii="Times New Roman" w:hAnsi="Times New Roman" w:cs="Times New Roman"/>
          <w:sz w:val="24"/>
          <w:szCs w:val="24"/>
        </w:rPr>
        <w:t xml:space="preserve">benefits </w:t>
      </w:r>
      <w:r w:rsidRPr="00D76399">
        <w:rPr>
          <w:rFonts w:ascii="Times New Roman" w:hAnsi="Times New Roman" w:cs="Times New Roman"/>
          <w:sz w:val="24"/>
          <w:szCs w:val="24"/>
        </w:rPr>
        <w:t xml:space="preserve">for the poor of working age since the mass </w:t>
      </w:r>
      <w:r w:rsidR="00474ADA">
        <w:rPr>
          <w:rFonts w:ascii="Times New Roman" w:hAnsi="Times New Roman" w:cs="Times New Roman"/>
          <w:sz w:val="24"/>
          <w:szCs w:val="24"/>
        </w:rPr>
        <w:t xml:space="preserve">services </w:t>
      </w:r>
      <w:r w:rsidRPr="00D76399">
        <w:rPr>
          <w:rFonts w:ascii="Times New Roman" w:hAnsi="Times New Roman" w:cs="Times New Roman"/>
          <w:sz w:val="24"/>
          <w:szCs w:val="24"/>
        </w:rPr>
        <w:t xml:space="preserve">are more highly valued by </w:t>
      </w:r>
      <w:r w:rsidR="00906714">
        <w:rPr>
          <w:rFonts w:ascii="Times New Roman" w:hAnsi="Times New Roman" w:cs="Times New Roman"/>
          <w:sz w:val="24"/>
          <w:szCs w:val="24"/>
        </w:rPr>
        <w:t xml:space="preserve">most </w:t>
      </w:r>
      <w:r w:rsidRPr="00D76399">
        <w:rPr>
          <w:rFonts w:ascii="Times New Roman" w:hAnsi="Times New Roman" w:cs="Times New Roman"/>
          <w:sz w:val="24"/>
          <w:szCs w:val="24"/>
        </w:rPr>
        <w:t>voters. The long-run crisis becomes a continuing war of attrition to slow the rise in costs for the</w:t>
      </w:r>
      <w:r w:rsidR="00906714">
        <w:rPr>
          <w:rFonts w:ascii="Times New Roman" w:hAnsi="Times New Roman" w:cs="Times New Roman"/>
          <w:sz w:val="24"/>
          <w:szCs w:val="24"/>
        </w:rPr>
        <w:t>se</w:t>
      </w:r>
      <w:r w:rsidRPr="00D76399">
        <w:rPr>
          <w:rFonts w:ascii="Times New Roman" w:hAnsi="Times New Roman" w:cs="Times New Roman"/>
          <w:sz w:val="24"/>
          <w:szCs w:val="24"/>
        </w:rPr>
        <w:t xml:space="preserve"> services.</w:t>
      </w:r>
    </w:p>
    <w:p w:rsidR="00703A96" w:rsidRPr="00D76399" w:rsidRDefault="00703A96" w:rsidP="00F34DAD">
      <w:pPr>
        <w:pStyle w:val="ListParagraph"/>
        <w:spacing w:after="0"/>
        <w:rPr>
          <w:rFonts w:ascii="Times New Roman" w:hAnsi="Times New Roman" w:cs="Times New Roman"/>
          <w:sz w:val="24"/>
          <w:szCs w:val="24"/>
        </w:rPr>
      </w:pPr>
    </w:p>
    <w:p w:rsidR="00703A96" w:rsidRPr="00D76399" w:rsidRDefault="00703A96" w:rsidP="00F34DAD">
      <w:pPr>
        <w:pStyle w:val="ListParagraph"/>
        <w:numPr>
          <w:ilvl w:val="0"/>
          <w:numId w:val="6"/>
        </w:numPr>
        <w:spacing w:after="0"/>
        <w:rPr>
          <w:rFonts w:ascii="Times New Roman" w:hAnsi="Times New Roman" w:cs="Times New Roman"/>
          <w:sz w:val="24"/>
          <w:szCs w:val="24"/>
        </w:rPr>
      </w:pPr>
      <w:r w:rsidRPr="00D76399">
        <w:rPr>
          <w:rFonts w:ascii="Times New Roman" w:hAnsi="Times New Roman" w:cs="Times New Roman"/>
          <w:sz w:val="24"/>
          <w:szCs w:val="24"/>
        </w:rPr>
        <w:t>These issues are important across almost all developed countries.</w:t>
      </w:r>
      <w:r w:rsidR="00EA53C0">
        <w:rPr>
          <w:rFonts w:ascii="Times New Roman" w:hAnsi="Times New Roman" w:cs="Times New Roman"/>
          <w:sz w:val="24"/>
          <w:szCs w:val="24"/>
        </w:rPr>
        <w:t xml:space="preserve"> </w:t>
      </w:r>
      <w:r w:rsidRPr="00D76399">
        <w:rPr>
          <w:rFonts w:ascii="Times New Roman" w:hAnsi="Times New Roman" w:cs="Times New Roman"/>
          <w:sz w:val="24"/>
          <w:szCs w:val="24"/>
        </w:rPr>
        <w:t xml:space="preserve">They are particularly intransigent in the UK, because </w:t>
      </w:r>
      <w:r w:rsidR="00EB3B45">
        <w:rPr>
          <w:rFonts w:ascii="Times New Roman" w:hAnsi="Times New Roman" w:cs="Times New Roman"/>
          <w:sz w:val="24"/>
          <w:szCs w:val="24"/>
        </w:rPr>
        <w:t xml:space="preserve">government has decided to respond to the </w:t>
      </w:r>
      <w:r w:rsidR="00474ADA">
        <w:rPr>
          <w:rFonts w:ascii="Times New Roman" w:hAnsi="Times New Roman" w:cs="Times New Roman"/>
          <w:sz w:val="24"/>
          <w:szCs w:val="24"/>
        </w:rPr>
        <w:t xml:space="preserve">immediate </w:t>
      </w:r>
      <w:r w:rsidR="00EB3B45">
        <w:rPr>
          <w:rFonts w:ascii="Times New Roman" w:hAnsi="Times New Roman" w:cs="Times New Roman"/>
          <w:sz w:val="24"/>
          <w:szCs w:val="24"/>
        </w:rPr>
        <w:t>crisis through cut-backs rather than investment, because it imposes</w:t>
      </w:r>
      <w:r w:rsidRPr="00D76399">
        <w:rPr>
          <w:rFonts w:ascii="Times New Roman" w:hAnsi="Times New Roman" w:cs="Times New Roman"/>
          <w:sz w:val="24"/>
          <w:szCs w:val="24"/>
        </w:rPr>
        <w:t xml:space="preserve"> the cut</w:t>
      </w:r>
      <w:r w:rsidR="00EB3B45">
        <w:rPr>
          <w:rFonts w:ascii="Times New Roman" w:hAnsi="Times New Roman" w:cs="Times New Roman"/>
          <w:sz w:val="24"/>
          <w:szCs w:val="24"/>
        </w:rPr>
        <w:t>s</w:t>
      </w:r>
      <w:r w:rsidRPr="00D76399">
        <w:rPr>
          <w:rFonts w:ascii="Times New Roman" w:hAnsi="Times New Roman" w:cs="Times New Roman"/>
          <w:sz w:val="24"/>
          <w:szCs w:val="24"/>
        </w:rPr>
        <w:t xml:space="preserve"> most stringently on vulnerable lower-income groups, because</w:t>
      </w:r>
      <w:r w:rsidR="00EB3B45">
        <w:rPr>
          <w:rFonts w:ascii="Times New Roman" w:hAnsi="Times New Roman" w:cs="Times New Roman"/>
          <w:sz w:val="24"/>
          <w:szCs w:val="24"/>
        </w:rPr>
        <w:t xml:space="preserve"> a</w:t>
      </w:r>
      <w:r w:rsidRPr="00D76399">
        <w:rPr>
          <w:rFonts w:ascii="Times New Roman" w:hAnsi="Times New Roman" w:cs="Times New Roman"/>
          <w:sz w:val="24"/>
          <w:szCs w:val="24"/>
        </w:rPr>
        <w:t xml:space="preserve"> libera</w:t>
      </w:r>
      <w:r w:rsidR="005E0406">
        <w:rPr>
          <w:rFonts w:ascii="Times New Roman" w:hAnsi="Times New Roman" w:cs="Times New Roman"/>
          <w:sz w:val="24"/>
          <w:szCs w:val="24"/>
        </w:rPr>
        <w:fldChar w:fldCharType="begin"/>
      </w:r>
      <w:r w:rsidR="008B01F8">
        <w:instrText xml:space="preserve"> XE "</w:instrText>
      </w:r>
      <w:r w:rsidR="008B01F8" w:rsidRPr="00F86D92">
        <w:rPr>
          <w:rFonts w:ascii="Times New Roman" w:hAnsi="Times New Roman" w:cs="Times New Roman"/>
          <w:sz w:val="24"/>
          <w:szCs w:val="24"/>
        </w:rPr>
        <w:instrText>liberalism</w:instrText>
      </w:r>
      <w:r w:rsidR="008B01F8">
        <w:instrText xml:space="preserve">" </w:instrText>
      </w:r>
      <w:r w:rsidR="005E0406">
        <w:rPr>
          <w:rFonts w:ascii="Times New Roman" w:hAnsi="Times New Roman" w:cs="Times New Roman"/>
          <w:sz w:val="24"/>
          <w:szCs w:val="24"/>
        </w:rPr>
        <w:fldChar w:fldCharType="end"/>
      </w:r>
      <w:r w:rsidRPr="00D76399">
        <w:rPr>
          <w:rFonts w:ascii="Times New Roman" w:hAnsi="Times New Roman" w:cs="Times New Roman"/>
          <w:sz w:val="24"/>
          <w:szCs w:val="24"/>
        </w:rPr>
        <w:t xml:space="preserve">l ideology intensifies the ideological divisions between deserving and undeserving groups and because the impact of global trends to greater </w:t>
      </w:r>
      <w:r w:rsidR="00046E5A">
        <w:rPr>
          <w:rFonts w:ascii="Times New Roman" w:hAnsi="Times New Roman" w:cs="Times New Roman"/>
          <w:sz w:val="24"/>
          <w:szCs w:val="24"/>
        </w:rPr>
        <w:t>inequality and social division is</w:t>
      </w:r>
      <w:r w:rsidRPr="00D76399">
        <w:rPr>
          <w:rFonts w:ascii="Times New Roman" w:hAnsi="Times New Roman" w:cs="Times New Roman"/>
          <w:sz w:val="24"/>
          <w:szCs w:val="24"/>
        </w:rPr>
        <w:t xml:space="preserve"> particularly</w:t>
      </w:r>
      <w:r w:rsidR="00046E5A">
        <w:rPr>
          <w:rFonts w:ascii="Times New Roman" w:hAnsi="Times New Roman" w:cs="Times New Roman"/>
          <w:sz w:val="24"/>
          <w:szCs w:val="24"/>
        </w:rPr>
        <w:t xml:space="preserve"> </w:t>
      </w:r>
      <w:r w:rsidR="00EB3B45">
        <w:rPr>
          <w:rFonts w:ascii="Times New Roman" w:hAnsi="Times New Roman" w:cs="Times New Roman"/>
          <w:sz w:val="24"/>
          <w:szCs w:val="24"/>
        </w:rPr>
        <w:t>marked in this country.</w:t>
      </w:r>
    </w:p>
    <w:p w:rsidR="00703A96" w:rsidRPr="00D76399" w:rsidRDefault="00703A96" w:rsidP="00F34DAD">
      <w:pPr>
        <w:pStyle w:val="ListParagraph"/>
        <w:spacing w:after="0"/>
        <w:rPr>
          <w:rFonts w:ascii="Times New Roman" w:hAnsi="Times New Roman" w:cs="Times New Roman"/>
          <w:sz w:val="24"/>
          <w:szCs w:val="24"/>
        </w:rPr>
      </w:pPr>
    </w:p>
    <w:p w:rsidR="00703A96" w:rsidRPr="00D76399" w:rsidRDefault="00703A96" w:rsidP="00F34DAD">
      <w:pPr>
        <w:jc w:val="left"/>
        <w:rPr>
          <w:rFonts w:ascii="Times New Roman" w:hAnsi="Times New Roman" w:cs="Times New Roman"/>
          <w:sz w:val="24"/>
          <w:szCs w:val="24"/>
        </w:rPr>
      </w:pPr>
      <w:r w:rsidRPr="00D76399">
        <w:rPr>
          <w:rFonts w:ascii="Times New Roman" w:hAnsi="Times New Roman" w:cs="Times New Roman"/>
          <w:sz w:val="24"/>
          <w:szCs w:val="24"/>
        </w:rPr>
        <w:t>The next chapter steps back from cut-backs and restructuring and analyses the broader social and political context in which these changes are taking place. It considers why government chooses to respond to the immediate crisis in the way that it has despite the economic, political and practical risks outlined above, and shows that an underlying project to entrench a radical, competitive and individualistic liberalism permanently in the UK political economy is at least part of the explanation.</w:t>
      </w:r>
    </w:p>
    <w:p w:rsidR="00703A96" w:rsidRPr="00D76399" w:rsidRDefault="00703A96" w:rsidP="00F34DAD">
      <w:pPr>
        <w:spacing w:line="240" w:lineRule="auto"/>
        <w:jc w:val="left"/>
        <w:rPr>
          <w:rFonts w:ascii="Times New Roman" w:hAnsi="Times New Roman" w:cs="Times New Roman"/>
          <w:sz w:val="24"/>
          <w:szCs w:val="24"/>
          <w:u w:val="single"/>
        </w:rPr>
      </w:pPr>
    </w:p>
    <w:p w:rsidR="00703A96" w:rsidRPr="00D76399" w:rsidRDefault="00703A96" w:rsidP="00F34DAD">
      <w:pPr>
        <w:jc w:val="left"/>
        <w:rPr>
          <w:rFonts w:ascii="Times New Roman" w:hAnsi="Times New Roman" w:cs="Times New Roman"/>
          <w:b/>
          <w:sz w:val="24"/>
          <w:szCs w:val="24"/>
        </w:rPr>
      </w:pPr>
    </w:p>
    <w:p w:rsidR="00703A96" w:rsidRPr="00D76399" w:rsidRDefault="00703A96" w:rsidP="00F34DAD">
      <w:pPr>
        <w:jc w:val="left"/>
        <w:rPr>
          <w:rFonts w:ascii="Times New Roman" w:hAnsi="Times New Roman" w:cs="Times New Roman"/>
          <w:b/>
          <w:sz w:val="24"/>
          <w:szCs w:val="24"/>
        </w:rPr>
      </w:pPr>
      <w:r w:rsidRPr="00D76399">
        <w:rPr>
          <w:rFonts w:ascii="Times New Roman" w:hAnsi="Times New Roman" w:cs="Times New Roman"/>
          <w:b/>
          <w:sz w:val="24"/>
          <w:szCs w:val="24"/>
        </w:rPr>
        <w:br w:type="page"/>
      </w:r>
    </w:p>
    <w:p w:rsidR="00276C9C" w:rsidRDefault="00703A96" w:rsidP="00F34DAD">
      <w:pPr>
        <w:spacing w:line="240" w:lineRule="auto"/>
        <w:jc w:val="left"/>
        <w:rPr>
          <w:rFonts w:ascii="Times New Roman" w:hAnsi="Times New Roman" w:cs="Times New Roman"/>
          <w:b/>
          <w:sz w:val="24"/>
          <w:szCs w:val="24"/>
        </w:rPr>
      </w:pPr>
      <w:r w:rsidRPr="00D76399">
        <w:rPr>
          <w:rFonts w:ascii="Times New Roman" w:hAnsi="Times New Roman" w:cs="Times New Roman"/>
          <w:b/>
          <w:sz w:val="24"/>
          <w:szCs w:val="24"/>
        </w:rPr>
        <w:lastRenderedPageBreak/>
        <w:t>Figure 1.1: GDP</w:t>
      </w:r>
      <w:r w:rsidR="00947636">
        <w:rPr>
          <w:rFonts w:ascii="Times New Roman" w:hAnsi="Times New Roman" w:cs="Times New Roman"/>
          <w:b/>
          <w:sz w:val="24"/>
          <w:szCs w:val="24"/>
        </w:rPr>
        <w:t xml:space="preserve"> change as percentage of 2007 GDP 2007-13</w:t>
      </w:r>
    </w:p>
    <w:p w:rsidR="00276C9C" w:rsidRDefault="00276C9C" w:rsidP="00F34DAD">
      <w:pPr>
        <w:spacing w:line="240" w:lineRule="auto"/>
        <w:jc w:val="left"/>
        <w:rPr>
          <w:rFonts w:ascii="Times New Roman" w:hAnsi="Times New Roman" w:cs="Times New Roman"/>
          <w:b/>
          <w:sz w:val="24"/>
          <w:szCs w:val="24"/>
        </w:rPr>
      </w:pPr>
    </w:p>
    <w:p w:rsidR="00276C9C" w:rsidRDefault="00276C9C" w:rsidP="00F34DAD">
      <w:pPr>
        <w:spacing w:line="240" w:lineRule="auto"/>
        <w:jc w:val="left"/>
        <w:rPr>
          <w:rFonts w:ascii="Times New Roman" w:hAnsi="Times New Roman" w:cs="Times New Roman"/>
          <w:b/>
          <w:sz w:val="24"/>
          <w:szCs w:val="24"/>
        </w:rPr>
      </w:pPr>
      <w:r w:rsidRPr="00276C9C">
        <w:rPr>
          <w:rFonts w:ascii="Times New Roman" w:hAnsi="Times New Roman" w:cs="Times New Roman"/>
          <w:b/>
          <w:noProof/>
          <w:sz w:val="24"/>
          <w:szCs w:val="24"/>
          <w:lang w:eastAsia="en-GB"/>
        </w:rPr>
        <w:drawing>
          <wp:inline distT="0" distB="0" distL="0" distR="0" wp14:anchorId="35B4DFDB" wp14:editId="76FCA9D3">
            <wp:extent cx="5654064" cy="3502324"/>
            <wp:effectExtent l="0" t="0" r="22860" b="22225"/>
            <wp:docPr id="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76C9C" w:rsidRDefault="00276C9C" w:rsidP="00F34DAD">
      <w:pPr>
        <w:spacing w:line="240" w:lineRule="auto"/>
        <w:jc w:val="left"/>
        <w:rPr>
          <w:rFonts w:ascii="Times New Roman" w:hAnsi="Times New Roman" w:cs="Times New Roman"/>
          <w:b/>
          <w:sz w:val="24"/>
          <w:szCs w:val="24"/>
        </w:rPr>
      </w:pPr>
    </w:p>
    <w:p w:rsidR="00703A96" w:rsidRPr="00D76399" w:rsidRDefault="00703A96" w:rsidP="00F34DAD">
      <w:pPr>
        <w:spacing w:line="240" w:lineRule="auto"/>
        <w:jc w:val="left"/>
        <w:rPr>
          <w:rFonts w:ascii="Times New Roman" w:hAnsi="Times New Roman" w:cs="Times New Roman"/>
          <w:sz w:val="24"/>
          <w:szCs w:val="24"/>
        </w:rPr>
      </w:pPr>
      <w:r w:rsidRPr="00D76399">
        <w:rPr>
          <w:rFonts w:ascii="Times New Roman" w:hAnsi="Times New Roman" w:cs="Times New Roman"/>
          <w:sz w:val="24"/>
          <w:szCs w:val="24"/>
        </w:rPr>
        <w:t>Source:</w:t>
      </w:r>
      <w:r w:rsidR="006E00A1">
        <w:rPr>
          <w:rFonts w:ascii="Times New Roman" w:hAnsi="Times New Roman" w:cs="Times New Roman"/>
          <w:sz w:val="24"/>
          <w:szCs w:val="24"/>
        </w:rPr>
        <w:t xml:space="preserve"> author’s calculations from</w:t>
      </w:r>
      <w:r w:rsidRPr="00D76399">
        <w:rPr>
          <w:rFonts w:ascii="Times New Roman" w:hAnsi="Times New Roman" w:cs="Times New Roman"/>
          <w:sz w:val="24"/>
          <w:szCs w:val="24"/>
        </w:rPr>
        <w:t xml:space="preserve"> IMF</w:t>
      </w:r>
      <w:r w:rsidR="007F76FC">
        <w:rPr>
          <w:rFonts w:ascii="Times New Roman" w:hAnsi="Times New Roman" w:cs="Times New Roman"/>
          <w:sz w:val="24"/>
          <w:szCs w:val="24"/>
        </w:rPr>
        <w:fldChar w:fldCharType="begin"/>
      </w:r>
      <w:r w:rsidR="007F76FC">
        <w:instrText xml:space="preserve"> XE "</w:instrText>
      </w:r>
      <w:r w:rsidR="007F76FC" w:rsidRPr="00044CB5">
        <w:rPr>
          <w:rFonts w:ascii="Times New Roman" w:hAnsi="Times New Roman" w:cs="Times New Roman"/>
          <w:sz w:val="24"/>
          <w:szCs w:val="24"/>
        </w:rPr>
        <w:instrText>IMF</w:instrText>
      </w:r>
      <w:r w:rsidR="007F76FC">
        <w:instrText xml:space="preserve">" </w:instrText>
      </w:r>
      <w:r w:rsidR="007F76FC">
        <w:rPr>
          <w:rFonts w:ascii="Times New Roman" w:hAnsi="Times New Roman" w:cs="Times New Roman"/>
          <w:sz w:val="24"/>
          <w:szCs w:val="24"/>
        </w:rPr>
        <w:fldChar w:fldCharType="end"/>
      </w:r>
      <w:r w:rsidRPr="00D76399">
        <w:rPr>
          <w:rFonts w:ascii="Times New Roman" w:hAnsi="Times New Roman" w:cs="Times New Roman"/>
          <w:sz w:val="24"/>
          <w:szCs w:val="24"/>
        </w:rPr>
        <w:t xml:space="preserve"> (2012)</w:t>
      </w:r>
      <w:r w:rsidR="00276C9C">
        <w:t xml:space="preserve">, </w:t>
      </w:r>
      <w:r w:rsidR="006E00A1" w:rsidRPr="006E00A1">
        <w:rPr>
          <w:rFonts w:ascii="Times New Roman" w:hAnsi="Times New Roman" w:cs="Times New Roman"/>
          <w:sz w:val="24"/>
          <w:szCs w:val="24"/>
        </w:rPr>
        <w:t>projected from 2012.</w:t>
      </w:r>
    </w:p>
    <w:p w:rsidR="00703A96" w:rsidRDefault="00703A96" w:rsidP="00F34DAD">
      <w:pPr>
        <w:spacing w:line="240" w:lineRule="auto"/>
        <w:jc w:val="left"/>
        <w:rPr>
          <w:rFonts w:ascii="Times New Roman" w:hAnsi="Times New Roman" w:cs="Times New Roman"/>
          <w:b/>
          <w:sz w:val="24"/>
          <w:szCs w:val="24"/>
        </w:rPr>
      </w:pPr>
    </w:p>
    <w:p w:rsidR="008B01F8" w:rsidRPr="00D76399" w:rsidRDefault="008B01F8" w:rsidP="00F34DAD">
      <w:pPr>
        <w:spacing w:line="240" w:lineRule="auto"/>
        <w:jc w:val="left"/>
        <w:rPr>
          <w:rFonts w:ascii="Times New Roman" w:hAnsi="Times New Roman" w:cs="Times New Roman"/>
          <w:b/>
          <w:sz w:val="24"/>
          <w:szCs w:val="24"/>
        </w:rPr>
      </w:pPr>
    </w:p>
    <w:p w:rsidR="00703A96" w:rsidRDefault="00703A96" w:rsidP="00F34DAD">
      <w:pPr>
        <w:spacing w:line="240" w:lineRule="auto"/>
        <w:jc w:val="left"/>
        <w:rPr>
          <w:rFonts w:ascii="Times New Roman" w:hAnsi="Times New Roman" w:cs="Times New Roman"/>
          <w:b/>
          <w:sz w:val="24"/>
          <w:szCs w:val="24"/>
        </w:rPr>
      </w:pPr>
      <w:r w:rsidRPr="00D76399">
        <w:rPr>
          <w:rFonts w:ascii="Times New Roman" w:hAnsi="Times New Roman" w:cs="Times New Roman"/>
          <w:b/>
          <w:sz w:val="24"/>
          <w:szCs w:val="24"/>
        </w:rPr>
        <w:t>Figure 1.2: State spending, major economies</w:t>
      </w:r>
      <w:r w:rsidR="00723C82">
        <w:rPr>
          <w:rFonts w:ascii="Times New Roman" w:hAnsi="Times New Roman" w:cs="Times New Roman"/>
          <w:b/>
          <w:sz w:val="24"/>
          <w:szCs w:val="24"/>
        </w:rPr>
        <w:t>,</w:t>
      </w:r>
      <w:r w:rsidRPr="00D76399">
        <w:rPr>
          <w:rFonts w:ascii="Times New Roman" w:hAnsi="Times New Roman" w:cs="Times New Roman"/>
          <w:b/>
          <w:sz w:val="24"/>
          <w:szCs w:val="24"/>
        </w:rPr>
        <w:t xml:space="preserve"> per cent </w:t>
      </w:r>
      <w:r w:rsidR="00880224">
        <w:rPr>
          <w:rFonts w:ascii="Times New Roman" w:hAnsi="Times New Roman" w:cs="Times New Roman"/>
          <w:b/>
          <w:sz w:val="24"/>
          <w:szCs w:val="24"/>
        </w:rPr>
        <w:t>GDP</w:t>
      </w:r>
      <w:r w:rsidRPr="00D76399">
        <w:rPr>
          <w:rFonts w:ascii="Times New Roman" w:hAnsi="Times New Roman" w:cs="Times New Roman"/>
          <w:b/>
          <w:sz w:val="24"/>
          <w:szCs w:val="24"/>
        </w:rPr>
        <w:t>, 200</w:t>
      </w:r>
      <w:r w:rsidR="00947636">
        <w:rPr>
          <w:rFonts w:ascii="Times New Roman" w:hAnsi="Times New Roman" w:cs="Times New Roman"/>
          <w:b/>
          <w:sz w:val="24"/>
          <w:szCs w:val="24"/>
        </w:rPr>
        <w:t>5</w:t>
      </w:r>
      <w:r w:rsidRPr="00D76399">
        <w:rPr>
          <w:rFonts w:ascii="Times New Roman" w:hAnsi="Times New Roman" w:cs="Times New Roman"/>
          <w:b/>
          <w:sz w:val="24"/>
          <w:szCs w:val="24"/>
        </w:rPr>
        <w:t>-17</w:t>
      </w:r>
    </w:p>
    <w:p w:rsidR="00276C9C" w:rsidRPr="00D76399" w:rsidRDefault="00276C9C" w:rsidP="00F34DAD">
      <w:pPr>
        <w:spacing w:line="240" w:lineRule="auto"/>
        <w:jc w:val="left"/>
        <w:rPr>
          <w:rFonts w:ascii="Times New Roman" w:hAnsi="Times New Roman" w:cs="Times New Roman"/>
          <w:b/>
          <w:sz w:val="24"/>
          <w:szCs w:val="24"/>
        </w:rPr>
      </w:pPr>
    </w:p>
    <w:p w:rsidR="00276C9C" w:rsidRDefault="00276C9C" w:rsidP="00F34DAD">
      <w:pPr>
        <w:spacing w:line="240" w:lineRule="auto"/>
        <w:jc w:val="left"/>
        <w:rPr>
          <w:rFonts w:ascii="Times New Roman" w:hAnsi="Times New Roman" w:cs="Times New Roman"/>
          <w:sz w:val="24"/>
          <w:szCs w:val="24"/>
        </w:rPr>
      </w:pPr>
      <w:r w:rsidRPr="00276C9C">
        <w:rPr>
          <w:rFonts w:ascii="Times New Roman" w:hAnsi="Times New Roman" w:cs="Times New Roman"/>
          <w:noProof/>
          <w:sz w:val="24"/>
          <w:szCs w:val="24"/>
          <w:lang w:eastAsia="en-GB"/>
        </w:rPr>
        <w:drawing>
          <wp:inline distT="0" distB="0" distL="0" distR="0" wp14:anchorId="560BF89D" wp14:editId="244D8DB5">
            <wp:extent cx="45720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703A96" w:rsidRPr="00D76399">
        <w:rPr>
          <w:rFonts w:ascii="Times New Roman" w:hAnsi="Times New Roman" w:cs="Times New Roman"/>
          <w:sz w:val="24"/>
          <w:szCs w:val="24"/>
        </w:rPr>
        <w:t xml:space="preserve">Source: IMF </w:t>
      </w:r>
    </w:p>
    <w:p w:rsidR="00276C9C" w:rsidRDefault="00276C9C" w:rsidP="00F34DAD">
      <w:pPr>
        <w:spacing w:line="240" w:lineRule="auto"/>
        <w:jc w:val="left"/>
        <w:rPr>
          <w:rFonts w:ascii="Times New Roman" w:hAnsi="Times New Roman" w:cs="Times New Roman"/>
          <w:sz w:val="24"/>
          <w:szCs w:val="24"/>
        </w:rPr>
      </w:pPr>
    </w:p>
    <w:p w:rsidR="00CB2F29" w:rsidRDefault="00276C9C" w:rsidP="0052757A">
      <w:pPr>
        <w:spacing w:line="240" w:lineRule="auto"/>
        <w:jc w:val="left"/>
        <w:rPr>
          <w:rFonts w:ascii="Times New Roman" w:hAnsi="Times New Roman" w:cs="Times New Roman"/>
          <w:b/>
          <w:sz w:val="24"/>
          <w:szCs w:val="24"/>
        </w:rPr>
      </w:pPr>
      <w:r w:rsidRPr="00D76399">
        <w:rPr>
          <w:rFonts w:ascii="Times New Roman" w:hAnsi="Times New Roman" w:cs="Times New Roman"/>
          <w:sz w:val="24"/>
          <w:szCs w:val="24"/>
        </w:rPr>
        <w:t>Source:</w:t>
      </w:r>
      <w:r>
        <w:rPr>
          <w:rFonts w:ascii="Times New Roman" w:hAnsi="Times New Roman" w:cs="Times New Roman"/>
          <w:sz w:val="24"/>
          <w:szCs w:val="24"/>
        </w:rPr>
        <w:t xml:space="preserve"> IMF (2012), </w:t>
      </w:r>
      <w:r w:rsidR="00703A96" w:rsidRPr="00D76399">
        <w:rPr>
          <w:rFonts w:ascii="Times New Roman" w:hAnsi="Times New Roman" w:cs="Times New Roman"/>
          <w:sz w:val="24"/>
          <w:szCs w:val="24"/>
        </w:rPr>
        <w:t>projected from 2012.</w:t>
      </w:r>
      <w:r w:rsidR="00CB2F29">
        <w:rPr>
          <w:rFonts w:ascii="Times New Roman" w:hAnsi="Times New Roman" w:cs="Times New Roman"/>
          <w:b/>
          <w:sz w:val="24"/>
          <w:szCs w:val="24"/>
        </w:rPr>
        <w:br w:type="page"/>
      </w:r>
    </w:p>
    <w:p w:rsidR="00970782" w:rsidRDefault="00970782" w:rsidP="00F34DAD">
      <w:pPr>
        <w:jc w:val="left"/>
        <w:rPr>
          <w:rFonts w:ascii="Times New Roman" w:hAnsi="Times New Roman" w:cs="Times New Roman"/>
          <w:b/>
          <w:sz w:val="24"/>
          <w:szCs w:val="24"/>
        </w:rPr>
      </w:pPr>
      <w:r>
        <w:rPr>
          <w:rFonts w:ascii="Times New Roman" w:hAnsi="Times New Roman" w:cs="Times New Roman"/>
          <w:b/>
          <w:sz w:val="24"/>
          <w:szCs w:val="24"/>
        </w:rPr>
        <w:lastRenderedPageBreak/>
        <w:t xml:space="preserve">Figure 1.3: </w:t>
      </w:r>
      <w:r w:rsidR="00CB2F29">
        <w:rPr>
          <w:rFonts w:ascii="Times New Roman" w:hAnsi="Times New Roman" w:cs="Times New Roman"/>
          <w:b/>
          <w:sz w:val="24"/>
          <w:szCs w:val="24"/>
        </w:rPr>
        <w:t xml:space="preserve">the impact of tax and benefit </w:t>
      </w:r>
      <w:r>
        <w:rPr>
          <w:rFonts w:ascii="Times New Roman" w:hAnsi="Times New Roman" w:cs="Times New Roman"/>
          <w:b/>
          <w:sz w:val="24"/>
          <w:szCs w:val="24"/>
        </w:rPr>
        <w:t xml:space="preserve">cuts </w:t>
      </w:r>
      <w:r w:rsidR="00CB2F29">
        <w:rPr>
          <w:rFonts w:ascii="Times New Roman" w:hAnsi="Times New Roman" w:cs="Times New Roman"/>
          <w:b/>
          <w:sz w:val="24"/>
          <w:szCs w:val="24"/>
        </w:rPr>
        <w:t>o</w:t>
      </w:r>
      <w:r>
        <w:rPr>
          <w:rFonts w:ascii="Times New Roman" w:hAnsi="Times New Roman" w:cs="Times New Roman"/>
          <w:b/>
          <w:sz w:val="24"/>
          <w:szCs w:val="24"/>
        </w:rPr>
        <w:t xml:space="preserve">n incomes for different </w:t>
      </w:r>
      <w:r w:rsidR="00132434">
        <w:rPr>
          <w:rFonts w:ascii="Times New Roman" w:hAnsi="Times New Roman" w:cs="Times New Roman"/>
          <w:b/>
          <w:sz w:val="24"/>
          <w:szCs w:val="24"/>
        </w:rPr>
        <w:t>household</w:t>
      </w:r>
      <w:r>
        <w:rPr>
          <w:rFonts w:ascii="Times New Roman" w:hAnsi="Times New Roman" w:cs="Times New Roman"/>
          <w:b/>
          <w:sz w:val="24"/>
          <w:szCs w:val="24"/>
        </w:rPr>
        <w:t xml:space="preserve"> </w:t>
      </w:r>
      <w:r w:rsidR="0000207A">
        <w:rPr>
          <w:rFonts w:ascii="Times New Roman" w:hAnsi="Times New Roman" w:cs="Times New Roman"/>
          <w:b/>
          <w:sz w:val="24"/>
          <w:szCs w:val="24"/>
        </w:rPr>
        <w:t xml:space="preserve">and income </w:t>
      </w:r>
      <w:r>
        <w:rPr>
          <w:rFonts w:ascii="Times New Roman" w:hAnsi="Times New Roman" w:cs="Times New Roman"/>
          <w:b/>
          <w:sz w:val="24"/>
          <w:szCs w:val="24"/>
        </w:rPr>
        <w:t>groups 2010</w:t>
      </w:r>
      <w:r w:rsidR="00CB2F29">
        <w:rPr>
          <w:rFonts w:ascii="Times New Roman" w:hAnsi="Times New Roman" w:cs="Times New Roman"/>
          <w:b/>
          <w:sz w:val="24"/>
          <w:szCs w:val="24"/>
        </w:rPr>
        <w:t xml:space="preserve"> to 2015</w:t>
      </w:r>
      <w:r>
        <w:rPr>
          <w:rFonts w:ascii="Times New Roman" w:hAnsi="Times New Roman" w:cs="Times New Roman"/>
          <w:b/>
          <w:sz w:val="24"/>
          <w:szCs w:val="24"/>
        </w:rPr>
        <w:t xml:space="preserve"> (%)</w:t>
      </w:r>
    </w:p>
    <w:p w:rsidR="00CB2F29" w:rsidRDefault="00CB2F29" w:rsidP="00F34DAD">
      <w:pPr>
        <w:jc w:val="left"/>
        <w:rPr>
          <w:rFonts w:ascii="Times New Roman" w:hAnsi="Times New Roman" w:cs="Times New Roman"/>
          <w:b/>
          <w:sz w:val="24"/>
          <w:szCs w:val="24"/>
        </w:rPr>
      </w:pPr>
    </w:p>
    <w:p w:rsidR="00970782" w:rsidRDefault="00970782" w:rsidP="00F34DAD">
      <w:pPr>
        <w:jc w:val="left"/>
        <w:rPr>
          <w:rFonts w:ascii="Times New Roman" w:hAnsi="Times New Roman" w:cs="Times New Roman"/>
          <w:sz w:val="24"/>
          <w:szCs w:val="24"/>
        </w:rPr>
      </w:pPr>
      <w:r w:rsidRPr="00970782">
        <w:rPr>
          <w:rFonts w:ascii="Times New Roman" w:hAnsi="Times New Roman" w:cs="Times New Roman"/>
          <w:noProof/>
          <w:sz w:val="24"/>
          <w:szCs w:val="24"/>
          <w:lang w:eastAsia="en-GB"/>
        </w:rPr>
        <w:drawing>
          <wp:inline distT="0" distB="0" distL="0" distR="0" wp14:anchorId="4E421718" wp14:editId="587CD25A">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70782" w:rsidRDefault="00970782" w:rsidP="00F34DAD">
      <w:pPr>
        <w:jc w:val="left"/>
        <w:rPr>
          <w:rFonts w:ascii="Times New Roman" w:hAnsi="Times New Roman" w:cs="Times New Roman"/>
          <w:sz w:val="24"/>
          <w:szCs w:val="24"/>
        </w:rPr>
      </w:pPr>
    </w:p>
    <w:p w:rsidR="0000207A" w:rsidRDefault="00970782" w:rsidP="00F34DAD">
      <w:pPr>
        <w:jc w:val="left"/>
        <w:rPr>
          <w:rFonts w:ascii="Times New Roman" w:hAnsi="Times New Roman" w:cs="Times New Roman"/>
          <w:sz w:val="24"/>
          <w:szCs w:val="24"/>
        </w:rPr>
      </w:pPr>
      <w:r>
        <w:rPr>
          <w:rFonts w:ascii="Times New Roman" w:hAnsi="Times New Roman" w:cs="Times New Roman"/>
          <w:sz w:val="24"/>
          <w:szCs w:val="24"/>
        </w:rPr>
        <w:t>Source: calculated from Adam</w:t>
      </w:r>
      <w:r w:rsidR="0000207A">
        <w:rPr>
          <w:rFonts w:ascii="Times New Roman" w:hAnsi="Times New Roman" w:cs="Times New Roman"/>
          <w:sz w:val="24"/>
          <w:szCs w:val="24"/>
        </w:rPr>
        <w:t xml:space="preserve"> (2012)</w:t>
      </w:r>
    </w:p>
    <w:p w:rsidR="00703A96" w:rsidRPr="00D76399" w:rsidRDefault="00703A96" w:rsidP="00F34DAD">
      <w:pPr>
        <w:jc w:val="left"/>
        <w:rPr>
          <w:rFonts w:ascii="Times New Roman" w:hAnsi="Times New Roman" w:cs="Times New Roman"/>
          <w:sz w:val="24"/>
          <w:szCs w:val="24"/>
        </w:rPr>
      </w:pPr>
    </w:p>
    <w:p w:rsidR="00EB3B45" w:rsidRDefault="00EB3B45" w:rsidP="00F34DAD">
      <w:pPr>
        <w:jc w:val="left"/>
        <w:rPr>
          <w:rFonts w:ascii="Times New Roman" w:hAnsi="Times New Roman" w:cs="Times New Roman"/>
          <w:b/>
          <w:sz w:val="24"/>
          <w:szCs w:val="24"/>
        </w:rPr>
      </w:pPr>
      <w:r>
        <w:rPr>
          <w:rFonts w:ascii="Times New Roman" w:hAnsi="Times New Roman" w:cs="Times New Roman"/>
          <w:b/>
          <w:sz w:val="24"/>
          <w:szCs w:val="24"/>
        </w:rPr>
        <w:br w:type="page"/>
      </w:r>
    </w:p>
    <w:p w:rsidR="00D34B4A" w:rsidRDefault="00D34B4A">
      <w:pPr>
        <w:rPr>
          <w:rFonts w:ascii="Times New Roman" w:hAnsi="Times New Roman" w:cs="Times New Roman"/>
          <w:sz w:val="24"/>
          <w:szCs w:val="24"/>
        </w:rPr>
      </w:pPr>
      <w:bookmarkStart w:id="0" w:name="_GoBack"/>
      <w:bookmarkEnd w:id="0"/>
    </w:p>
    <w:p w:rsidR="00034039" w:rsidRDefault="005E0406" w:rsidP="00D34B4A">
      <w:pPr>
        <w:spacing w:line="240" w:lineRule="auto"/>
        <w:jc w:val="both"/>
        <w:rPr>
          <w:rFonts w:ascii="Times New Roman" w:hAnsi="Times New Roman" w:cs="Times New Roman"/>
          <w:noProof/>
          <w:sz w:val="24"/>
          <w:szCs w:val="24"/>
        </w:rPr>
        <w:sectPr w:rsidR="00034039" w:rsidSect="00034039">
          <w:headerReference w:type="default" r:id="rId12"/>
          <w:footerReference w:type="default" r:id="rId13"/>
          <w:pgSz w:w="11906" w:h="16838"/>
          <w:pgMar w:top="1440" w:right="1440" w:bottom="1440" w:left="1440" w:header="708" w:footer="708" w:gutter="0"/>
          <w:cols w:space="708"/>
          <w:docGrid w:linePitch="360"/>
        </w:sectPr>
      </w:pPr>
      <w:r>
        <w:rPr>
          <w:rFonts w:ascii="Times New Roman" w:hAnsi="Times New Roman" w:cs="Times New Roman"/>
          <w:sz w:val="24"/>
          <w:szCs w:val="24"/>
        </w:rPr>
        <w:fldChar w:fldCharType="begin"/>
      </w:r>
      <w:r w:rsidR="00D34B4A">
        <w:rPr>
          <w:rFonts w:ascii="Times New Roman" w:hAnsi="Times New Roman" w:cs="Times New Roman"/>
          <w:sz w:val="24"/>
          <w:szCs w:val="24"/>
        </w:rPr>
        <w:instrText xml:space="preserve"> INDEX \h " " \c "2" \z "2057" </w:instrText>
      </w:r>
      <w:r>
        <w:rPr>
          <w:rFonts w:ascii="Times New Roman" w:hAnsi="Times New Roman" w:cs="Times New Roman"/>
          <w:sz w:val="24"/>
          <w:szCs w:val="24"/>
        </w:rPr>
        <w:fldChar w:fldCharType="separate"/>
      </w:r>
    </w:p>
    <w:p w:rsidR="00034039" w:rsidRDefault="00034039">
      <w:pPr>
        <w:pStyle w:val="IndexHeading"/>
        <w:keepNext/>
        <w:tabs>
          <w:tab w:val="right" w:leader="dot" w:pos="4143"/>
        </w:tabs>
        <w:rPr>
          <w:rFonts w:eastAsiaTheme="minorEastAsia"/>
          <w:b/>
          <w:bCs/>
          <w:noProof/>
        </w:rPr>
      </w:pPr>
      <w:r>
        <w:rPr>
          <w:noProof/>
        </w:rPr>
        <w:lastRenderedPageBreak/>
        <w:t xml:space="preserve"> </w:t>
      </w:r>
    </w:p>
    <w:p w:rsidR="00034039" w:rsidRDefault="00034039">
      <w:pPr>
        <w:pStyle w:val="Index1"/>
        <w:tabs>
          <w:tab w:val="right" w:leader="dot" w:pos="4143"/>
        </w:tabs>
        <w:rPr>
          <w:noProof/>
        </w:rPr>
      </w:pPr>
      <w:r w:rsidRPr="00466536">
        <w:rPr>
          <w:rFonts w:ascii="Times New Roman" w:hAnsi="Times New Roman" w:cs="Times New Roman"/>
          <w:noProof/>
          <w:color w:val="000000"/>
        </w:rPr>
        <w:t>A4E</w:t>
      </w:r>
      <w:r>
        <w:rPr>
          <w:noProof/>
        </w:rPr>
        <w:t>, 86</w:t>
      </w:r>
    </w:p>
    <w:p w:rsidR="00034039" w:rsidRDefault="00034039">
      <w:pPr>
        <w:pStyle w:val="Index1"/>
        <w:tabs>
          <w:tab w:val="right" w:leader="dot" w:pos="4143"/>
        </w:tabs>
        <w:rPr>
          <w:noProof/>
        </w:rPr>
      </w:pPr>
      <w:r w:rsidRPr="00466536">
        <w:rPr>
          <w:rFonts w:ascii="Times New Roman" w:hAnsi="Times New Roman" w:cs="Times New Roman"/>
          <w:noProof/>
        </w:rPr>
        <w:t>Academies</w:t>
      </w:r>
      <w:r>
        <w:rPr>
          <w:noProof/>
        </w:rPr>
        <w:t>, 21</w:t>
      </w:r>
    </w:p>
    <w:p w:rsidR="00034039" w:rsidRDefault="00034039">
      <w:pPr>
        <w:pStyle w:val="Index1"/>
        <w:tabs>
          <w:tab w:val="right" w:leader="dot" w:pos="4143"/>
        </w:tabs>
        <w:rPr>
          <w:noProof/>
        </w:rPr>
      </w:pPr>
      <w:r w:rsidRPr="00466536">
        <w:rPr>
          <w:rFonts w:ascii="Times New Roman" w:hAnsi="Times New Roman" w:cs="Times New Roman"/>
          <w:noProof/>
        </w:rPr>
        <w:t>Appleby</w:t>
      </w:r>
      <w:r>
        <w:rPr>
          <w:noProof/>
        </w:rPr>
        <w:t>, 19, 83</w:t>
      </w:r>
    </w:p>
    <w:p w:rsidR="00034039" w:rsidRDefault="00034039">
      <w:pPr>
        <w:pStyle w:val="Index1"/>
        <w:tabs>
          <w:tab w:val="right" w:leader="dot" w:pos="4143"/>
        </w:tabs>
        <w:rPr>
          <w:noProof/>
        </w:rPr>
      </w:pPr>
      <w:r w:rsidRPr="00466536">
        <w:rPr>
          <w:rFonts w:ascii="Times New Roman" w:hAnsi="Times New Roman" w:cs="Times New Roman"/>
          <w:noProof/>
        </w:rPr>
        <w:t>Atkinson</w:t>
      </w:r>
      <w:r>
        <w:rPr>
          <w:noProof/>
        </w:rPr>
        <w:t>, 35, 67</w:t>
      </w:r>
    </w:p>
    <w:p w:rsidR="00034039" w:rsidRDefault="00034039">
      <w:pPr>
        <w:pStyle w:val="Index1"/>
        <w:tabs>
          <w:tab w:val="right" w:leader="dot" w:pos="4143"/>
        </w:tabs>
        <w:rPr>
          <w:noProof/>
        </w:rPr>
      </w:pPr>
      <w:r w:rsidRPr="00466536">
        <w:rPr>
          <w:rFonts w:ascii="Times New Roman" w:hAnsi="Times New Roman" w:cs="Times New Roman"/>
          <w:noProof/>
          <w:color w:val="000000"/>
        </w:rPr>
        <w:t>Atos</w:t>
      </w:r>
      <w:r>
        <w:rPr>
          <w:noProof/>
        </w:rPr>
        <w:t>, 86</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Bailey</w:t>
      </w:r>
      <w:r>
        <w:rPr>
          <w:noProof/>
        </w:rPr>
        <w:t>, 35</w:t>
      </w:r>
    </w:p>
    <w:p w:rsidR="00034039" w:rsidRDefault="00034039">
      <w:pPr>
        <w:pStyle w:val="Index1"/>
        <w:tabs>
          <w:tab w:val="right" w:leader="dot" w:pos="4143"/>
        </w:tabs>
        <w:rPr>
          <w:noProof/>
        </w:rPr>
      </w:pPr>
      <w:r w:rsidRPr="00466536">
        <w:rPr>
          <w:rFonts w:ascii="Times New Roman" w:hAnsi="Times New Roman" w:cs="Times New Roman"/>
          <w:noProof/>
        </w:rPr>
        <w:t>Ball</w:t>
      </w:r>
      <w:r>
        <w:rPr>
          <w:noProof/>
        </w:rPr>
        <w:t>, 77</w:t>
      </w:r>
    </w:p>
    <w:p w:rsidR="00034039" w:rsidRDefault="00034039">
      <w:pPr>
        <w:pStyle w:val="Index1"/>
        <w:tabs>
          <w:tab w:val="right" w:leader="dot" w:pos="4143"/>
        </w:tabs>
        <w:rPr>
          <w:noProof/>
        </w:rPr>
      </w:pPr>
      <w:r w:rsidRPr="00466536">
        <w:rPr>
          <w:rFonts w:ascii="Times New Roman" w:hAnsi="Times New Roman" w:cs="Times New Roman"/>
          <w:noProof/>
        </w:rPr>
        <w:t>Bambra</w:t>
      </w:r>
      <w:r>
        <w:rPr>
          <w:noProof/>
        </w:rPr>
        <w:t>, 17</w:t>
      </w:r>
    </w:p>
    <w:p w:rsidR="00034039" w:rsidRDefault="00034039">
      <w:pPr>
        <w:pStyle w:val="Index1"/>
        <w:tabs>
          <w:tab w:val="right" w:leader="dot" w:pos="4143"/>
        </w:tabs>
        <w:rPr>
          <w:noProof/>
        </w:rPr>
      </w:pPr>
      <w:r w:rsidRPr="00466536">
        <w:rPr>
          <w:rFonts w:ascii="Times New Roman" w:hAnsi="Times New Roman" w:cs="Times New Roman"/>
          <w:noProof/>
        </w:rPr>
        <w:t>Bamfield</w:t>
      </w:r>
      <w:r>
        <w:rPr>
          <w:noProof/>
        </w:rPr>
        <w:t>, 56</w:t>
      </w:r>
    </w:p>
    <w:p w:rsidR="00034039" w:rsidRDefault="00034039">
      <w:pPr>
        <w:pStyle w:val="Index1"/>
        <w:tabs>
          <w:tab w:val="right" w:leader="dot" w:pos="4143"/>
        </w:tabs>
        <w:rPr>
          <w:noProof/>
        </w:rPr>
      </w:pPr>
      <w:r w:rsidRPr="00466536">
        <w:rPr>
          <w:rFonts w:ascii="Times New Roman" w:hAnsi="Times New Roman" w:cs="Times New Roman"/>
          <w:noProof/>
        </w:rPr>
        <w:t>Baumberg</w:t>
      </w:r>
      <w:r>
        <w:rPr>
          <w:noProof/>
        </w:rPr>
        <w:t>, 37, 61</w:t>
      </w:r>
    </w:p>
    <w:p w:rsidR="00034039" w:rsidRDefault="00034039">
      <w:pPr>
        <w:pStyle w:val="Index1"/>
        <w:tabs>
          <w:tab w:val="right" w:leader="dot" w:pos="4143"/>
        </w:tabs>
        <w:rPr>
          <w:noProof/>
        </w:rPr>
      </w:pPr>
      <w:r w:rsidRPr="00466536">
        <w:rPr>
          <w:rFonts w:ascii="Times New Roman" w:hAnsi="Times New Roman" w:cs="Times New Roman"/>
          <w:noProof/>
        </w:rPr>
        <w:t>Bell</w:t>
      </w:r>
      <w:r>
        <w:rPr>
          <w:noProof/>
        </w:rPr>
        <w:t>, 60</w:t>
      </w:r>
    </w:p>
    <w:p w:rsidR="00034039" w:rsidRDefault="00034039">
      <w:pPr>
        <w:pStyle w:val="Index1"/>
        <w:tabs>
          <w:tab w:val="right" w:leader="dot" w:pos="4143"/>
        </w:tabs>
        <w:rPr>
          <w:noProof/>
        </w:rPr>
      </w:pPr>
      <w:r w:rsidRPr="00466536">
        <w:rPr>
          <w:rFonts w:ascii="Times New Roman" w:hAnsi="Times New Roman" w:cs="Times New Roman"/>
          <w:noProof/>
        </w:rPr>
        <w:t>benefit uprating</w:t>
      </w:r>
      <w:r>
        <w:rPr>
          <w:noProof/>
        </w:rPr>
        <w:t>, 15</w:t>
      </w:r>
    </w:p>
    <w:p w:rsidR="00034039" w:rsidRDefault="00034039">
      <w:pPr>
        <w:pStyle w:val="Index1"/>
        <w:tabs>
          <w:tab w:val="right" w:leader="dot" w:pos="4143"/>
        </w:tabs>
        <w:rPr>
          <w:noProof/>
        </w:rPr>
      </w:pPr>
      <w:r w:rsidRPr="00466536">
        <w:rPr>
          <w:rFonts w:ascii="Times New Roman" w:hAnsi="Times New Roman" w:cs="Times New Roman"/>
          <w:noProof/>
        </w:rPr>
        <w:t>Ben-Galim</w:t>
      </w:r>
      <w:r>
        <w:rPr>
          <w:noProof/>
        </w:rPr>
        <w:t>, 64</w:t>
      </w:r>
    </w:p>
    <w:p w:rsidR="00034039" w:rsidRDefault="00034039">
      <w:pPr>
        <w:pStyle w:val="Index1"/>
        <w:tabs>
          <w:tab w:val="right" w:leader="dot" w:pos="4143"/>
        </w:tabs>
        <w:rPr>
          <w:noProof/>
        </w:rPr>
      </w:pPr>
      <w:r w:rsidRPr="00466536">
        <w:rPr>
          <w:rFonts w:ascii="Times New Roman" w:hAnsi="Times New Roman" w:cs="Times New Roman"/>
          <w:noProof/>
        </w:rPr>
        <w:t>Big Society</w:t>
      </w:r>
      <w:r>
        <w:rPr>
          <w:noProof/>
        </w:rPr>
        <w:t>, 22</w:t>
      </w:r>
    </w:p>
    <w:p w:rsidR="00034039" w:rsidRDefault="00034039">
      <w:pPr>
        <w:pStyle w:val="Index1"/>
        <w:tabs>
          <w:tab w:val="right" w:leader="dot" w:pos="4143"/>
        </w:tabs>
        <w:rPr>
          <w:noProof/>
        </w:rPr>
      </w:pPr>
      <w:r w:rsidRPr="00466536">
        <w:rPr>
          <w:rFonts w:ascii="Times New Roman" w:hAnsi="Times New Roman" w:cs="Times New Roman"/>
          <w:noProof/>
        </w:rPr>
        <w:t>Blanden</w:t>
      </w:r>
      <w:r>
        <w:rPr>
          <w:noProof/>
        </w:rPr>
        <w:t>, 81</w:t>
      </w:r>
    </w:p>
    <w:p w:rsidR="00034039" w:rsidRDefault="00034039">
      <w:pPr>
        <w:pStyle w:val="Index1"/>
        <w:tabs>
          <w:tab w:val="right" w:leader="dot" w:pos="4143"/>
        </w:tabs>
        <w:rPr>
          <w:noProof/>
        </w:rPr>
      </w:pPr>
      <w:r w:rsidRPr="00466536">
        <w:rPr>
          <w:rFonts w:ascii="Times New Roman" w:hAnsi="Times New Roman" w:cs="Times New Roman"/>
          <w:noProof/>
        </w:rPr>
        <w:t>Bonoli</w:t>
      </w:r>
      <w:r>
        <w:rPr>
          <w:noProof/>
        </w:rPr>
        <w:t>, 98</w:t>
      </w:r>
    </w:p>
    <w:p w:rsidR="00034039" w:rsidRDefault="00034039">
      <w:pPr>
        <w:pStyle w:val="Index1"/>
        <w:tabs>
          <w:tab w:val="right" w:leader="dot" w:pos="4143"/>
        </w:tabs>
        <w:rPr>
          <w:noProof/>
        </w:rPr>
      </w:pPr>
      <w:r w:rsidRPr="00466536">
        <w:rPr>
          <w:rFonts w:ascii="Times New Roman" w:hAnsi="Times New Roman" w:cs="Times New Roman"/>
          <w:noProof/>
        </w:rPr>
        <w:t>British Social Attitudes survey</w:t>
      </w:r>
      <w:r>
        <w:rPr>
          <w:noProof/>
        </w:rPr>
        <w:t>, 37, 52, 55, 56, 83</w:t>
      </w:r>
    </w:p>
    <w:p w:rsidR="00034039" w:rsidRDefault="00034039">
      <w:pPr>
        <w:pStyle w:val="Index1"/>
        <w:tabs>
          <w:tab w:val="right" w:leader="dot" w:pos="4143"/>
        </w:tabs>
        <w:rPr>
          <w:noProof/>
        </w:rPr>
      </w:pPr>
      <w:r w:rsidRPr="00466536">
        <w:rPr>
          <w:rFonts w:ascii="Times New Roman" w:hAnsi="Times New Roman" w:cs="Times New Roman"/>
          <w:noProof/>
        </w:rPr>
        <w:t>Browne</w:t>
      </w:r>
      <w:r>
        <w:rPr>
          <w:noProof/>
        </w:rPr>
        <w:t>, 16, 18, 55, 58, 102</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Cabinet Office</w:t>
      </w:r>
      <w:r>
        <w:rPr>
          <w:noProof/>
        </w:rPr>
        <w:t>, 20, 101</w:t>
      </w:r>
    </w:p>
    <w:p w:rsidR="00034039" w:rsidRDefault="00034039">
      <w:pPr>
        <w:pStyle w:val="Index1"/>
        <w:tabs>
          <w:tab w:val="right" w:leader="dot" w:pos="4143"/>
        </w:tabs>
        <w:rPr>
          <w:noProof/>
        </w:rPr>
      </w:pPr>
      <w:r w:rsidRPr="00466536">
        <w:rPr>
          <w:rFonts w:ascii="Times New Roman" w:hAnsi="Times New Roman" w:cs="Times New Roman"/>
          <w:noProof/>
        </w:rPr>
        <w:t>Cameron</w:t>
      </w:r>
      <w:r>
        <w:rPr>
          <w:noProof/>
        </w:rPr>
        <w:t>, 20</w:t>
      </w:r>
    </w:p>
    <w:p w:rsidR="00034039" w:rsidRDefault="00034039">
      <w:pPr>
        <w:pStyle w:val="Index1"/>
        <w:tabs>
          <w:tab w:val="right" w:leader="dot" w:pos="4143"/>
        </w:tabs>
        <w:rPr>
          <w:noProof/>
        </w:rPr>
      </w:pPr>
      <w:r w:rsidRPr="00466536">
        <w:rPr>
          <w:rFonts w:ascii="Times New Roman" w:hAnsi="Times New Roman" w:cs="Times New Roman"/>
          <w:noProof/>
        </w:rPr>
        <w:t>Canada</w:t>
      </w:r>
      <w:r>
        <w:rPr>
          <w:noProof/>
        </w:rPr>
        <w:t>, 63</w:t>
      </w:r>
    </w:p>
    <w:p w:rsidR="00034039" w:rsidRDefault="00034039">
      <w:pPr>
        <w:pStyle w:val="Index1"/>
        <w:tabs>
          <w:tab w:val="right" w:leader="dot" w:pos="4143"/>
        </w:tabs>
        <w:rPr>
          <w:noProof/>
        </w:rPr>
      </w:pPr>
      <w:r w:rsidRPr="00466536">
        <w:rPr>
          <w:rFonts w:ascii="Times New Roman" w:hAnsi="Times New Roman" w:cs="Times New Roman"/>
          <w:noProof/>
        </w:rPr>
        <w:t>Capital Gains Tax</w:t>
      </w:r>
      <w:r>
        <w:rPr>
          <w:noProof/>
        </w:rPr>
        <w:t>, 13</w:t>
      </w:r>
    </w:p>
    <w:p w:rsidR="00034039" w:rsidRDefault="00034039">
      <w:pPr>
        <w:pStyle w:val="Index1"/>
        <w:tabs>
          <w:tab w:val="right" w:leader="dot" w:pos="4143"/>
        </w:tabs>
        <w:rPr>
          <w:noProof/>
        </w:rPr>
      </w:pPr>
      <w:r w:rsidRPr="00466536">
        <w:rPr>
          <w:rFonts w:ascii="Times New Roman" w:hAnsi="Times New Roman" w:cs="Times New Roman"/>
          <w:noProof/>
        </w:rPr>
        <w:t>Care Quality Commission</w:t>
      </w:r>
      <w:r>
        <w:rPr>
          <w:noProof/>
        </w:rPr>
        <w:t>, 86</w:t>
      </w:r>
    </w:p>
    <w:p w:rsidR="00034039" w:rsidRDefault="00034039">
      <w:pPr>
        <w:pStyle w:val="Index1"/>
        <w:tabs>
          <w:tab w:val="right" w:leader="dot" w:pos="4143"/>
        </w:tabs>
        <w:rPr>
          <w:noProof/>
        </w:rPr>
      </w:pPr>
      <w:r w:rsidRPr="00466536">
        <w:rPr>
          <w:rFonts w:ascii="Times New Roman" w:hAnsi="Times New Roman" w:cs="Times New Roman"/>
          <w:noProof/>
        </w:rPr>
        <w:t>cash benefits</w:t>
      </w:r>
      <w:r>
        <w:rPr>
          <w:noProof/>
        </w:rPr>
        <w:t>, 22, 102</w:t>
      </w:r>
    </w:p>
    <w:p w:rsidR="00034039" w:rsidRDefault="00034039">
      <w:pPr>
        <w:pStyle w:val="Index1"/>
        <w:tabs>
          <w:tab w:val="right" w:leader="dot" w:pos="4143"/>
        </w:tabs>
        <w:rPr>
          <w:noProof/>
        </w:rPr>
      </w:pPr>
      <w:r w:rsidRPr="00466536">
        <w:rPr>
          <w:rFonts w:ascii="Times New Roman" w:hAnsi="Times New Roman" w:cs="Times New Roman"/>
          <w:noProof/>
        </w:rPr>
        <w:t>Charity Commission</w:t>
      </w:r>
      <w:r>
        <w:rPr>
          <w:noProof/>
        </w:rPr>
        <w:t>, 81</w:t>
      </w:r>
    </w:p>
    <w:p w:rsidR="00034039" w:rsidRDefault="00034039">
      <w:pPr>
        <w:pStyle w:val="Index1"/>
        <w:tabs>
          <w:tab w:val="right" w:leader="dot" w:pos="4143"/>
        </w:tabs>
        <w:rPr>
          <w:noProof/>
        </w:rPr>
      </w:pPr>
      <w:r w:rsidRPr="00466536">
        <w:rPr>
          <w:rFonts w:ascii="Times New Roman" w:hAnsi="Times New Roman" w:cs="Times New Roman"/>
          <w:noProof/>
        </w:rPr>
        <w:t>child benefit</w:t>
      </w:r>
      <w:r>
        <w:rPr>
          <w:noProof/>
        </w:rPr>
        <w:t>, 15, 18, 61, 102, 103</w:t>
      </w:r>
    </w:p>
    <w:p w:rsidR="00034039" w:rsidRDefault="00034039">
      <w:pPr>
        <w:pStyle w:val="Index1"/>
        <w:tabs>
          <w:tab w:val="right" w:leader="dot" w:pos="4143"/>
        </w:tabs>
        <w:rPr>
          <w:noProof/>
        </w:rPr>
      </w:pPr>
      <w:r w:rsidRPr="00466536">
        <w:rPr>
          <w:rFonts w:ascii="Times New Roman" w:hAnsi="Times New Roman" w:cs="Times New Roman"/>
          <w:noProof/>
        </w:rPr>
        <w:t>Child Poverty Act</w:t>
      </w:r>
      <w:r>
        <w:rPr>
          <w:noProof/>
        </w:rPr>
        <w:t>, 61, 95</w:t>
      </w:r>
    </w:p>
    <w:p w:rsidR="00034039" w:rsidRDefault="00034039">
      <w:pPr>
        <w:pStyle w:val="Index1"/>
        <w:tabs>
          <w:tab w:val="right" w:leader="dot" w:pos="4143"/>
        </w:tabs>
        <w:rPr>
          <w:noProof/>
        </w:rPr>
      </w:pPr>
      <w:r w:rsidRPr="00466536">
        <w:rPr>
          <w:rFonts w:ascii="Times New Roman" w:hAnsi="Times New Roman" w:cs="Times New Roman"/>
          <w:noProof/>
        </w:rPr>
        <w:t>Child Poverty Action Group</w:t>
      </w:r>
      <w:r>
        <w:rPr>
          <w:noProof/>
        </w:rPr>
        <w:t>, 61</w:t>
      </w:r>
    </w:p>
    <w:p w:rsidR="00034039" w:rsidRDefault="00034039">
      <w:pPr>
        <w:pStyle w:val="Index1"/>
        <w:tabs>
          <w:tab w:val="right" w:leader="dot" w:pos="4143"/>
        </w:tabs>
        <w:rPr>
          <w:noProof/>
        </w:rPr>
      </w:pPr>
      <w:r w:rsidRPr="00466536">
        <w:rPr>
          <w:rFonts w:ascii="Times New Roman" w:hAnsi="Times New Roman" w:cs="Times New Roman"/>
          <w:noProof/>
        </w:rPr>
        <w:t>Child Tax Credit</w:t>
      </w:r>
      <w:r>
        <w:rPr>
          <w:noProof/>
        </w:rPr>
        <w:t>, 62, 103</w:t>
      </w:r>
    </w:p>
    <w:p w:rsidR="00034039" w:rsidRDefault="00034039">
      <w:pPr>
        <w:pStyle w:val="Index1"/>
        <w:tabs>
          <w:tab w:val="right" w:leader="dot" w:pos="4143"/>
        </w:tabs>
        <w:rPr>
          <w:noProof/>
        </w:rPr>
      </w:pPr>
      <w:r w:rsidRPr="00466536">
        <w:rPr>
          <w:rFonts w:ascii="Times New Roman" w:hAnsi="Times New Roman" w:cs="Times New Roman"/>
          <w:noProof/>
        </w:rPr>
        <w:t>childcare</w:t>
      </w:r>
      <w:r>
        <w:rPr>
          <w:noProof/>
        </w:rPr>
        <w:t>, 64, 80, 94, 95, 100, 101</w:t>
      </w:r>
    </w:p>
    <w:p w:rsidR="00034039" w:rsidRDefault="00034039">
      <w:pPr>
        <w:pStyle w:val="Index1"/>
        <w:tabs>
          <w:tab w:val="right" w:leader="dot" w:pos="4143"/>
        </w:tabs>
        <w:rPr>
          <w:noProof/>
        </w:rPr>
      </w:pPr>
      <w:r w:rsidRPr="00466536">
        <w:rPr>
          <w:rFonts w:ascii="Times New Roman" w:hAnsi="Times New Roman" w:cs="Times New Roman"/>
          <w:noProof/>
        </w:rPr>
        <w:t>Coalition</w:t>
      </w:r>
      <w:r>
        <w:rPr>
          <w:noProof/>
        </w:rPr>
        <w:t>, 12, 32, 39, 41, 43, 45, 100, 104</w:t>
      </w:r>
    </w:p>
    <w:p w:rsidR="00034039" w:rsidRDefault="00034039">
      <w:pPr>
        <w:pStyle w:val="Index1"/>
        <w:tabs>
          <w:tab w:val="right" w:leader="dot" w:pos="4143"/>
        </w:tabs>
        <w:rPr>
          <w:noProof/>
        </w:rPr>
      </w:pPr>
      <w:r w:rsidRPr="00466536">
        <w:rPr>
          <w:rFonts w:ascii="Times New Roman" w:hAnsi="Times New Roman" w:cs="Times New Roman"/>
          <w:noProof/>
        </w:rPr>
        <w:t>community charge</w:t>
      </w:r>
      <w:r>
        <w:rPr>
          <w:noProof/>
        </w:rPr>
        <w:t>, 23</w:t>
      </w:r>
    </w:p>
    <w:p w:rsidR="00034039" w:rsidRDefault="00034039">
      <w:pPr>
        <w:pStyle w:val="Index1"/>
        <w:tabs>
          <w:tab w:val="right" w:leader="dot" w:pos="4143"/>
        </w:tabs>
        <w:rPr>
          <w:noProof/>
        </w:rPr>
      </w:pPr>
      <w:r w:rsidRPr="00466536">
        <w:rPr>
          <w:rFonts w:ascii="Times New Roman" w:hAnsi="Times New Roman" w:cs="Times New Roman"/>
          <w:noProof/>
        </w:rPr>
        <w:t>Compass</w:t>
      </w:r>
      <w:r>
        <w:rPr>
          <w:noProof/>
        </w:rPr>
        <w:t>, 64</w:t>
      </w:r>
    </w:p>
    <w:p w:rsidR="00034039" w:rsidRDefault="00034039">
      <w:pPr>
        <w:pStyle w:val="Index1"/>
        <w:tabs>
          <w:tab w:val="right" w:leader="dot" w:pos="4143"/>
        </w:tabs>
        <w:rPr>
          <w:noProof/>
        </w:rPr>
      </w:pPr>
      <w:r w:rsidRPr="00466536">
        <w:rPr>
          <w:rFonts w:ascii="Times New Roman" w:hAnsi="Times New Roman" w:cs="Times New Roman"/>
          <w:noProof/>
        </w:rPr>
        <w:t>competition</w:t>
      </w:r>
      <w:r>
        <w:rPr>
          <w:noProof/>
        </w:rPr>
        <w:t>, 20, 26, 40, 78</w:t>
      </w:r>
    </w:p>
    <w:p w:rsidR="00034039" w:rsidRDefault="00034039">
      <w:pPr>
        <w:pStyle w:val="Index1"/>
        <w:tabs>
          <w:tab w:val="right" w:leader="dot" w:pos="4143"/>
        </w:tabs>
        <w:rPr>
          <w:noProof/>
        </w:rPr>
      </w:pPr>
      <w:r w:rsidRPr="00466536">
        <w:rPr>
          <w:rFonts w:ascii="Times New Roman" w:hAnsi="Times New Roman" w:cs="Times New Roman"/>
          <w:noProof/>
        </w:rPr>
        <w:t>consumer price index</w:t>
      </w:r>
      <w:r>
        <w:rPr>
          <w:noProof/>
        </w:rPr>
        <w:t>, 15</w:t>
      </w:r>
    </w:p>
    <w:p w:rsidR="00034039" w:rsidRDefault="00034039">
      <w:pPr>
        <w:pStyle w:val="Index1"/>
        <w:tabs>
          <w:tab w:val="right" w:leader="dot" w:pos="4143"/>
        </w:tabs>
        <w:rPr>
          <w:noProof/>
        </w:rPr>
      </w:pPr>
      <w:r>
        <w:rPr>
          <w:noProof/>
        </w:rPr>
        <w:t>consumerism, 28, 44</w:t>
      </w:r>
    </w:p>
    <w:p w:rsidR="00034039" w:rsidRDefault="00034039">
      <w:pPr>
        <w:pStyle w:val="Index1"/>
        <w:tabs>
          <w:tab w:val="right" w:leader="dot" w:pos="4143"/>
        </w:tabs>
        <w:rPr>
          <w:noProof/>
        </w:rPr>
      </w:pPr>
      <w:r w:rsidRPr="00466536">
        <w:rPr>
          <w:rFonts w:ascii="Times New Roman" w:hAnsi="Times New Roman" w:cs="Times New Roman"/>
          <w:noProof/>
        </w:rPr>
        <w:t>corporation tax</w:t>
      </w:r>
      <w:r>
        <w:rPr>
          <w:noProof/>
        </w:rPr>
        <w:t>, 13</w:t>
      </w:r>
    </w:p>
    <w:p w:rsidR="00034039" w:rsidRDefault="00034039">
      <w:pPr>
        <w:pStyle w:val="Index1"/>
        <w:tabs>
          <w:tab w:val="right" w:leader="dot" w:pos="4143"/>
        </w:tabs>
        <w:rPr>
          <w:noProof/>
        </w:rPr>
      </w:pPr>
      <w:r w:rsidRPr="00466536">
        <w:rPr>
          <w:rFonts w:ascii="Times New Roman" w:hAnsi="Times New Roman" w:cs="Times New Roman"/>
          <w:noProof/>
        </w:rPr>
        <w:t>cost saving</w:t>
      </w:r>
      <w:r>
        <w:rPr>
          <w:noProof/>
        </w:rPr>
        <w:t>, 26</w:t>
      </w:r>
    </w:p>
    <w:p w:rsidR="00034039" w:rsidRDefault="00034039">
      <w:pPr>
        <w:pStyle w:val="Index1"/>
        <w:tabs>
          <w:tab w:val="right" w:leader="dot" w:pos="4143"/>
        </w:tabs>
        <w:rPr>
          <w:noProof/>
        </w:rPr>
      </w:pPr>
      <w:r>
        <w:rPr>
          <w:noProof/>
        </w:rPr>
        <w:t>cost-saving</w:t>
      </w:r>
    </w:p>
    <w:p w:rsidR="00034039" w:rsidRDefault="00034039">
      <w:pPr>
        <w:pStyle w:val="Index2"/>
        <w:tabs>
          <w:tab w:val="right" w:leader="dot" w:pos="4143"/>
        </w:tabs>
        <w:rPr>
          <w:noProof/>
        </w:rPr>
      </w:pPr>
      <w:r>
        <w:rPr>
          <w:noProof/>
        </w:rPr>
        <w:t>price competition, 20, 83, 85, 96</w:t>
      </w:r>
    </w:p>
    <w:p w:rsidR="00034039" w:rsidRDefault="00034039">
      <w:pPr>
        <w:pStyle w:val="Index1"/>
        <w:tabs>
          <w:tab w:val="right" w:leader="dot" w:pos="4143"/>
        </w:tabs>
        <w:rPr>
          <w:noProof/>
        </w:rPr>
      </w:pPr>
      <w:r>
        <w:rPr>
          <w:noProof/>
        </w:rPr>
        <w:t>cuts, 13, 22, 28, 32, 37, 39, 40, 51, 91, 96, 101, 104</w:t>
      </w:r>
    </w:p>
    <w:p w:rsidR="00034039" w:rsidRDefault="00034039">
      <w:pPr>
        <w:pStyle w:val="Index2"/>
        <w:tabs>
          <w:tab w:val="right" w:leader="dot" w:pos="4143"/>
        </w:tabs>
        <w:rPr>
          <w:noProof/>
        </w:rPr>
      </w:pPr>
      <w:r>
        <w:rPr>
          <w:noProof/>
        </w:rPr>
        <w:t>benefit cuts, 13</w:t>
      </w:r>
    </w:p>
    <w:p w:rsidR="00034039" w:rsidRDefault="00034039">
      <w:pPr>
        <w:pStyle w:val="Index2"/>
        <w:tabs>
          <w:tab w:val="right" w:leader="dot" w:pos="4143"/>
        </w:tabs>
        <w:rPr>
          <w:noProof/>
        </w:rPr>
      </w:pPr>
      <w:r>
        <w:rPr>
          <w:noProof/>
        </w:rPr>
        <w:t>Canada, 43</w:t>
      </w:r>
    </w:p>
    <w:p w:rsidR="00034039" w:rsidRDefault="00034039">
      <w:pPr>
        <w:pStyle w:val="Index2"/>
        <w:tabs>
          <w:tab w:val="right" w:leader="dot" w:pos="4143"/>
        </w:tabs>
        <w:rPr>
          <w:noProof/>
        </w:rPr>
      </w:pPr>
      <w:r>
        <w:rPr>
          <w:noProof/>
        </w:rPr>
        <w:t>New Zealand, 43</w:t>
      </w:r>
    </w:p>
    <w:p w:rsidR="00034039" w:rsidRDefault="00034039">
      <w:pPr>
        <w:pStyle w:val="Index2"/>
        <w:tabs>
          <w:tab w:val="right" w:leader="dot" w:pos="4143"/>
        </w:tabs>
        <w:rPr>
          <w:noProof/>
        </w:rPr>
      </w:pPr>
      <w:r>
        <w:rPr>
          <w:noProof/>
        </w:rPr>
        <w:t>services, 17</w:t>
      </w:r>
    </w:p>
    <w:p w:rsidR="00034039" w:rsidRDefault="00034039">
      <w:pPr>
        <w:pStyle w:val="Index2"/>
        <w:tabs>
          <w:tab w:val="right" w:leader="dot" w:pos="4143"/>
        </w:tabs>
        <w:rPr>
          <w:noProof/>
        </w:rPr>
      </w:pPr>
      <w:r>
        <w:rPr>
          <w:noProof/>
        </w:rPr>
        <w:lastRenderedPageBreak/>
        <w:t>women, 18</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DCLG</w:t>
      </w:r>
      <w:r>
        <w:rPr>
          <w:noProof/>
        </w:rPr>
        <w:t>, 18</w:t>
      </w:r>
    </w:p>
    <w:p w:rsidR="00034039" w:rsidRDefault="00034039">
      <w:pPr>
        <w:pStyle w:val="Index1"/>
        <w:tabs>
          <w:tab w:val="right" w:leader="dot" w:pos="4143"/>
        </w:tabs>
        <w:rPr>
          <w:noProof/>
        </w:rPr>
      </w:pPr>
      <w:r w:rsidRPr="00466536">
        <w:rPr>
          <w:rFonts w:ascii="Times New Roman" w:hAnsi="Times New Roman" w:cs="Times New Roman"/>
          <w:noProof/>
        </w:rPr>
        <w:t>decentralisation</w:t>
      </w:r>
      <w:r>
        <w:rPr>
          <w:noProof/>
        </w:rPr>
        <w:t>, 22</w:t>
      </w:r>
    </w:p>
    <w:p w:rsidR="00034039" w:rsidRDefault="00034039">
      <w:pPr>
        <w:pStyle w:val="Index1"/>
        <w:tabs>
          <w:tab w:val="right" w:leader="dot" w:pos="4143"/>
        </w:tabs>
        <w:rPr>
          <w:noProof/>
        </w:rPr>
      </w:pPr>
      <w:r w:rsidRPr="00466536">
        <w:rPr>
          <w:rFonts w:ascii="Times New Roman" w:hAnsi="Times New Roman" w:cs="Times New Roman"/>
          <w:noProof/>
        </w:rPr>
        <w:t>disabled people</w:t>
      </w:r>
      <w:r>
        <w:rPr>
          <w:noProof/>
        </w:rPr>
        <w:t>, 15, 16</w:t>
      </w:r>
    </w:p>
    <w:p w:rsidR="00034039" w:rsidRDefault="00034039">
      <w:pPr>
        <w:pStyle w:val="Index1"/>
        <w:tabs>
          <w:tab w:val="right" w:leader="dot" w:pos="4143"/>
        </w:tabs>
        <w:rPr>
          <w:noProof/>
        </w:rPr>
      </w:pPr>
      <w:r w:rsidRPr="00466536">
        <w:rPr>
          <w:rFonts w:ascii="Times New Roman" w:hAnsi="Times New Roman" w:cs="Times New Roman"/>
          <w:noProof/>
        </w:rPr>
        <w:t>Dorling</w:t>
      </w:r>
      <w:r>
        <w:rPr>
          <w:noProof/>
        </w:rPr>
        <w:t>, 33</w:t>
      </w:r>
    </w:p>
    <w:p w:rsidR="00034039" w:rsidRDefault="00034039">
      <w:pPr>
        <w:pStyle w:val="Index1"/>
        <w:tabs>
          <w:tab w:val="right" w:leader="dot" w:pos="4143"/>
        </w:tabs>
        <w:rPr>
          <w:noProof/>
        </w:rPr>
      </w:pPr>
      <w:r>
        <w:rPr>
          <w:noProof/>
        </w:rPr>
        <w:t>double crisis, vi, viii, 11, 50, 89, 91, 103</w:t>
      </w:r>
    </w:p>
    <w:p w:rsidR="00034039" w:rsidRDefault="00034039">
      <w:pPr>
        <w:pStyle w:val="Index1"/>
        <w:tabs>
          <w:tab w:val="right" w:leader="dot" w:pos="4143"/>
        </w:tabs>
        <w:rPr>
          <w:noProof/>
        </w:rPr>
      </w:pPr>
      <w:r w:rsidRPr="00466536">
        <w:rPr>
          <w:rFonts w:ascii="Times New Roman" w:hAnsi="Times New Roman" w:cs="Times New Roman"/>
          <w:noProof/>
        </w:rPr>
        <w:t>DWP</w:t>
      </w:r>
      <w:r>
        <w:rPr>
          <w:noProof/>
        </w:rPr>
        <w:t>, 15, 16, 23, 42, 57, 65, 77</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EC</w:t>
      </w:r>
      <w:r>
        <w:rPr>
          <w:noProof/>
        </w:rPr>
        <w:t>, 90, 92</w:t>
      </w:r>
    </w:p>
    <w:p w:rsidR="00034039" w:rsidRDefault="00034039">
      <w:pPr>
        <w:pStyle w:val="Index2"/>
        <w:tabs>
          <w:tab w:val="right" w:leader="dot" w:pos="4143"/>
        </w:tabs>
        <w:rPr>
          <w:noProof/>
        </w:rPr>
      </w:pPr>
      <w:r>
        <w:rPr>
          <w:noProof/>
        </w:rPr>
        <w:t>Economic and Finance Committee, 72</w:t>
      </w:r>
    </w:p>
    <w:p w:rsidR="00034039" w:rsidRDefault="00034039">
      <w:pPr>
        <w:pStyle w:val="Index1"/>
        <w:tabs>
          <w:tab w:val="right" w:leader="dot" w:pos="4143"/>
        </w:tabs>
        <w:rPr>
          <w:noProof/>
        </w:rPr>
      </w:pPr>
      <w:r w:rsidRPr="00466536">
        <w:rPr>
          <w:rFonts w:ascii="Times New Roman" w:hAnsi="Times New Roman" w:cs="Times New Roman"/>
          <w:noProof/>
        </w:rPr>
        <w:t>economic decline</w:t>
      </w:r>
      <w:r>
        <w:rPr>
          <w:noProof/>
        </w:rPr>
        <w:t>, 41</w:t>
      </w:r>
    </w:p>
    <w:p w:rsidR="00034039" w:rsidRDefault="00034039">
      <w:pPr>
        <w:pStyle w:val="Index1"/>
        <w:tabs>
          <w:tab w:val="right" w:leader="dot" w:pos="4143"/>
        </w:tabs>
        <w:rPr>
          <w:noProof/>
        </w:rPr>
      </w:pPr>
      <w:r w:rsidRPr="00466536">
        <w:rPr>
          <w:rFonts w:ascii="Times New Roman" w:hAnsi="Times New Roman" w:cs="Times New Roman"/>
          <w:noProof/>
        </w:rPr>
        <w:t>education</w:t>
      </w:r>
      <w:r>
        <w:rPr>
          <w:noProof/>
        </w:rPr>
        <w:t>, vi, 13, 15, 21, 53, 101</w:t>
      </w:r>
    </w:p>
    <w:p w:rsidR="00034039" w:rsidRDefault="00034039">
      <w:pPr>
        <w:pStyle w:val="Index2"/>
        <w:tabs>
          <w:tab w:val="right" w:leader="dot" w:pos="4143"/>
        </w:tabs>
        <w:rPr>
          <w:noProof/>
        </w:rPr>
      </w:pPr>
      <w:r>
        <w:rPr>
          <w:noProof/>
        </w:rPr>
        <w:t>gender, 76</w:t>
      </w:r>
    </w:p>
    <w:p w:rsidR="00034039" w:rsidRDefault="00034039">
      <w:pPr>
        <w:pStyle w:val="Index1"/>
        <w:tabs>
          <w:tab w:val="right" w:leader="dot" w:pos="4143"/>
        </w:tabs>
        <w:rPr>
          <w:noProof/>
        </w:rPr>
      </w:pPr>
      <w:r w:rsidRPr="00466536">
        <w:rPr>
          <w:rFonts w:ascii="Times New Roman" w:hAnsi="Times New Roman" w:cs="Times New Roman"/>
          <w:noProof/>
        </w:rPr>
        <w:t>efficiency savings</w:t>
      </w:r>
      <w:r>
        <w:rPr>
          <w:noProof/>
        </w:rPr>
        <w:t>, 96</w:t>
      </w:r>
    </w:p>
    <w:p w:rsidR="00034039" w:rsidRDefault="00034039">
      <w:pPr>
        <w:pStyle w:val="Index1"/>
        <w:tabs>
          <w:tab w:val="right" w:leader="dot" w:pos="4143"/>
        </w:tabs>
        <w:rPr>
          <w:noProof/>
        </w:rPr>
      </w:pPr>
      <w:r w:rsidRPr="00466536">
        <w:rPr>
          <w:rFonts w:ascii="Times New Roman" w:hAnsi="Times New Roman" w:cs="Times New Roman"/>
          <w:noProof/>
        </w:rPr>
        <w:t>employment protection</w:t>
      </w:r>
      <w:r>
        <w:rPr>
          <w:noProof/>
        </w:rPr>
        <w:t>, viii, 35, 66, 99</w:t>
      </w:r>
    </w:p>
    <w:p w:rsidR="00034039" w:rsidRDefault="00034039">
      <w:pPr>
        <w:pStyle w:val="Index1"/>
        <w:tabs>
          <w:tab w:val="right" w:leader="dot" w:pos="4143"/>
        </w:tabs>
        <w:rPr>
          <w:noProof/>
        </w:rPr>
      </w:pPr>
      <w:r w:rsidRPr="00466536">
        <w:rPr>
          <w:rFonts w:ascii="Times New Roman" w:hAnsi="Times New Roman" w:cs="Times New Roman"/>
          <w:noProof/>
        </w:rPr>
        <w:t>Employment Service</w:t>
      </w:r>
      <w:r>
        <w:rPr>
          <w:noProof/>
        </w:rPr>
        <w:t>, 22</w:t>
      </w:r>
    </w:p>
    <w:p w:rsidR="00034039" w:rsidRDefault="00034039">
      <w:pPr>
        <w:pStyle w:val="Index1"/>
        <w:tabs>
          <w:tab w:val="right" w:leader="dot" w:pos="4143"/>
        </w:tabs>
        <w:rPr>
          <w:noProof/>
        </w:rPr>
      </w:pPr>
      <w:r w:rsidRPr="00466536">
        <w:rPr>
          <w:rFonts w:ascii="Times New Roman" w:hAnsi="Times New Roman" w:cs="Times New Roman"/>
          <w:noProof/>
        </w:rPr>
        <w:t>Esping-Andersen</w:t>
      </w:r>
      <w:r>
        <w:rPr>
          <w:noProof/>
        </w:rPr>
        <w:t>, 98</w:t>
      </w:r>
    </w:p>
    <w:p w:rsidR="00034039" w:rsidRDefault="00034039">
      <w:pPr>
        <w:pStyle w:val="Index1"/>
        <w:tabs>
          <w:tab w:val="right" w:leader="dot" w:pos="4143"/>
        </w:tabs>
        <w:rPr>
          <w:noProof/>
        </w:rPr>
      </w:pPr>
      <w:r w:rsidRPr="00466536">
        <w:rPr>
          <w:rFonts w:ascii="Times New Roman" w:hAnsi="Times New Roman" w:cs="Times New Roman"/>
          <w:noProof/>
        </w:rPr>
        <w:t>ethnicity</w:t>
      </w:r>
      <w:r>
        <w:rPr>
          <w:noProof/>
        </w:rPr>
        <w:t>, 54, 75, 76, 78, 93</w:t>
      </w:r>
    </w:p>
    <w:p w:rsidR="00034039" w:rsidRDefault="00034039">
      <w:pPr>
        <w:pStyle w:val="Index1"/>
        <w:tabs>
          <w:tab w:val="right" w:leader="dot" w:pos="4143"/>
        </w:tabs>
        <w:rPr>
          <w:noProof/>
        </w:rPr>
      </w:pPr>
      <w:r w:rsidRPr="00466536">
        <w:rPr>
          <w:rFonts w:ascii="Times New Roman" w:hAnsi="Times New Roman" w:cs="Times New Roman"/>
          <w:noProof/>
        </w:rPr>
        <w:t>EU</w:t>
      </w:r>
      <w:r>
        <w:rPr>
          <w:noProof/>
        </w:rPr>
        <w:t>, 12, 25, 74, 96</w:t>
      </w:r>
    </w:p>
    <w:p w:rsidR="00034039" w:rsidRDefault="00034039">
      <w:pPr>
        <w:pStyle w:val="Index1"/>
        <w:tabs>
          <w:tab w:val="right" w:leader="dot" w:pos="4143"/>
        </w:tabs>
        <w:rPr>
          <w:noProof/>
        </w:rPr>
      </w:pPr>
      <w:r w:rsidRPr="00466536">
        <w:rPr>
          <w:rFonts w:ascii="Times New Roman" w:hAnsi="Times New Roman" w:cs="Times New Roman"/>
          <w:noProof/>
        </w:rPr>
        <w:t>Excellence in Cities</w:t>
      </w:r>
      <w:r>
        <w:rPr>
          <w:noProof/>
        </w:rPr>
        <w:t>, 63</w:t>
      </w:r>
    </w:p>
    <w:p w:rsidR="00034039" w:rsidRDefault="00034039">
      <w:pPr>
        <w:pStyle w:val="Index1"/>
        <w:tabs>
          <w:tab w:val="right" w:leader="dot" w:pos="4143"/>
        </w:tabs>
        <w:rPr>
          <w:noProof/>
        </w:rPr>
      </w:pPr>
      <w:r w:rsidRPr="00466536">
        <w:rPr>
          <w:rFonts w:ascii="Times New Roman" w:hAnsi="Times New Roman" w:cs="Times New Roman"/>
          <w:noProof/>
        </w:rPr>
        <w:t>expectations</w:t>
      </w:r>
      <w:r>
        <w:rPr>
          <w:noProof/>
        </w:rPr>
        <w:t>, 24, 27</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Fabian Society Commission on Taxation and Citizenship</w:t>
      </w:r>
      <w:r>
        <w:rPr>
          <w:noProof/>
        </w:rPr>
        <w:t>, 56</w:t>
      </w:r>
    </w:p>
    <w:p w:rsidR="00034039" w:rsidRDefault="00034039">
      <w:pPr>
        <w:pStyle w:val="Index1"/>
        <w:tabs>
          <w:tab w:val="right" w:leader="dot" w:pos="4143"/>
        </w:tabs>
        <w:rPr>
          <w:noProof/>
        </w:rPr>
      </w:pPr>
      <w:r w:rsidRPr="00466536">
        <w:rPr>
          <w:rFonts w:ascii="Times New Roman" w:hAnsi="Times New Roman" w:cs="Times New Roman"/>
          <w:noProof/>
        </w:rPr>
        <w:t>Fawcett Society</w:t>
      </w:r>
      <w:r>
        <w:rPr>
          <w:noProof/>
        </w:rPr>
        <w:t>, 18</w:t>
      </w:r>
    </w:p>
    <w:p w:rsidR="00034039" w:rsidRDefault="00034039">
      <w:pPr>
        <w:pStyle w:val="Index1"/>
        <w:tabs>
          <w:tab w:val="right" w:leader="dot" w:pos="4143"/>
        </w:tabs>
        <w:rPr>
          <w:noProof/>
        </w:rPr>
      </w:pPr>
      <w:r w:rsidRPr="00466536">
        <w:rPr>
          <w:rFonts w:ascii="Times New Roman" w:hAnsi="Times New Roman" w:cs="Times New Roman"/>
          <w:noProof/>
        </w:rPr>
        <w:t>France</w:t>
      </w:r>
      <w:r>
        <w:rPr>
          <w:noProof/>
        </w:rPr>
        <w:t>, 12, 24, 34, 35, 40, 75, 96</w:t>
      </w:r>
    </w:p>
    <w:p w:rsidR="00034039" w:rsidRDefault="00034039">
      <w:pPr>
        <w:pStyle w:val="Index1"/>
        <w:tabs>
          <w:tab w:val="right" w:leader="dot" w:pos="4143"/>
        </w:tabs>
        <w:rPr>
          <w:noProof/>
        </w:rPr>
      </w:pPr>
      <w:r w:rsidRPr="00466536">
        <w:rPr>
          <w:rFonts w:ascii="Times New Roman" w:hAnsi="Times New Roman" w:cs="Times New Roman"/>
          <w:noProof/>
        </w:rPr>
        <w:t>Free Schools</w:t>
      </w:r>
      <w:r>
        <w:rPr>
          <w:noProof/>
        </w:rPr>
        <w:t>, 21</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G4S</w:t>
      </w:r>
      <w:r>
        <w:rPr>
          <w:noProof/>
        </w:rPr>
        <w:t>, 87</w:t>
      </w:r>
    </w:p>
    <w:p w:rsidR="00034039" w:rsidRDefault="00034039">
      <w:pPr>
        <w:pStyle w:val="Index1"/>
        <w:tabs>
          <w:tab w:val="right" w:leader="dot" w:pos="4143"/>
        </w:tabs>
        <w:rPr>
          <w:noProof/>
        </w:rPr>
      </w:pPr>
      <w:r w:rsidRPr="00466536">
        <w:rPr>
          <w:rFonts w:ascii="Times New Roman" w:hAnsi="Times New Roman" w:cs="Times New Roman"/>
          <w:noProof/>
        </w:rPr>
        <w:t>G7</w:t>
      </w:r>
      <w:r>
        <w:rPr>
          <w:noProof/>
        </w:rPr>
        <w:t>, 12, 96, 97, 104</w:t>
      </w:r>
    </w:p>
    <w:p w:rsidR="00034039" w:rsidRDefault="00034039">
      <w:pPr>
        <w:pStyle w:val="Index1"/>
        <w:tabs>
          <w:tab w:val="right" w:leader="dot" w:pos="4143"/>
        </w:tabs>
        <w:rPr>
          <w:noProof/>
        </w:rPr>
      </w:pPr>
      <w:r w:rsidRPr="00466536">
        <w:rPr>
          <w:rFonts w:ascii="Times New Roman" w:hAnsi="Times New Roman" w:cs="Times New Roman"/>
          <w:noProof/>
        </w:rPr>
        <w:t>Gaffney</w:t>
      </w:r>
      <w:r>
        <w:rPr>
          <w:noProof/>
        </w:rPr>
        <w:t>, 60</w:t>
      </w:r>
    </w:p>
    <w:p w:rsidR="00034039" w:rsidRDefault="00034039">
      <w:pPr>
        <w:pStyle w:val="Index1"/>
        <w:tabs>
          <w:tab w:val="right" w:leader="dot" w:pos="4143"/>
        </w:tabs>
        <w:rPr>
          <w:noProof/>
        </w:rPr>
      </w:pPr>
      <w:r w:rsidRPr="00466536">
        <w:rPr>
          <w:rFonts w:ascii="Times New Roman" w:hAnsi="Times New Roman" w:cs="Times New Roman"/>
          <w:noProof/>
        </w:rPr>
        <w:t>Gamble</w:t>
      </w:r>
      <w:r>
        <w:rPr>
          <w:noProof/>
        </w:rPr>
        <w:t>, 14, 91</w:t>
      </w:r>
    </w:p>
    <w:p w:rsidR="00034039" w:rsidRDefault="00034039">
      <w:pPr>
        <w:pStyle w:val="Index1"/>
        <w:tabs>
          <w:tab w:val="right" w:leader="dot" w:pos="4143"/>
        </w:tabs>
        <w:rPr>
          <w:noProof/>
        </w:rPr>
      </w:pPr>
      <w:r w:rsidRPr="00466536">
        <w:rPr>
          <w:rFonts w:ascii="Times New Roman" w:hAnsi="Times New Roman" w:cs="Times New Roman"/>
          <w:noProof/>
        </w:rPr>
        <w:t>Gaynor</w:t>
      </w:r>
      <w:r>
        <w:rPr>
          <w:noProof/>
        </w:rPr>
        <w:t>, 21</w:t>
      </w:r>
    </w:p>
    <w:p w:rsidR="00034039" w:rsidRDefault="00034039">
      <w:pPr>
        <w:pStyle w:val="Index1"/>
        <w:tabs>
          <w:tab w:val="right" w:leader="dot" w:pos="4143"/>
        </w:tabs>
        <w:rPr>
          <w:noProof/>
        </w:rPr>
      </w:pPr>
      <w:r w:rsidRPr="00466536">
        <w:rPr>
          <w:rFonts w:ascii="Times New Roman" w:hAnsi="Times New Roman" w:cs="Times New Roman"/>
          <w:noProof/>
        </w:rPr>
        <w:t>Geddes Axe</w:t>
      </w:r>
      <w:r>
        <w:rPr>
          <w:noProof/>
        </w:rPr>
        <w:t>, 43</w:t>
      </w:r>
    </w:p>
    <w:p w:rsidR="00034039" w:rsidRDefault="00034039">
      <w:pPr>
        <w:pStyle w:val="Index1"/>
        <w:tabs>
          <w:tab w:val="right" w:leader="dot" w:pos="4143"/>
        </w:tabs>
        <w:rPr>
          <w:noProof/>
        </w:rPr>
      </w:pPr>
      <w:r w:rsidRPr="00466536">
        <w:rPr>
          <w:rFonts w:ascii="Times New Roman" w:hAnsi="Times New Roman" w:cs="Times New Roman"/>
          <w:noProof/>
        </w:rPr>
        <w:t>gender</w:t>
      </w:r>
      <w:r>
        <w:rPr>
          <w:noProof/>
        </w:rPr>
        <w:t>, 27, 42, 75, 76, 93, 98, 101</w:t>
      </w:r>
    </w:p>
    <w:p w:rsidR="00034039" w:rsidRDefault="00034039">
      <w:pPr>
        <w:pStyle w:val="Index1"/>
        <w:tabs>
          <w:tab w:val="right" w:leader="dot" w:pos="4143"/>
        </w:tabs>
        <w:rPr>
          <w:noProof/>
        </w:rPr>
      </w:pPr>
      <w:r w:rsidRPr="00466536">
        <w:rPr>
          <w:rFonts w:ascii="Times New Roman" w:hAnsi="Times New Roman" w:cs="Times New Roman"/>
          <w:noProof/>
        </w:rPr>
        <w:t>Germany</w:t>
      </w:r>
      <w:r>
        <w:rPr>
          <w:noProof/>
        </w:rPr>
        <w:t>, 12, 24, 25, 34, 35, 40, 41, 73, 75, 96</w:t>
      </w:r>
    </w:p>
    <w:p w:rsidR="00034039" w:rsidRDefault="00034039">
      <w:pPr>
        <w:pStyle w:val="Index1"/>
        <w:tabs>
          <w:tab w:val="right" w:leader="dot" w:pos="4143"/>
        </w:tabs>
        <w:rPr>
          <w:noProof/>
        </w:rPr>
      </w:pPr>
      <w:r w:rsidRPr="00466536">
        <w:rPr>
          <w:rFonts w:ascii="Times New Roman" w:hAnsi="Times New Roman" w:cs="Times New Roman"/>
          <w:noProof/>
        </w:rPr>
        <w:t>Giddens</w:t>
      </w:r>
      <w:r>
        <w:rPr>
          <w:noProof/>
        </w:rPr>
        <w:t>, 27</w:t>
      </w:r>
    </w:p>
    <w:p w:rsidR="00034039" w:rsidRDefault="00034039">
      <w:pPr>
        <w:pStyle w:val="Index1"/>
        <w:tabs>
          <w:tab w:val="right" w:leader="dot" w:pos="4143"/>
        </w:tabs>
        <w:rPr>
          <w:noProof/>
        </w:rPr>
      </w:pPr>
      <w:r w:rsidRPr="00466536">
        <w:rPr>
          <w:rFonts w:ascii="Times New Roman" w:hAnsi="Times New Roman" w:cs="Times New Roman"/>
          <w:noProof/>
        </w:rPr>
        <w:t>Gini coefficients</w:t>
      </w:r>
      <w:r>
        <w:rPr>
          <w:noProof/>
        </w:rPr>
        <w:t>, 33</w:t>
      </w:r>
    </w:p>
    <w:p w:rsidR="00034039" w:rsidRDefault="00034039">
      <w:pPr>
        <w:pStyle w:val="Index1"/>
        <w:tabs>
          <w:tab w:val="right" w:leader="dot" w:pos="4143"/>
        </w:tabs>
        <w:rPr>
          <w:noProof/>
        </w:rPr>
      </w:pPr>
      <w:r w:rsidRPr="00466536">
        <w:rPr>
          <w:rFonts w:ascii="Times New Roman" w:hAnsi="Times New Roman" w:cs="Times New Roman"/>
          <w:noProof/>
        </w:rPr>
        <w:t>Glasgow Media Group</w:t>
      </w:r>
      <w:r>
        <w:rPr>
          <w:noProof/>
        </w:rPr>
        <w:t>, 56</w:t>
      </w:r>
    </w:p>
    <w:p w:rsidR="00034039" w:rsidRDefault="00034039">
      <w:pPr>
        <w:pStyle w:val="Index1"/>
        <w:tabs>
          <w:tab w:val="right" w:leader="dot" w:pos="4143"/>
        </w:tabs>
        <w:rPr>
          <w:noProof/>
        </w:rPr>
      </w:pPr>
      <w:r w:rsidRPr="00466536">
        <w:rPr>
          <w:rFonts w:ascii="Times New Roman" w:hAnsi="Times New Roman" w:cs="Times New Roman"/>
          <w:noProof/>
        </w:rPr>
        <w:t>Glendinning</w:t>
      </w:r>
      <w:r>
        <w:rPr>
          <w:noProof/>
        </w:rPr>
        <w:t>, 28, 84</w:t>
      </w:r>
    </w:p>
    <w:p w:rsidR="00034039" w:rsidRDefault="00034039">
      <w:pPr>
        <w:pStyle w:val="Index1"/>
        <w:tabs>
          <w:tab w:val="right" w:leader="dot" w:pos="4143"/>
        </w:tabs>
        <w:rPr>
          <w:noProof/>
        </w:rPr>
      </w:pPr>
      <w:r w:rsidRPr="00466536">
        <w:rPr>
          <w:rFonts w:ascii="Times New Roman" w:hAnsi="Times New Roman" w:cs="Times New Roman"/>
          <w:noProof/>
        </w:rPr>
        <w:t>Glennerster</w:t>
      </w:r>
      <w:r>
        <w:rPr>
          <w:noProof/>
        </w:rPr>
        <w:t>, 28</w:t>
      </w:r>
    </w:p>
    <w:p w:rsidR="00034039" w:rsidRDefault="00034039">
      <w:pPr>
        <w:pStyle w:val="Index1"/>
        <w:tabs>
          <w:tab w:val="right" w:leader="dot" w:pos="4143"/>
        </w:tabs>
        <w:rPr>
          <w:noProof/>
        </w:rPr>
      </w:pPr>
      <w:r w:rsidRPr="00466536">
        <w:rPr>
          <w:rFonts w:ascii="Times New Roman" w:hAnsi="Times New Roman" w:cs="Times New Roman"/>
          <w:noProof/>
        </w:rPr>
        <w:t>globalisation</w:t>
      </w:r>
      <w:r>
        <w:rPr>
          <w:noProof/>
        </w:rPr>
        <w:t>, 34, 99</w:t>
      </w:r>
    </w:p>
    <w:p w:rsidR="00034039" w:rsidRDefault="00034039">
      <w:pPr>
        <w:pStyle w:val="Index1"/>
        <w:tabs>
          <w:tab w:val="right" w:leader="dot" w:pos="4143"/>
        </w:tabs>
        <w:rPr>
          <w:noProof/>
        </w:rPr>
      </w:pPr>
      <w:r w:rsidRPr="00466536">
        <w:rPr>
          <w:rFonts w:ascii="Times New Roman" w:hAnsi="Times New Roman" w:cs="Times New Roman"/>
          <w:noProof/>
        </w:rPr>
        <w:t>Gough</w:t>
      </w:r>
      <w:r>
        <w:rPr>
          <w:noProof/>
        </w:rPr>
        <w:t>, 14, 65, 91</w:t>
      </w:r>
    </w:p>
    <w:p w:rsidR="00034039" w:rsidRDefault="00034039">
      <w:pPr>
        <w:pStyle w:val="Index1"/>
        <w:tabs>
          <w:tab w:val="right" w:leader="dot" w:pos="4143"/>
        </w:tabs>
        <w:rPr>
          <w:noProof/>
        </w:rPr>
      </w:pPr>
      <w:r w:rsidRPr="00466536">
        <w:rPr>
          <w:rFonts w:ascii="Times New Roman" w:hAnsi="Times New Roman" w:cs="Times New Roman"/>
          <w:noProof/>
        </w:rPr>
        <w:t>Green</w:t>
      </w:r>
      <w:r>
        <w:rPr>
          <w:noProof/>
        </w:rPr>
        <w:t>, 34</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HC Health Committee</w:t>
      </w:r>
      <w:r>
        <w:rPr>
          <w:noProof/>
        </w:rPr>
        <w:t>, 39</w:t>
      </w:r>
    </w:p>
    <w:p w:rsidR="00034039" w:rsidRDefault="00034039">
      <w:pPr>
        <w:pStyle w:val="Index1"/>
        <w:tabs>
          <w:tab w:val="right" w:leader="dot" w:pos="4143"/>
        </w:tabs>
        <w:rPr>
          <w:noProof/>
        </w:rPr>
      </w:pPr>
      <w:r w:rsidRPr="00466536">
        <w:rPr>
          <w:rFonts w:ascii="Times New Roman" w:hAnsi="Times New Roman" w:cs="Times New Roman"/>
          <w:noProof/>
        </w:rPr>
        <w:t>HCPAC</w:t>
      </w:r>
      <w:r>
        <w:rPr>
          <w:noProof/>
        </w:rPr>
        <w:t>, 86, 87, 97</w:t>
      </w:r>
    </w:p>
    <w:p w:rsidR="00034039" w:rsidRDefault="00034039">
      <w:pPr>
        <w:pStyle w:val="Index1"/>
        <w:tabs>
          <w:tab w:val="right" w:leader="dot" w:pos="4143"/>
        </w:tabs>
        <w:rPr>
          <w:noProof/>
        </w:rPr>
      </w:pPr>
      <w:r w:rsidRPr="00466536">
        <w:rPr>
          <w:rFonts w:ascii="Times New Roman" w:hAnsi="Times New Roman" w:cs="Times New Roman"/>
          <w:noProof/>
        </w:rPr>
        <w:lastRenderedPageBreak/>
        <w:t>HCPASC</w:t>
      </w:r>
      <w:r>
        <w:rPr>
          <w:noProof/>
        </w:rPr>
        <w:t>, 87</w:t>
      </w:r>
    </w:p>
    <w:p w:rsidR="00034039" w:rsidRDefault="00034039">
      <w:pPr>
        <w:pStyle w:val="Index1"/>
        <w:tabs>
          <w:tab w:val="right" w:leader="dot" w:pos="4143"/>
        </w:tabs>
        <w:rPr>
          <w:noProof/>
        </w:rPr>
      </w:pPr>
      <w:r w:rsidRPr="00466536">
        <w:rPr>
          <w:rFonts w:ascii="Times New Roman" w:hAnsi="Times New Roman" w:cs="Times New Roman"/>
          <w:noProof/>
        </w:rPr>
        <w:t>health</w:t>
      </w:r>
      <w:r>
        <w:rPr>
          <w:noProof/>
        </w:rPr>
        <w:t>, 13, 24</w:t>
      </w:r>
    </w:p>
    <w:p w:rsidR="00034039" w:rsidRDefault="00034039">
      <w:pPr>
        <w:pStyle w:val="Index1"/>
        <w:tabs>
          <w:tab w:val="right" w:leader="dot" w:pos="4143"/>
        </w:tabs>
        <w:rPr>
          <w:noProof/>
        </w:rPr>
      </w:pPr>
      <w:r w:rsidRPr="00466536">
        <w:rPr>
          <w:rFonts w:ascii="Times New Roman" w:hAnsi="Times New Roman" w:cs="Times New Roman"/>
          <w:noProof/>
        </w:rPr>
        <w:t>higher education</w:t>
      </w:r>
      <w:r>
        <w:rPr>
          <w:noProof/>
        </w:rPr>
        <w:t>, 21, 77</w:t>
      </w:r>
    </w:p>
    <w:p w:rsidR="00034039" w:rsidRDefault="00034039">
      <w:pPr>
        <w:pStyle w:val="Index1"/>
        <w:tabs>
          <w:tab w:val="right" w:leader="dot" w:pos="4143"/>
        </w:tabs>
        <w:rPr>
          <w:noProof/>
        </w:rPr>
      </w:pPr>
      <w:r w:rsidRPr="00466536">
        <w:rPr>
          <w:rFonts w:ascii="Times New Roman" w:hAnsi="Times New Roman" w:cs="Times New Roman"/>
          <w:noProof/>
        </w:rPr>
        <w:t>Hills</w:t>
      </w:r>
      <w:r>
        <w:rPr>
          <w:noProof/>
        </w:rPr>
        <w:t>, 73, 77</w:t>
      </w:r>
    </w:p>
    <w:p w:rsidR="00034039" w:rsidRDefault="00034039">
      <w:pPr>
        <w:pStyle w:val="Index1"/>
        <w:tabs>
          <w:tab w:val="right" w:leader="dot" w:pos="4143"/>
        </w:tabs>
        <w:rPr>
          <w:noProof/>
        </w:rPr>
      </w:pPr>
      <w:r w:rsidRPr="00466536">
        <w:rPr>
          <w:rFonts w:ascii="Times New Roman" w:hAnsi="Times New Roman" w:cs="Times New Roman"/>
          <w:noProof/>
        </w:rPr>
        <w:t>Hirsch</w:t>
      </w:r>
      <w:r>
        <w:rPr>
          <w:noProof/>
        </w:rPr>
        <w:t>, 58</w:t>
      </w:r>
    </w:p>
    <w:p w:rsidR="00034039" w:rsidRDefault="00034039">
      <w:pPr>
        <w:pStyle w:val="Index1"/>
        <w:tabs>
          <w:tab w:val="right" w:leader="dot" w:pos="4143"/>
        </w:tabs>
        <w:rPr>
          <w:noProof/>
        </w:rPr>
      </w:pPr>
      <w:r w:rsidRPr="00466536">
        <w:rPr>
          <w:rFonts w:ascii="Times New Roman" w:hAnsi="Times New Roman" w:cs="Times New Roman"/>
          <w:noProof/>
        </w:rPr>
        <w:t>HMRC</w:t>
      </w:r>
      <w:r>
        <w:rPr>
          <w:noProof/>
        </w:rPr>
        <w:t>, 97</w:t>
      </w:r>
    </w:p>
    <w:p w:rsidR="00034039" w:rsidRDefault="00034039">
      <w:pPr>
        <w:pStyle w:val="Index1"/>
        <w:tabs>
          <w:tab w:val="right" w:leader="dot" w:pos="4143"/>
        </w:tabs>
        <w:rPr>
          <w:noProof/>
        </w:rPr>
      </w:pPr>
      <w:r w:rsidRPr="00466536">
        <w:rPr>
          <w:rFonts w:ascii="Times New Roman" w:hAnsi="Times New Roman" w:cs="Times New Roman"/>
          <w:noProof/>
        </w:rPr>
        <w:t>HoC Health Committee</w:t>
      </w:r>
      <w:r>
        <w:rPr>
          <w:noProof/>
        </w:rPr>
        <w:t>, 85</w:t>
      </w:r>
    </w:p>
    <w:p w:rsidR="00034039" w:rsidRDefault="00034039">
      <w:pPr>
        <w:pStyle w:val="Index1"/>
        <w:tabs>
          <w:tab w:val="right" w:leader="dot" w:pos="4143"/>
        </w:tabs>
        <w:rPr>
          <w:noProof/>
        </w:rPr>
      </w:pPr>
      <w:r w:rsidRPr="00466536">
        <w:rPr>
          <w:rFonts w:ascii="Times New Roman" w:hAnsi="Times New Roman" w:cs="Times New Roman"/>
          <w:noProof/>
        </w:rPr>
        <w:t>HoC Library</w:t>
      </w:r>
      <w:r>
        <w:rPr>
          <w:noProof/>
        </w:rPr>
        <w:t>, 17, 18</w:t>
      </w:r>
    </w:p>
    <w:p w:rsidR="00034039" w:rsidRDefault="00034039">
      <w:pPr>
        <w:pStyle w:val="Index1"/>
        <w:tabs>
          <w:tab w:val="right" w:leader="dot" w:pos="4143"/>
        </w:tabs>
        <w:rPr>
          <w:noProof/>
        </w:rPr>
      </w:pPr>
      <w:r w:rsidRPr="00466536">
        <w:rPr>
          <w:rFonts w:ascii="Times New Roman" w:hAnsi="Times New Roman" w:cs="Times New Roman"/>
          <w:noProof/>
        </w:rPr>
        <w:t>homelessness</w:t>
      </w:r>
      <w:r>
        <w:rPr>
          <w:noProof/>
        </w:rPr>
        <w:t>, 18</w:t>
      </w:r>
    </w:p>
    <w:p w:rsidR="00034039" w:rsidRDefault="00034039">
      <w:pPr>
        <w:pStyle w:val="Index1"/>
        <w:tabs>
          <w:tab w:val="right" w:leader="dot" w:pos="4143"/>
        </w:tabs>
        <w:rPr>
          <w:noProof/>
        </w:rPr>
      </w:pPr>
      <w:r w:rsidRPr="00466536">
        <w:rPr>
          <w:rFonts w:ascii="Times New Roman" w:hAnsi="Times New Roman" w:cs="Times New Roman"/>
          <w:noProof/>
        </w:rPr>
        <w:t>Hood</w:t>
      </w:r>
      <w:r>
        <w:rPr>
          <w:noProof/>
        </w:rPr>
        <w:t>, 43, 83</w:t>
      </w:r>
    </w:p>
    <w:p w:rsidR="00034039" w:rsidRDefault="00034039">
      <w:pPr>
        <w:pStyle w:val="Index1"/>
        <w:tabs>
          <w:tab w:val="right" w:leader="dot" w:pos="4143"/>
        </w:tabs>
        <w:rPr>
          <w:noProof/>
        </w:rPr>
      </w:pPr>
      <w:r w:rsidRPr="00466536">
        <w:rPr>
          <w:rFonts w:ascii="Times New Roman" w:hAnsi="Times New Roman" w:cs="Times New Roman"/>
          <w:noProof/>
        </w:rPr>
        <w:t>Horton</w:t>
      </w:r>
      <w:r>
        <w:rPr>
          <w:noProof/>
        </w:rPr>
        <w:t>, 55, 59, 61</w:t>
      </w:r>
    </w:p>
    <w:p w:rsidR="00034039" w:rsidRDefault="00034039">
      <w:pPr>
        <w:pStyle w:val="Index1"/>
        <w:tabs>
          <w:tab w:val="right" w:leader="dot" w:pos="4143"/>
        </w:tabs>
        <w:rPr>
          <w:noProof/>
        </w:rPr>
      </w:pPr>
      <w:r w:rsidRPr="00466536">
        <w:rPr>
          <w:rFonts w:ascii="Times New Roman" w:hAnsi="Times New Roman" w:cs="Times New Roman"/>
          <w:noProof/>
        </w:rPr>
        <w:t>Housing Benefit</w:t>
      </w:r>
      <w:r>
        <w:rPr>
          <w:noProof/>
        </w:rPr>
        <w:t>, 13, 14, 15, 18, 36, 39, 59, 91, 99, 103</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IFS</w:t>
      </w:r>
      <w:r>
        <w:rPr>
          <w:noProof/>
        </w:rPr>
        <w:t>, 13, 15, 23, 36, 47, 48</w:t>
      </w:r>
    </w:p>
    <w:p w:rsidR="00034039" w:rsidRDefault="00034039">
      <w:pPr>
        <w:pStyle w:val="Index1"/>
        <w:tabs>
          <w:tab w:val="right" w:leader="dot" w:pos="4143"/>
        </w:tabs>
        <w:rPr>
          <w:noProof/>
        </w:rPr>
      </w:pPr>
      <w:r w:rsidRPr="00466536">
        <w:rPr>
          <w:rFonts w:ascii="Times New Roman" w:hAnsi="Times New Roman" w:cs="Times New Roman"/>
          <w:noProof/>
        </w:rPr>
        <w:t>IMF</w:t>
      </w:r>
      <w:r>
        <w:rPr>
          <w:noProof/>
        </w:rPr>
        <w:t>, 19, 30, 43</w:t>
      </w:r>
    </w:p>
    <w:p w:rsidR="00034039" w:rsidRDefault="00034039">
      <w:pPr>
        <w:pStyle w:val="Index1"/>
        <w:tabs>
          <w:tab w:val="right" w:leader="dot" w:pos="4143"/>
        </w:tabs>
        <w:rPr>
          <w:noProof/>
        </w:rPr>
      </w:pPr>
      <w:r w:rsidRPr="00466536">
        <w:rPr>
          <w:rFonts w:ascii="Times New Roman" w:hAnsi="Times New Roman" w:cs="Times New Roman"/>
          <w:noProof/>
        </w:rPr>
        <w:t>immigration</w:t>
      </w:r>
      <w:r>
        <w:rPr>
          <w:noProof/>
        </w:rPr>
        <w:t>, 24</w:t>
      </w:r>
    </w:p>
    <w:p w:rsidR="00034039" w:rsidRDefault="00034039">
      <w:pPr>
        <w:pStyle w:val="Index1"/>
        <w:tabs>
          <w:tab w:val="right" w:leader="dot" w:pos="4143"/>
        </w:tabs>
        <w:rPr>
          <w:noProof/>
        </w:rPr>
      </w:pPr>
      <w:r w:rsidRPr="00466536">
        <w:rPr>
          <w:rFonts w:ascii="Times New Roman" w:hAnsi="Times New Roman" w:cs="Times New Roman"/>
          <w:noProof/>
        </w:rPr>
        <w:t>Independent Commission on Fees</w:t>
      </w:r>
      <w:r>
        <w:rPr>
          <w:noProof/>
        </w:rPr>
        <w:t>, 21</w:t>
      </w:r>
    </w:p>
    <w:p w:rsidR="00034039" w:rsidRDefault="00034039">
      <w:pPr>
        <w:pStyle w:val="Index1"/>
        <w:tabs>
          <w:tab w:val="right" w:leader="dot" w:pos="4143"/>
        </w:tabs>
        <w:rPr>
          <w:noProof/>
        </w:rPr>
      </w:pPr>
      <w:r w:rsidRPr="00466536">
        <w:rPr>
          <w:rFonts w:ascii="Times New Roman" w:hAnsi="Times New Roman" w:cs="Times New Roman"/>
          <w:noProof/>
        </w:rPr>
        <w:t>inequality</w:t>
      </w:r>
      <w:r>
        <w:rPr>
          <w:noProof/>
        </w:rPr>
        <w:t>, 52, 55, 100</w:t>
      </w:r>
    </w:p>
    <w:p w:rsidR="00034039" w:rsidRDefault="00034039">
      <w:pPr>
        <w:pStyle w:val="Index2"/>
        <w:tabs>
          <w:tab w:val="right" w:leader="dot" w:pos="4143"/>
        </w:tabs>
        <w:rPr>
          <w:noProof/>
        </w:rPr>
      </w:pPr>
      <w:r>
        <w:rPr>
          <w:noProof/>
        </w:rPr>
        <w:t>Britain, 35</w:t>
      </w:r>
    </w:p>
    <w:p w:rsidR="00034039" w:rsidRDefault="00034039">
      <w:pPr>
        <w:pStyle w:val="Index2"/>
        <w:tabs>
          <w:tab w:val="right" w:leader="dot" w:pos="4143"/>
        </w:tabs>
        <w:rPr>
          <w:noProof/>
        </w:rPr>
      </w:pPr>
      <w:r>
        <w:rPr>
          <w:noProof/>
        </w:rPr>
        <w:t>globalisation, 34</w:t>
      </w:r>
    </w:p>
    <w:p w:rsidR="00034039" w:rsidRDefault="00034039">
      <w:pPr>
        <w:pStyle w:val="Index2"/>
        <w:tabs>
          <w:tab w:val="right" w:leader="dot" w:pos="4143"/>
        </w:tabs>
        <w:rPr>
          <w:noProof/>
        </w:rPr>
      </w:pPr>
      <w:r>
        <w:rPr>
          <w:noProof/>
        </w:rPr>
        <w:t>low incomes, 33</w:t>
      </w:r>
    </w:p>
    <w:p w:rsidR="00034039" w:rsidRDefault="00034039">
      <w:pPr>
        <w:pStyle w:val="Index2"/>
        <w:tabs>
          <w:tab w:val="right" w:leader="dot" w:pos="4143"/>
        </w:tabs>
        <w:rPr>
          <w:noProof/>
        </w:rPr>
      </w:pPr>
      <w:r>
        <w:rPr>
          <w:noProof/>
        </w:rPr>
        <w:t>mass incomes, 33</w:t>
      </w:r>
    </w:p>
    <w:p w:rsidR="00034039" w:rsidRDefault="00034039">
      <w:pPr>
        <w:pStyle w:val="Index2"/>
        <w:tabs>
          <w:tab w:val="right" w:leader="dot" w:pos="4143"/>
        </w:tabs>
        <w:rPr>
          <w:noProof/>
        </w:rPr>
      </w:pPr>
      <w:r>
        <w:rPr>
          <w:noProof/>
        </w:rPr>
        <w:t>pensions, 77</w:t>
      </w:r>
    </w:p>
    <w:p w:rsidR="00034039" w:rsidRDefault="00034039">
      <w:pPr>
        <w:pStyle w:val="Index2"/>
        <w:tabs>
          <w:tab w:val="right" w:leader="dot" w:pos="4143"/>
        </w:tabs>
        <w:rPr>
          <w:noProof/>
        </w:rPr>
      </w:pPr>
      <w:r>
        <w:rPr>
          <w:noProof/>
        </w:rPr>
        <w:t>politics, 34</w:t>
      </w:r>
    </w:p>
    <w:p w:rsidR="00034039" w:rsidRDefault="00034039">
      <w:pPr>
        <w:pStyle w:val="Index2"/>
        <w:tabs>
          <w:tab w:val="right" w:leader="dot" w:pos="4143"/>
        </w:tabs>
        <w:rPr>
          <w:noProof/>
        </w:rPr>
      </w:pPr>
      <w:r>
        <w:rPr>
          <w:noProof/>
        </w:rPr>
        <w:t>service sector, 34</w:t>
      </w:r>
    </w:p>
    <w:p w:rsidR="00034039" w:rsidRDefault="00034039">
      <w:pPr>
        <w:pStyle w:val="Index2"/>
        <w:tabs>
          <w:tab w:val="right" w:leader="dot" w:pos="4143"/>
        </w:tabs>
        <w:rPr>
          <w:noProof/>
        </w:rPr>
      </w:pPr>
      <w:r>
        <w:rPr>
          <w:noProof/>
        </w:rPr>
        <w:t>social division, 36</w:t>
      </w:r>
    </w:p>
    <w:p w:rsidR="00034039" w:rsidRDefault="00034039">
      <w:pPr>
        <w:pStyle w:val="Index2"/>
        <w:tabs>
          <w:tab w:val="right" w:leader="dot" w:pos="4143"/>
        </w:tabs>
        <w:rPr>
          <w:noProof/>
        </w:rPr>
      </w:pPr>
      <w:r>
        <w:rPr>
          <w:noProof/>
        </w:rPr>
        <w:t>top incomes, 33</w:t>
      </w:r>
    </w:p>
    <w:p w:rsidR="00034039" w:rsidRDefault="00034039">
      <w:pPr>
        <w:pStyle w:val="Index2"/>
        <w:tabs>
          <w:tab w:val="right" w:leader="dot" w:pos="4143"/>
        </w:tabs>
        <w:rPr>
          <w:noProof/>
        </w:rPr>
      </w:pPr>
      <w:r>
        <w:rPr>
          <w:noProof/>
        </w:rPr>
        <w:t>wealth, 33</w:t>
      </w:r>
    </w:p>
    <w:p w:rsidR="00034039" w:rsidRDefault="00034039">
      <w:pPr>
        <w:pStyle w:val="Index1"/>
        <w:tabs>
          <w:tab w:val="right" w:leader="dot" w:pos="4143"/>
        </w:tabs>
        <w:rPr>
          <w:noProof/>
        </w:rPr>
      </w:pPr>
      <w:r w:rsidRPr="00466536">
        <w:rPr>
          <w:rFonts w:ascii="Times New Roman" w:hAnsi="Times New Roman" w:cs="Times New Roman"/>
          <w:noProof/>
        </w:rPr>
        <w:t>internal markets</w:t>
      </w:r>
      <w:r>
        <w:rPr>
          <w:noProof/>
        </w:rPr>
        <w:t>, 82, 83</w:t>
      </w:r>
    </w:p>
    <w:p w:rsidR="00034039" w:rsidRDefault="00034039">
      <w:pPr>
        <w:pStyle w:val="Index1"/>
        <w:tabs>
          <w:tab w:val="right" w:leader="dot" w:pos="4143"/>
        </w:tabs>
        <w:rPr>
          <w:noProof/>
        </w:rPr>
      </w:pPr>
      <w:r w:rsidRPr="00466536">
        <w:rPr>
          <w:rFonts w:ascii="Times New Roman" w:hAnsi="Times New Roman" w:cs="Times New Roman"/>
          <w:noProof/>
        </w:rPr>
        <w:t>investment</w:t>
      </w:r>
      <w:r>
        <w:rPr>
          <w:noProof/>
        </w:rPr>
        <w:t>, 14, 45</w:t>
      </w:r>
    </w:p>
    <w:p w:rsidR="00034039" w:rsidRDefault="00034039">
      <w:pPr>
        <w:pStyle w:val="Index1"/>
        <w:tabs>
          <w:tab w:val="right" w:leader="dot" w:pos="4143"/>
        </w:tabs>
        <w:rPr>
          <w:noProof/>
        </w:rPr>
      </w:pPr>
      <w:r w:rsidRPr="00466536">
        <w:rPr>
          <w:rFonts w:ascii="Times New Roman" w:hAnsi="Times New Roman" w:cs="Times New Roman"/>
          <w:noProof/>
        </w:rPr>
        <w:t>IPPR</w:t>
      </w:r>
      <w:r>
        <w:rPr>
          <w:noProof/>
        </w:rPr>
        <w:t>, 67</w:t>
      </w:r>
    </w:p>
    <w:p w:rsidR="00034039" w:rsidRDefault="00034039">
      <w:pPr>
        <w:pStyle w:val="Index1"/>
        <w:tabs>
          <w:tab w:val="right" w:leader="dot" w:pos="4143"/>
        </w:tabs>
        <w:rPr>
          <w:noProof/>
        </w:rPr>
      </w:pPr>
      <w:r w:rsidRPr="00466536">
        <w:rPr>
          <w:rFonts w:ascii="Times New Roman" w:hAnsi="Times New Roman" w:cs="Times New Roman"/>
          <w:noProof/>
        </w:rPr>
        <w:t>Ipsos-Mori</w:t>
      </w:r>
      <w:r>
        <w:rPr>
          <w:noProof/>
        </w:rPr>
        <w:t>, 38, 57</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Joyce</w:t>
      </w:r>
      <w:r>
        <w:rPr>
          <w:noProof/>
        </w:rPr>
        <w:t>, 12, 102</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Keynesian theory</w:t>
      </w:r>
      <w:r>
        <w:rPr>
          <w:noProof/>
        </w:rPr>
        <w:t>, 14</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Le Grand</w:t>
      </w:r>
      <w:r>
        <w:rPr>
          <w:noProof/>
        </w:rPr>
        <w:t>, 26, 75, 83</w:t>
      </w:r>
    </w:p>
    <w:p w:rsidR="00034039" w:rsidRDefault="00034039">
      <w:pPr>
        <w:pStyle w:val="Index1"/>
        <w:tabs>
          <w:tab w:val="right" w:leader="dot" w:pos="4143"/>
        </w:tabs>
        <w:rPr>
          <w:noProof/>
        </w:rPr>
      </w:pPr>
      <w:r w:rsidRPr="00466536">
        <w:rPr>
          <w:rFonts w:ascii="Times New Roman" w:hAnsi="Times New Roman" w:cs="Times New Roman"/>
          <w:noProof/>
        </w:rPr>
        <w:t>Leitch report</w:t>
      </w:r>
      <w:r>
        <w:rPr>
          <w:noProof/>
        </w:rPr>
        <w:t>, 63</w:t>
      </w:r>
    </w:p>
    <w:p w:rsidR="00034039" w:rsidRDefault="00034039">
      <w:pPr>
        <w:pStyle w:val="Index1"/>
        <w:tabs>
          <w:tab w:val="right" w:leader="dot" w:pos="4143"/>
        </w:tabs>
        <w:rPr>
          <w:noProof/>
        </w:rPr>
      </w:pPr>
      <w:r w:rsidRPr="00466536">
        <w:rPr>
          <w:rFonts w:ascii="Times New Roman" w:hAnsi="Times New Roman" w:cs="Times New Roman"/>
          <w:noProof/>
        </w:rPr>
        <w:t>Liberal Democrat</w:t>
      </w:r>
      <w:r>
        <w:rPr>
          <w:noProof/>
        </w:rPr>
        <w:t>, 39</w:t>
      </w:r>
    </w:p>
    <w:p w:rsidR="00034039" w:rsidRDefault="00034039">
      <w:pPr>
        <w:pStyle w:val="Index1"/>
        <w:tabs>
          <w:tab w:val="right" w:leader="dot" w:pos="4143"/>
        </w:tabs>
        <w:rPr>
          <w:noProof/>
        </w:rPr>
      </w:pPr>
      <w:r>
        <w:rPr>
          <w:noProof/>
        </w:rPr>
        <w:t>liberalism, vi, 14, 20, 24, 29, 98, 100</w:t>
      </w:r>
    </w:p>
    <w:p w:rsidR="00034039" w:rsidRDefault="00034039">
      <w:pPr>
        <w:pStyle w:val="Index2"/>
        <w:tabs>
          <w:tab w:val="right" w:leader="dot" w:pos="4143"/>
        </w:tabs>
        <w:rPr>
          <w:noProof/>
        </w:rPr>
      </w:pPr>
      <w:r>
        <w:rPr>
          <w:noProof/>
        </w:rPr>
        <w:t>embedding, vi, 38, 45</w:t>
      </w:r>
    </w:p>
    <w:p w:rsidR="00034039" w:rsidRDefault="00034039">
      <w:pPr>
        <w:pStyle w:val="Index2"/>
        <w:tabs>
          <w:tab w:val="right" w:leader="dot" w:pos="4143"/>
        </w:tabs>
        <w:rPr>
          <w:noProof/>
        </w:rPr>
      </w:pPr>
      <w:r>
        <w:rPr>
          <w:noProof/>
        </w:rPr>
        <w:t>ideology, 44</w:t>
      </w:r>
    </w:p>
    <w:p w:rsidR="00034039" w:rsidRDefault="00034039">
      <w:pPr>
        <w:pStyle w:val="Index2"/>
        <w:tabs>
          <w:tab w:val="right" w:leader="dot" w:pos="4143"/>
        </w:tabs>
        <w:rPr>
          <w:noProof/>
        </w:rPr>
      </w:pPr>
      <w:r>
        <w:rPr>
          <w:noProof/>
        </w:rPr>
        <w:t>investor confidence, 40</w:t>
      </w:r>
    </w:p>
    <w:p w:rsidR="00034039" w:rsidRDefault="00034039">
      <w:pPr>
        <w:pStyle w:val="Index2"/>
        <w:tabs>
          <w:tab w:val="right" w:leader="dot" w:pos="4143"/>
        </w:tabs>
        <w:rPr>
          <w:noProof/>
        </w:rPr>
      </w:pPr>
      <w:r>
        <w:rPr>
          <w:noProof/>
        </w:rPr>
        <w:t>political explanations, 38</w:t>
      </w:r>
    </w:p>
    <w:p w:rsidR="00034039" w:rsidRDefault="00034039">
      <w:pPr>
        <w:pStyle w:val="Index2"/>
        <w:tabs>
          <w:tab w:val="right" w:leader="dot" w:pos="4143"/>
        </w:tabs>
        <w:rPr>
          <w:noProof/>
        </w:rPr>
      </w:pPr>
      <w:r>
        <w:rPr>
          <w:noProof/>
        </w:rPr>
        <w:t>practical explanations, 39</w:t>
      </w:r>
    </w:p>
    <w:p w:rsidR="00034039" w:rsidRDefault="00034039">
      <w:pPr>
        <w:pStyle w:val="Index2"/>
        <w:tabs>
          <w:tab w:val="right" w:leader="dot" w:pos="4143"/>
        </w:tabs>
        <w:rPr>
          <w:noProof/>
        </w:rPr>
      </w:pPr>
      <w:r>
        <w:rPr>
          <w:noProof/>
        </w:rPr>
        <w:t>welfare state trilemma, 51</w:t>
      </w:r>
    </w:p>
    <w:p w:rsidR="00034039" w:rsidRDefault="00034039">
      <w:pPr>
        <w:pStyle w:val="Index1"/>
        <w:tabs>
          <w:tab w:val="right" w:leader="dot" w:pos="4143"/>
        </w:tabs>
        <w:rPr>
          <w:noProof/>
        </w:rPr>
      </w:pPr>
      <w:r w:rsidRPr="00466536">
        <w:rPr>
          <w:rFonts w:ascii="Times New Roman" w:hAnsi="Times New Roman" w:cs="Times New Roman"/>
          <w:noProof/>
        </w:rPr>
        <w:t>local government</w:t>
      </w:r>
      <w:r>
        <w:rPr>
          <w:noProof/>
        </w:rPr>
        <w:t>, 17, 23, 39</w:t>
      </w:r>
    </w:p>
    <w:p w:rsidR="00034039" w:rsidRDefault="00034039">
      <w:pPr>
        <w:pStyle w:val="Index1"/>
        <w:tabs>
          <w:tab w:val="right" w:leader="dot" w:pos="4143"/>
        </w:tabs>
        <w:rPr>
          <w:noProof/>
        </w:rPr>
      </w:pPr>
      <w:r>
        <w:rPr>
          <w:noProof/>
        </w:rPr>
        <w:lastRenderedPageBreak/>
        <w:t>long-term crisis, 24, 29, 91, 92, 95</w:t>
      </w:r>
    </w:p>
    <w:p w:rsidR="00034039" w:rsidRDefault="00034039">
      <w:pPr>
        <w:pStyle w:val="Index2"/>
        <w:tabs>
          <w:tab w:val="right" w:leader="dot" w:pos="4143"/>
        </w:tabs>
        <w:rPr>
          <w:noProof/>
        </w:rPr>
      </w:pPr>
      <w:r>
        <w:rPr>
          <w:noProof/>
        </w:rPr>
        <w:t>cost, 72</w:t>
      </w:r>
    </w:p>
    <w:p w:rsidR="00034039" w:rsidRDefault="00034039">
      <w:pPr>
        <w:pStyle w:val="Index2"/>
        <w:tabs>
          <w:tab w:val="right" w:leader="dot" w:pos="4143"/>
        </w:tabs>
        <w:rPr>
          <w:noProof/>
        </w:rPr>
      </w:pPr>
      <w:r>
        <w:rPr>
          <w:noProof/>
        </w:rPr>
        <w:t>healthcare, 75</w:t>
      </w:r>
    </w:p>
    <w:p w:rsidR="00034039" w:rsidRDefault="00034039">
      <w:pPr>
        <w:pStyle w:val="Index2"/>
        <w:tabs>
          <w:tab w:val="right" w:leader="dot" w:pos="4143"/>
        </w:tabs>
        <w:rPr>
          <w:noProof/>
        </w:rPr>
      </w:pPr>
      <w:r>
        <w:rPr>
          <w:noProof/>
        </w:rPr>
        <w:t>inclusive services, 75</w:t>
      </w:r>
    </w:p>
    <w:p w:rsidR="00034039" w:rsidRDefault="00034039">
      <w:pPr>
        <w:pStyle w:val="Index2"/>
        <w:tabs>
          <w:tab w:val="right" w:leader="dot" w:pos="4143"/>
        </w:tabs>
        <w:rPr>
          <w:noProof/>
        </w:rPr>
      </w:pPr>
      <w:r>
        <w:rPr>
          <w:noProof/>
        </w:rPr>
        <w:t>international comparison, 73</w:t>
      </w:r>
    </w:p>
    <w:p w:rsidR="00034039" w:rsidRDefault="00034039">
      <w:pPr>
        <w:pStyle w:val="Index2"/>
        <w:tabs>
          <w:tab w:val="right" w:leader="dot" w:pos="4143"/>
        </w:tabs>
        <w:rPr>
          <w:noProof/>
        </w:rPr>
      </w:pPr>
      <w:r>
        <w:rPr>
          <w:noProof/>
        </w:rPr>
        <w:t>non-state spending, 73</w:t>
      </w:r>
    </w:p>
    <w:p w:rsidR="00034039" w:rsidRDefault="00034039">
      <w:pPr>
        <w:pStyle w:val="Index1"/>
        <w:tabs>
          <w:tab w:val="right" w:leader="dot" w:pos="4143"/>
        </w:tabs>
        <w:rPr>
          <w:noProof/>
        </w:rPr>
      </w:pPr>
      <w:r w:rsidRPr="00466536">
        <w:rPr>
          <w:rFonts w:ascii="Times New Roman" w:hAnsi="Times New Roman" w:cs="Times New Roman"/>
          <w:noProof/>
        </w:rPr>
        <w:t>low income people</w:t>
      </w:r>
      <w:r>
        <w:rPr>
          <w:noProof/>
        </w:rPr>
        <w:t>, 15</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Marmot Review</w:t>
      </w:r>
      <w:r>
        <w:rPr>
          <w:noProof/>
        </w:rPr>
        <w:t>, 65, 75, 81</w:t>
      </w:r>
    </w:p>
    <w:p w:rsidR="00034039" w:rsidRDefault="00034039">
      <w:pPr>
        <w:pStyle w:val="Index1"/>
        <w:tabs>
          <w:tab w:val="right" w:leader="dot" w:pos="4143"/>
        </w:tabs>
        <w:rPr>
          <w:noProof/>
        </w:rPr>
      </w:pPr>
      <w:r w:rsidRPr="00466536">
        <w:rPr>
          <w:rFonts w:ascii="Times New Roman" w:hAnsi="Times New Roman" w:cs="Times New Roman"/>
          <w:noProof/>
        </w:rPr>
        <w:t>Marx</w:t>
      </w:r>
      <w:r>
        <w:rPr>
          <w:noProof/>
        </w:rPr>
        <w:t>, 91</w:t>
      </w:r>
    </w:p>
    <w:p w:rsidR="00034039" w:rsidRDefault="00034039">
      <w:pPr>
        <w:pStyle w:val="Index1"/>
        <w:tabs>
          <w:tab w:val="right" w:leader="dot" w:pos="4143"/>
        </w:tabs>
        <w:rPr>
          <w:noProof/>
        </w:rPr>
      </w:pPr>
      <w:r>
        <w:rPr>
          <w:noProof/>
        </w:rPr>
        <w:t>mass services</w:t>
      </w:r>
    </w:p>
    <w:p w:rsidR="00034039" w:rsidRDefault="00034039">
      <w:pPr>
        <w:pStyle w:val="Index2"/>
        <w:tabs>
          <w:tab w:val="right" w:leader="dot" w:pos="4143"/>
        </w:tabs>
        <w:rPr>
          <w:noProof/>
        </w:rPr>
      </w:pPr>
      <w:r>
        <w:rPr>
          <w:noProof/>
        </w:rPr>
        <w:t>inclusiveness, 79</w:t>
      </w:r>
    </w:p>
    <w:p w:rsidR="00034039" w:rsidRDefault="00034039">
      <w:pPr>
        <w:pStyle w:val="Index1"/>
        <w:tabs>
          <w:tab w:val="right" w:leader="dot" w:pos="4143"/>
        </w:tabs>
        <w:rPr>
          <w:noProof/>
        </w:rPr>
      </w:pPr>
      <w:r w:rsidRPr="00466536">
        <w:rPr>
          <w:rFonts w:ascii="Times New Roman" w:hAnsi="Times New Roman" w:cs="Times New Roman"/>
          <w:noProof/>
        </w:rPr>
        <w:t>Mau</w:t>
      </w:r>
      <w:r>
        <w:rPr>
          <w:noProof/>
        </w:rPr>
        <w:t>, 53</w:t>
      </w:r>
    </w:p>
    <w:p w:rsidR="00034039" w:rsidRDefault="00034039">
      <w:pPr>
        <w:pStyle w:val="Index1"/>
        <w:tabs>
          <w:tab w:val="right" w:leader="dot" w:pos="4143"/>
        </w:tabs>
        <w:rPr>
          <w:noProof/>
        </w:rPr>
      </w:pPr>
      <w:r w:rsidRPr="00466536">
        <w:rPr>
          <w:rFonts w:ascii="Times New Roman" w:hAnsi="Times New Roman" w:cs="Times New Roman"/>
          <w:noProof/>
        </w:rPr>
        <w:t>minimum wage</w:t>
      </w:r>
      <w:r>
        <w:rPr>
          <w:noProof/>
        </w:rPr>
        <w:t>, vii, 33, 42, 64, 67, 94, 107</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NAO</w:t>
      </w:r>
      <w:r>
        <w:rPr>
          <w:noProof/>
        </w:rPr>
        <w:t>, 86</w:t>
      </w:r>
    </w:p>
    <w:p w:rsidR="00034039" w:rsidRDefault="00034039">
      <w:pPr>
        <w:pStyle w:val="Index1"/>
        <w:tabs>
          <w:tab w:val="right" w:leader="dot" w:pos="4143"/>
        </w:tabs>
        <w:rPr>
          <w:noProof/>
        </w:rPr>
      </w:pPr>
      <w:r>
        <w:rPr>
          <w:noProof/>
        </w:rPr>
        <w:t>National Equalities Panel, 42, 63, 76, 78</w:t>
      </w:r>
    </w:p>
    <w:p w:rsidR="00034039" w:rsidRDefault="00034039">
      <w:pPr>
        <w:pStyle w:val="Index1"/>
        <w:tabs>
          <w:tab w:val="right" w:leader="dot" w:pos="4143"/>
        </w:tabs>
        <w:rPr>
          <w:noProof/>
        </w:rPr>
      </w:pPr>
      <w:r>
        <w:rPr>
          <w:noProof/>
        </w:rPr>
        <w:t>national insurance, 13, 59, 73, 78</w:t>
      </w:r>
    </w:p>
    <w:p w:rsidR="00034039" w:rsidRDefault="00034039">
      <w:pPr>
        <w:pStyle w:val="Index1"/>
        <w:tabs>
          <w:tab w:val="right" w:leader="dot" w:pos="4143"/>
        </w:tabs>
        <w:rPr>
          <w:noProof/>
        </w:rPr>
      </w:pPr>
      <w:r w:rsidRPr="00466536">
        <w:rPr>
          <w:rFonts w:ascii="Times New Roman" w:hAnsi="Times New Roman" w:cs="Times New Roman"/>
          <w:noProof/>
        </w:rPr>
        <w:t>NCVO</w:t>
      </w:r>
      <w:r>
        <w:rPr>
          <w:noProof/>
        </w:rPr>
        <w:t>, 22, 65</w:t>
      </w:r>
    </w:p>
    <w:p w:rsidR="00034039" w:rsidRDefault="00034039">
      <w:pPr>
        <w:pStyle w:val="Index1"/>
        <w:tabs>
          <w:tab w:val="right" w:leader="dot" w:pos="4143"/>
        </w:tabs>
        <w:rPr>
          <w:noProof/>
        </w:rPr>
      </w:pPr>
      <w:r w:rsidRPr="00466536">
        <w:rPr>
          <w:rFonts w:ascii="Times New Roman" w:hAnsi="Times New Roman" w:cs="Times New Roman"/>
          <w:noProof/>
        </w:rPr>
        <w:t>New Deal</w:t>
      </w:r>
      <w:r>
        <w:rPr>
          <w:noProof/>
        </w:rPr>
        <w:t>, 102</w:t>
      </w:r>
    </w:p>
    <w:p w:rsidR="00034039" w:rsidRDefault="00034039">
      <w:pPr>
        <w:pStyle w:val="Index1"/>
        <w:tabs>
          <w:tab w:val="right" w:leader="dot" w:pos="4143"/>
        </w:tabs>
        <w:rPr>
          <w:noProof/>
        </w:rPr>
      </w:pPr>
      <w:r w:rsidRPr="00466536">
        <w:rPr>
          <w:rFonts w:ascii="Times New Roman" w:hAnsi="Times New Roman" w:cs="Times New Roman"/>
          <w:noProof/>
        </w:rPr>
        <w:t>New Labour</w:t>
      </w:r>
      <w:r>
        <w:rPr>
          <w:noProof/>
        </w:rPr>
        <w:t>, 41</w:t>
      </w:r>
    </w:p>
    <w:p w:rsidR="00034039" w:rsidRDefault="00034039">
      <w:pPr>
        <w:pStyle w:val="Index1"/>
        <w:tabs>
          <w:tab w:val="right" w:leader="dot" w:pos="4143"/>
        </w:tabs>
        <w:rPr>
          <w:noProof/>
        </w:rPr>
      </w:pPr>
      <w:r w:rsidRPr="00466536">
        <w:rPr>
          <w:rFonts w:ascii="Times New Roman" w:hAnsi="Times New Roman" w:cs="Times New Roman"/>
          <w:noProof/>
        </w:rPr>
        <w:t>new social risks</w:t>
      </w:r>
      <w:r>
        <w:rPr>
          <w:noProof/>
        </w:rPr>
        <w:t>, 98, 102, 104</w:t>
      </w:r>
    </w:p>
    <w:p w:rsidR="00034039" w:rsidRDefault="00034039">
      <w:pPr>
        <w:pStyle w:val="Index2"/>
        <w:tabs>
          <w:tab w:val="right" w:leader="dot" w:pos="4143"/>
        </w:tabs>
        <w:rPr>
          <w:noProof/>
        </w:rPr>
      </w:pPr>
      <w:r>
        <w:rPr>
          <w:noProof/>
        </w:rPr>
        <w:t>childcare, 99</w:t>
      </w:r>
    </w:p>
    <w:p w:rsidR="00034039" w:rsidRDefault="00034039">
      <w:pPr>
        <w:pStyle w:val="Index2"/>
        <w:tabs>
          <w:tab w:val="right" w:leader="dot" w:pos="4143"/>
        </w:tabs>
        <w:rPr>
          <w:noProof/>
        </w:rPr>
      </w:pPr>
      <w:r>
        <w:rPr>
          <w:noProof/>
        </w:rPr>
        <w:t>education, 99</w:t>
      </w:r>
    </w:p>
    <w:p w:rsidR="00034039" w:rsidRDefault="00034039">
      <w:pPr>
        <w:pStyle w:val="Index2"/>
        <w:tabs>
          <w:tab w:val="right" w:leader="dot" w:pos="4143"/>
        </w:tabs>
        <w:rPr>
          <w:noProof/>
        </w:rPr>
      </w:pPr>
      <w:r>
        <w:rPr>
          <w:noProof/>
        </w:rPr>
        <w:t>low pay, 99</w:t>
      </w:r>
    </w:p>
    <w:p w:rsidR="00034039" w:rsidRDefault="00034039">
      <w:pPr>
        <w:pStyle w:val="Index2"/>
        <w:tabs>
          <w:tab w:val="right" w:leader="dot" w:pos="4143"/>
        </w:tabs>
        <w:rPr>
          <w:noProof/>
        </w:rPr>
      </w:pPr>
      <w:r>
        <w:rPr>
          <w:noProof/>
        </w:rPr>
        <w:t>politics, 99</w:t>
      </w:r>
    </w:p>
    <w:p w:rsidR="00034039" w:rsidRDefault="00034039">
      <w:pPr>
        <w:pStyle w:val="Index1"/>
        <w:tabs>
          <w:tab w:val="right" w:leader="dot" w:pos="4143"/>
        </w:tabs>
        <w:rPr>
          <w:noProof/>
        </w:rPr>
      </w:pPr>
      <w:r w:rsidRPr="00466536">
        <w:rPr>
          <w:rFonts w:ascii="Times New Roman" w:hAnsi="Times New Roman" w:cs="Times New Roman"/>
          <w:noProof/>
        </w:rPr>
        <w:t>NHS</w:t>
      </w:r>
      <w:r>
        <w:rPr>
          <w:noProof/>
        </w:rPr>
        <w:t>, 15, 20, 28, 37, 39, 43, 53, 64, 76, 81, 86</w:t>
      </w:r>
    </w:p>
    <w:p w:rsidR="00034039" w:rsidRDefault="00034039">
      <w:pPr>
        <w:pStyle w:val="Index2"/>
        <w:tabs>
          <w:tab w:val="right" w:leader="dot" w:pos="4143"/>
        </w:tabs>
        <w:rPr>
          <w:noProof/>
        </w:rPr>
      </w:pPr>
      <w:r>
        <w:rPr>
          <w:noProof/>
        </w:rPr>
        <w:t>Clinical Commissioning Group, 20, 44</w:t>
      </w:r>
    </w:p>
    <w:p w:rsidR="00034039" w:rsidRDefault="00034039">
      <w:pPr>
        <w:pStyle w:val="Index2"/>
        <w:tabs>
          <w:tab w:val="right" w:leader="dot" w:pos="4143"/>
        </w:tabs>
        <w:rPr>
          <w:noProof/>
        </w:rPr>
      </w:pPr>
      <w:r>
        <w:rPr>
          <w:noProof/>
        </w:rPr>
        <w:t>Monitor, 20</w:t>
      </w:r>
    </w:p>
    <w:p w:rsidR="00034039" w:rsidRDefault="00034039">
      <w:pPr>
        <w:pStyle w:val="Index1"/>
        <w:tabs>
          <w:tab w:val="right" w:leader="dot" w:pos="4143"/>
        </w:tabs>
        <w:rPr>
          <w:noProof/>
        </w:rPr>
      </w:pPr>
      <w:r w:rsidRPr="00466536">
        <w:rPr>
          <w:rFonts w:ascii="Times New Roman" w:hAnsi="Times New Roman" w:cs="Times New Roman"/>
          <w:noProof/>
        </w:rPr>
        <w:t>NICE</w:t>
      </w:r>
      <w:r>
        <w:rPr>
          <w:noProof/>
        </w:rPr>
        <w:t>, 87</w:t>
      </w:r>
    </w:p>
    <w:p w:rsidR="00034039" w:rsidRDefault="00034039">
      <w:pPr>
        <w:pStyle w:val="Index1"/>
        <w:tabs>
          <w:tab w:val="right" w:leader="dot" w:pos="4143"/>
        </w:tabs>
        <w:rPr>
          <w:noProof/>
        </w:rPr>
      </w:pPr>
      <w:r w:rsidRPr="00466536">
        <w:rPr>
          <w:rFonts w:ascii="Times New Roman" w:hAnsi="Times New Roman" w:cs="Times New Roman"/>
          <w:noProof/>
        </w:rPr>
        <w:t>Nicholson Challenge</w:t>
      </w:r>
      <w:r>
        <w:rPr>
          <w:noProof/>
        </w:rPr>
        <w:t>, 26</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O’Dea</w:t>
      </w:r>
      <w:r>
        <w:rPr>
          <w:noProof/>
        </w:rPr>
        <w:t>, 18</w:t>
      </w:r>
    </w:p>
    <w:p w:rsidR="00034039" w:rsidRDefault="00034039">
      <w:pPr>
        <w:pStyle w:val="Index1"/>
        <w:tabs>
          <w:tab w:val="right" w:leader="dot" w:pos="4143"/>
        </w:tabs>
        <w:rPr>
          <w:noProof/>
        </w:rPr>
      </w:pPr>
      <w:r w:rsidRPr="00466536">
        <w:rPr>
          <w:rFonts w:ascii="Times New Roman" w:hAnsi="Times New Roman" w:cs="Times New Roman"/>
          <w:noProof/>
        </w:rPr>
        <w:t>OBR</w:t>
      </w:r>
      <w:r>
        <w:rPr>
          <w:noProof/>
        </w:rPr>
        <w:t>, 14, 18, 24, 27, 36, 72, 90, 92</w:t>
      </w:r>
    </w:p>
    <w:p w:rsidR="00034039" w:rsidRDefault="00034039">
      <w:pPr>
        <w:pStyle w:val="Index1"/>
        <w:tabs>
          <w:tab w:val="right" w:leader="dot" w:pos="4143"/>
        </w:tabs>
        <w:rPr>
          <w:noProof/>
        </w:rPr>
      </w:pPr>
      <w:r w:rsidRPr="00466536">
        <w:rPr>
          <w:rFonts w:ascii="Times New Roman" w:hAnsi="Times New Roman" w:cs="Times New Roman"/>
          <w:noProof/>
          <w:color w:val="000000"/>
        </w:rPr>
        <w:t>Observer newspaper</w:t>
      </w:r>
      <w:r>
        <w:rPr>
          <w:noProof/>
        </w:rPr>
        <w:t>, 86</w:t>
      </w:r>
    </w:p>
    <w:p w:rsidR="00034039" w:rsidRDefault="00034039">
      <w:pPr>
        <w:pStyle w:val="Index1"/>
        <w:tabs>
          <w:tab w:val="right" w:leader="dot" w:pos="4143"/>
        </w:tabs>
        <w:rPr>
          <w:noProof/>
        </w:rPr>
      </w:pPr>
      <w:r w:rsidRPr="00466536">
        <w:rPr>
          <w:rFonts w:ascii="Times New Roman" w:hAnsi="Times New Roman" w:cs="Times New Roman"/>
          <w:noProof/>
        </w:rPr>
        <w:t>OECD</w:t>
      </w:r>
      <w:r>
        <w:rPr>
          <w:noProof/>
        </w:rPr>
        <w:t>, 27, 35, 40</w:t>
      </w:r>
    </w:p>
    <w:p w:rsidR="00034039" w:rsidRDefault="00034039">
      <w:pPr>
        <w:pStyle w:val="Index1"/>
        <w:tabs>
          <w:tab w:val="right" w:leader="dot" w:pos="4143"/>
        </w:tabs>
        <w:rPr>
          <w:noProof/>
        </w:rPr>
      </w:pPr>
      <w:r w:rsidRPr="00466536">
        <w:rPr>
          <w:rFonts w:ascii="Times New Roman" w:hAnsi="Times New Roman" w:cs="Times New Roman"/>
          <w:noProof/>
        </w:rPr>
        <w:t>Open Public Services</w:t>
      </w:r>
      <w:r>
        <w:rPr>
          <w:noProof/>
        </w:rPr>
        <w:t>, 20</w:t>
      </w:r>
    </w:p>
    <w:p w:rsidR="00034039" w:rsidRDefault="00034039">
      <w:pPr>
        <w:pStyle w:val="Index1"/>
        <w:tabs>
          <w:tab w:val="right" w:leader="dot" w:pos="4143"/>
        </w:tabs>
        <w:rPr>
          <w:noProof/>
        </w:rPr>
      </w:pPr>
      <w:r w:rsidRPr="00466536">
        <w:rPr>
          <w:rFonts w:ascii="Times New Roman" w:hAnsi="Times New Roman" w:cs="Times New Roman"/>
          <w:noProof/>
        </w:rPr>
        <w:t>Osborne</w:t>
      </w:r>
      <w:r>
        <w:rPr>
          <w:noProof/>
        </w:rPr>
        <w:t>, 23</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Palier</w:t>
      </w:r>
      <w:r>
        <w:rPr>
          <w:noProof/>
        </w:rPr>
        <w:t>, 74</w:t>
      </w:r>
    </w:p>
    <w:p w:rsidR="00034039" w:rsidRDefault="00034039">
      <w:pPr>
        <w:pStyle w:val="Index1"/>
        <w:tabs>
          <w:tab w:val="right" w:leader="dot" w:pos="4143"/>
        </w:tabs>
        <w:rPr>
          <w:noProof/>
        </w:rPr>
      </w:pPr>
      <w:r w:rsidRPr="00466536">
        <w:rPr>
          <w:rFonts w:ascii="Times New Roman" w:hAnsi="Times New Roman" w:cs="Times New Roman"/>
          <w:noProof/>
        </w:rPr>
        <w:t>pension</w:t>
      </w:r>
      <w:r>
        <w:rPr>
          <w:noProof/>
        </w:rPr>
        <w:t>, vi, 12, 13, 15, 16, 24, 53, 54, 72, 73, 75, 78, 81, 92</w:t>
      </w:r>
    </w:p>
    <w:p w:rsidR="00034039" w:rsidRDefault="00034039">
      <w:pPr>
        <w:pStyle w:val="Index2"/>
        <w:tabs>
          <w:tab w:val="right" w:leader="dot" w:pos="4143"/>
        </w:tabs>
        <w:rPr>
          <w:noProof/>
        </w:rPr>
      </w:pPr>
      <w:r>
        <w:rPr>
          <w:noProof/>
        </w:rPr>
        <w:t>single-tier, 16, 78</w:t>
      </w:r>
    </w:p>
    <w:p w:rsidR="00034039" w:rsidRDefault="00034039">
      <w:pPr>
        <w:pStyle w:val="Index1"/>
        <w:tabs>
          <w:tab w:val="right" w:leader="dot" w:pos="4143"/>
        </w:tabs>
        <w:rPr>
          <w:noProof/>
        </w:rPr>
      </w:pPr>
      <w:r w:rsidRPr="00466536">
        <w:rPr>
          <w:rFonts w:ascii="Times New Roman" w:hAnsi="Times New Roman" w:cs="Times New Roman"/>
          <w:noProof/>
        </w:rPr>
        <w:t>pension age</w:t>
      </w:r>
      <w:r>
        <w:rPr>
          <w:noProof/>
        </w:rPr>
        <w:t>, 74</w:t>
      </w:r>
    </w:p>
    <w:p w:rsidR="00034039" w:rsidRDefault="00034039">
      <w:pPr>
        <w:pStyle w:val="Index1"/>
        <w:tabs>
          <w:tab w:val="right" w:leader="dot" w:pos="4143"/>
        </w:tabs>
        <w:rPr>
          <w:noProof/>
        </w:rPr>
      </w:pPr>
      <w:r w:rsidRPr="00466536">
        <w:rPr>
          <w:rFonts w:ascii="Times New Roman" w:hAnsi="Times New Roman" w:cs="Times New Roman"/>
          <w:noProof/>
        </w:rPr>
        <w:t>personal budgeting</w:t>
      </w:r>
      <w:r>
        <w:rPr>
          <w:noProof/>
        </w:rPr>
        <w:t>, 28</w:t>
      </w:r>
    </w:p>
    <w:p w:rsidR="00034039" w:rsidRDefault="00034039">
      <w:pPr>
        <w:pStyle w:val="Index1"/>
        <w:tabs>
          <w:tab w:val="right" w:leader="dot" w:pos="4143"/>
        </w:tabs>
        <w:rPr>
          <w:noProof/>
        </w:rPr>
      </w:pPr>
      <w:r w:rsidRPr="00466536">
        <w:rPr>
          <w:rFonts w:ascii="Times New Roman" w:hAnsi="Times New Roman" w:cs="Times New Roman"/>
          <w:noProof/>
        </w:rPr>
        <w:t>personalisation</w:t>
      </w:r>
      <w:r>
        <w:rPr>
          <w:noProof/>
        </w:rPr>
        <w:t>, 84</w:t>
      </w:r>
    </w:p>
    <w:p w:rsidR="00034039" w:rsidRDefault="00034039">
      <w:pPr>
        <w:pStyle w:val="Index1"/>
        <w:tabs>
          <w:tab w:val="right" w:leader="dot" w:pos="4143"/>
        </w:tabs>
        <w:rPr>
          <w:noProof/>
        </w:rPr>
      </w:pPr>
      <w:r w:rsidRPr="00466536">
        <w:rPr>
          <w:rFonts w:ascii="Times New Roman" w:hAnsi="Times New Roman" w:cs="Times New Roman"/>
          <w:noProof/>
        </w:rPr>
        <w:t>Pierson</w:t>
      </w:r>
      <w:r>
        <w:rPr>
          <w:noProof/>
        </w:rPr>
        <w:t>, 35, 85, 96</w:t>
      </w:r>
    </w:p>
    <w:p w:rsidR="00034039" w:rsidRDefault="00034039">
      <w:pPr>
        <w:pStyle w:val="Index1"/>
        <w:tabs>
          <w:tab w:val="right" w:leader="dot" w:pos="4143"/>
        </w:tabs>
        <w:rPr>
          <w:noProof/>
        </w:rPr>
      </w:pPr>
      <w:r>
        <w:rPr>
          <w:noProof/>
        </w:rPr>
        <w:t>political leadership, 69</w:t>
      </w:r>
    </w:p>
    <w:p w:rsidR="00034039" w:rsidRDefault="00034039">
      <w:pPr>
        <w:pStyle w:val="Index1"/>
        <w:tabs>
          <w:tab w:val="right" w:leader="dot" w:pos="4143"/>
        </w:tabs>
        <w:rPr>
          <w:noProof/>
        </w:rPr>
      </w:pPr>
      <w:r w:rsidRPr="00466536">
        <w:rPr>
          <w:rFonts w:ascii="Times New Roman" w:hAnsi="Times New Roman" w:cs="Times New Roman"/>
          <w:noProof/>
        </w:rPr>
        <w:t>population ageing</w:t>
      </w:r>
      <w:r>
        <w:rPr>
          <w:noProof/>
        </w:rPr>
        <w:t>, 24, 35, 73, 92</w:t>
      </w:r>
    </w:p>
    <w:p w:rsidR="00034039" w:rsidRDefault="00034039">
      <w:pPr>
        <w:pStyle w:val="Index2"/>
        <w:tabs>
          <w:tab w:val="right" w:leader="dot" w:pos="4143"/>
        </w:tabs>
        <w:rPr>
          <w:noProof/>
        </w:rPr>
      </w:pPr>
      <w:r>
        <w:rPr>
          <w:noProof/>
        </w:rPr>
        <w:lastRenderedPageBreak/>
        <w:t>cost, 25</w:t>
      </w:r>
    </w:p>
    <w:p w:rsidR="00034039" w:rsidRDefault="00034039">
      <w:pPr>
        <w:pStyle w:val="Index1"/>
        <w:tabs>
          <w:tab w:val="right" w:leader="dot" w:pos="4143"/>
        </w:tabs>
        <w:rPr>
          <w:noProof/>
        </w:rPr>
      </w:pPr>
      <w:r w:rsidRPr="00466536">
        <w:rPr>
          <w:rFonts w:ascii="Times New Roman" w:hAnsi="Times New Roman" w:cs="Times New Roman"/>
          <w:noProof/>
        </w:rPr>
        <w:t>Porto Alegre</w:t>
      </w:r>
      <w:r>
        <w:rPr>
          <w:noProof/>
        </w:rPr>
        <w:t>, 84</w:t>
      </w:r>
    </w:p>
    <w:p w:rsidR="00034039" w:rsidRDefault="00034039">
      <w:pPr>
        <w:pStyle w:val="Index1"/>
        <w:tabs>
          <w:tab w:val="right" w:leader="dot" w:pos="4143"/>
        </w:tabs>
        <w:rPr>
          <w:noProof/>
        </w:rPr>
      </w:pPr>
      <w:r w:rsidRPr="00466536">
        <w:rPr>
          <w:rFonts w:ascii="Times New Roman" w:hAnsi="Times New Roman" w:cs="Times New Roman"/>
          <w:noProof/>
        </w:rPr>
        <w:t>poverty</w:t>
      </w:r>
      <w:r>
        <w:rPr>
          <w:noProof/>
        </w:rPr>
        <w:t>, 17, 23, 52, 105</w:t>
      </w:r>
    </w:p>
    <w:p w:rsidR="00034039" w:rsidRDefault="00034039">
      <w:pPr>
        <w:pStyle w:val="Index2"/>
        <w:tabs>
          <w:tab w:val="right" w:leader="dot" w:pos="4143"/>
        </w:tabs>
        <w:rPr>
          <w:noProof/>
        </w:rPr>
      </w:pPr>
      <w:r>
        <w:rPr>
          <w:noProof/>
        </w:rPr>
        <w:t>child poverty, 57, 93, 105</w:t>
      </w:r>
    </w:p>
    <w:p w:rsidR="00034039" w:rsidRDefault="00034039">
      <w:pPr>
        <w:pStyle w:val="Index2"/>
        <w:tabs>
          <w:tab w:val="right" w:leader="dot" w:pos="4143"/>
        </w:tabs>
        <w:rPr>
          <w:noProof/>
        </w:rPr>
      </w:pPr>
      <w:r>
        <w:rPr>
          <w:noProof/>
        </w:rPr>
        <w:t>ending adult poverty, 58, 106</w:t>
      </w:r>
    </w:p>
    <w:p w:rsidR="00034039" w:rsidRDefault="00034039">
      <w:pPr>
        <w:pStyle w:val="Index2"/>
        <w:tabs>
          <w:tab w:val="right" w:leader="dot" w:pos="4143"/>
        </w:tabs>
        <w:rPr>
          <w:noProof/>
        </w:rPr>
      </w:pPr>
      <w:r>
        <w:rPr>
          <w:noProof/>
        </w:rPr>
        <w:t>ending child poverty, 58, 94, 103</w:t>
      </w:r>
    </w:p>
    <w:p w:rsidR="00034039" w:rsidRDefault="00034039">
      <w:pPr>
        <w:pStyle w:val="Index2"/>
        <w:tabs>
          <w:tab w:val="right" w:leader="dot" w:pos="4143"/>
        </w:tabs>
        <w:rPr>
          <w:noProof/>
        </w:rPr>
      </w:pPr>
      <w:r>
        <w:rPr>
          <w:noProof/>
        </w:rPr>
        <w:t>media treatment, 37</w:t>
      </w:r>
    </w:p>
    <w:p w:rsidR="00034039" w:rsidRDefault="00034039">
      <w:pPr>
        <w:pStyle w:val="Index1"/>
        <w:tabs>
          <w:tab w:val="right" w:leader="dot" w:pos="4143"/>
        </w:tabs>
        <w:rPr>
          <w:noProof/>
        </w:rPr>
      </w:pPr>
      <w:r w:rsidRPr="00466536">
        <w:rPr>
          <w:rFonts w:ascii="Times New Roman" w:hAnsi="Times New Roman" w:cs="Times New Roman"/>
          <w:noProof/>
        </w:rPr>
        <w:t>price</w:t>
      </w:r>
      <w:r>
        <w:rPr>
          <w:noProof/>
        </w:rPr>
        <w:t>, 95</w:t>
      </w:r>
    </w:p>
    <w:p w:rsidR="00034039" w:rsidRDefault="00034039">
      <w:pPr>
        <w:pStyle w:val="Index1"/>
        <w:tabs>
          <w:tab w:val="right" w:leader="dot" w:pos="4143"/>
        </w:tabs>
        <w:rPr>
          <w:noProof/>
        </w:rPr>
      </w:pPr>
      <w:r w:rsidRPr="00466536">
        <w:rPr>
          <w:rFonts w:ascii="Times New Roman" w:hAnsi="Times New Roman" w:cs="Times New Roman"/>
          <w:noProof/>
        </w:rPr>
        <w:t>private health care</w:t>
      </w:r>
      <w:r>
        <w:rPr>
          <w:noProof/>
        </w:rPr>
        <w:t>, 76</w:t>
      </w:r>
    </w:p>
    <w:p w:rsidR="00034039" w:rsidRDefault="00034039">
      <w:pPr>
        <w:pStyle w:val="Index1"/>
        <w:tabs>
          <w:tab w:val="right" w:leader="dot" w:pos="4143"/>
        </w:tabs>
        <w:rPr>
          <w:noProof/>
        </w:rPr>
      </w:pPr>
      <w:r>
        <w:rPr>
          <w:noProof/>
        </w:rPr>
        <w:t>private schools, 77</w:t>
      </w:r>
    </w:p>
    <w:p w:rsidR="00034039" w:rsidRDefault="00034039">
      <w:pPr>
        <w:pStyle w:val="Index1"/>
        <w:tabs>
          <w:tab w:val="right" w:leader="dot" w:pos="4143"/>
        </w:tabs>
        <w:rPr>
          <w:noProof/>
        </w:rPr>
      </w:pPr>
      <w:r w:rsidRPr="00466536">
        <w:rPr>
          <w:rFonts w:ascii="Times New Roman" w:hAnsi="Times New Roman" w:cs="Times New Roman"/>
          <w:noProof/>
        </w:rPr>
        <w:t>privatisation</w:t>
      </w:r>
      <w:r>
        <w:rPr>
          <w:noProof/>
        </w:rPr>
        <w:t>, 21, 26, 40, 65, 85</w:t>
      </w:r>
    </w:p>
    <w:p w:rsidR="00034039" w:rsidRDefault="00034039">
      <w:pPr>
        <w:pStyle w:val="Index1"/>
        <w:tabs>
          <w:tab w:val="right" w:leader="dot" w:pos="4143"/>
        </w:tabs>
        <w:rPr>
          <w:noProof/>
        </w:rPr>
      </w:pPr>
      <w:r w:rsidRPr="00466536">
        <w:rPr>
          <w:rFonts w:ascii="Times New Roman" w:hAnsi="Times New Roman" w:cs="Times New Roman"/>
          <w:noProof/>
        </w:rPr>
        <w:t>productivity</w:t>
      </w:r>
      <w:r>
        <w:rPr>
          <w:noProof/>
        </w:rPr>
        <w:t>, 25, 26</w:t>
      </w:r>
    </w:p>
    <w:p w:rsidR="00034039" w:rsidRDefault="00034039">
      <w:pPr>
        <w:pStyle w:val="Index1"/>
        <w:tabs>
          <w:tab w:val="right" w:leader="dot" w:pos="4143"/>
        </w:tabs>
        <w:rPr>
          <w:noProof/>
        </w:rPr>
      </w:pPr>
      <w:r w:rsidRPr="00466536">
        <w:rPr>
          <w:rFonts w:ascii="Times New Roman" w:hAnsi="Times New Roman" w:cs="Times New Roman"/>
          <w:noProof/>
        </w:rPr>
        <w:t>Propper</w:t>
      </w:r>
      <w:r>
        <w:rPr>
          <w:noProof/>
        </w:rPr>
        <w:t>, 83</w:t>
      </w:r>
    </w:p>
    <w:p w:rsidR="00034039" w:rsidRDefault="00034039">
      <w:pPr>
        <w:pStyle w:val="Index1"/>
        <w:tabs>
          <w:tab w:val="right" w:leader="dot" w:pos="4143"/>
        </w:tabs>
        <w:rPr>
          <w:noProof/>
        </w:rPr>
      </w:pPr>
      <w:r w:rsidRPr="00466536">
        <w:rPr>
          <w:rFonts w:ascii="Times New Roman" w:hAnsi="Times New Roman" w:cs="Times New Roman"/>
          <w:noProof/>
        </w:rPr>
        <w:t>public spending</w:t>
      </w:r>
      <w:r>
        <w:rPr>
          <w:noProof/>
        </w:rPr>
        <w:t>, 13, 24, 27, 34, 42, 50, 54, 62, 93, 95, 103</w:t>
      </w:r>
    </w:p>
    <w:p w:rsidR="00034039" w:rsidRDefault="00034039">
      <w:pPr>
        <w:pStyle w:val="Index1"/>
        <w:tabs>
          <w:tab w:val="right" w:leader="dot" w:pos="4143"/>
        </w:tabs>
        <w:rPr>
          <w:noProof/>
        </w:rPr>
      </w:pPr>
      <w:r w:rsidRPr="00466536">
        <w:rPr>
          <w:rFonts w:ascii="Times New Roman" w:hAnsi="Times New Roman" w:cs="Times New Roman"/>
          <w:noProof/>
        </w:rPr>
        <w:t>Purnell</w:t>
      </w:r>
      <w:r>
        <w:rPr>
          <w:noProof/>
        </w:rPr>
        <w:t>, 60</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recession</w:t>
      </w:r>
      <w:r>
        <w:rPr>
          <w:noProof/>
        </w:rPr>
        <w:t>, 12, 14, 20, 102</w:t>
      </w:r>
    </w:p>
    <w:p w:rsidR="00034039" w:rsidRDefault="00034039">
      <w:pPr>
        <w:pStyle w:val="Index1"/>
        <w:tabs>
          <w:tab w:val="right" w:leader="dot" w:pos="4143"/>
        </w:tabs>
        <w:rPr>
          <w:noProof/>
        </w:rPr>
      </w:pPr>
      <w:r w:rsidRPr="00466536">
        <w:rPr>
          <w:rFonts w:ascii="Times New Roman" w:hAnsi="Times New Roman" w:cs="Times New Roman"/>
          <w:noProof/>
        </w:rPr>
        <w:t>redistribution</w:t>
      </w:r>
      <w:r>
        <w:rPr>
          <w:noProof/>
        </w:rPr>
        <w:t>, v, vii, 37, 50, 55, 56, 58, 66, 93, 94, 98, 103</w:t>
      </w:r>
    </w:p>
    <w:p w:rsidR="00034039" w:rsidRDefault="00034039">
      <w:pPr>
        <w:pStyle w:val="Index1"/>
        <w:tabs>
          <w:tab w:val="right" w:leader="dot" w:pos="4143"/>
        </w:tabs>
        <w:rPr>
          <w:noProof/>
        </w:rPr>
      </w:pPr>
      <w:r>
        <w:rPr>
          <w:noProof/>
        </w:rPr>
        <w:t>regulation, 94</w:t>
      </w:r>
    </w:p>
    <w:p w:rsidR="00034039" w:rsidRDefault="00034039">
      <w:pPr>
        <w:pStyle w:val="Index2"/>
        <w:tabs>
          <w:tab w:val="right" w:leader="dot" w:pos="4143"/>
        </w:tabs>
        <w:rPr>
          <w:noProof/>
        </w:rPr>
      </w:pPr>
      <w:r>
        <w:rPr>
          <w:noProof/>
        </w:rPr>
        <w:t>private provision, 80, 95</w:t>
      </w:r>
    </w:p>
    <w:p w:rsidR="00034039" w:rsidRDefault="00034039">
      <w:pPr>
        <w:pStyle w:val="Index2"/>
        <w:tabs>
          <w:tab w:val="right" w:leader="dot" w:pos="4143"/>
        </w:tabs>
        <w:rPr>
          <w:noProof/>
        </w:rPr>
      </w:pPr>
      <w:r>
        <w:rPr>
          <w:noProof/>
        </w:rPr>
        <w:t>shortcomings, 86</w:t>
      </w:r>
    </w:p>
    <w:p w:rsidR="00034039" w:rsidRDefault="00034039">
      <w:pPr>
        <w:pStyle w:val="Index1"/>
        <w:tabs>
          <w:tab w:val="right" w:leader="dot" w:pos="4143"/>
        </w:tabs>
        <w:rPr>
          <w:noProof/>
        </w:rPr>
      </w:pPr>
      <w:r w:rsidRPr="00466536">
        <w:rPr>
          <w:rFonts w:ascii="Times New Roman" w:hAnsi="Times New Roman" w:cs="Times New Roman"/>
          <w:noProof/>
        </w:rPr>
        <w:t>Resolution Foundation</w:t>
      </w:r>
      <w:r>
        <w:rPr>
          <w:noProof/>
        </w:rPr>
        <w:t>, 67</w:t>
      </w:r>
    </w:p>
    <w:p w:rsidR="00034039" w:rsidRDefault="00034039">
      <w:pPr>
        <w:pStyle w:val="Index1"/>
        <w:tabs>
          <w:tab w:val="right" w:leader="dot" w:pos="4143"/>
        </w:tabs>
        <w:rPr>
          <w:noProof/>
        </w:rPr>
      </w:pPr>
      <w:r>
        <w:rPr>
          <w:noProof/>
        </w:rPr>
        <w:t>responsiveness</w:t>
      </w:r>
    </w:p>
    <w:p w:rsidR="00034039" w:rsidRDefault="00034039">
      <w:pPr>
        <w:pStyle w:val="Index2"/>
        <w:tabs>
          <w:tab w:val="right" w:leader="dot" w:pos="4143"/>
        </w:tabs>
        <w:rPr>
          <w:noProof/>
        </w:rPr>
      </w:pPr>
      <w:r>
        <w:rPr>
          <w:noProof/>
        </w:rPr>
        <w:t>competitive markets, 82</w:t>
      </w:r>
    </w:p>
    <w:p w:rsidR="00034039" w:rsidRDefault="00034039">
      <w:pPr>
        <w:pStyle w:val="Index2"/>
        <w:tabs>
          <w:tab w:val="right" w:leader="dot" w:pos="4143"/>
        </w:tabs>
        <w:rPr>
          <w:noProof/>
        </w:rPr>
      </w:pPr>
      <w:r>
        <w:rPr>
          <w:noProof/>
        </w:rPr>
        <w:t>democratic control, 84</w:t>
      </w:r>
    </w:p>
    <w:p w:rsidR="00034039" w:rsidRDefault="00034039">
      <w:pPr>
        <w:pStyle w:val="Index1"/>
        <w:tabs>
          <w:tab w:val="right" w:leader="dot" w:pos="4143"/>
        </w:tabs>
        <w:rPr>
          <w:noProof/>
        </w:rPr>
      </w:pPr>
      <w:r>
        <w:rPr>
          <w:noProof/>
        </w:rPr>
        <w:t>restructuring, 19, 40, 91</w:t>
      </w:r>
    </w:p>
    <w:p w:rsidR="00034039" w:rsidRDefault="00034039">
      <w:pPr>
        <w:pStyle w:val="Index1"/>
        <w:tabs>
          <w:tab w:val="right" w:leader="dot" w:pos="4143"/>
        </w:tabs>
        <w:rPr>
          <w:noProof/>
        </w:rPr>
      </w:pPr>
      <w:r w:rsidRPr="00466536">
        <w:rPr>
          <w:rFonts w:ascii="Times New Roman" w:hAnsi="Times New Roman" w:cs="Times New Roman"/>
          <w:noProof/>
        </w:rPr>
        <w:t>risk</w:t>
      </w:r>
    </w:p>
    <w:p w:rsidR="00034039" w:rsidRDefault="00034039">
      <w:pPr>
        <w:pStyle w:val="Index2"/>
        <w:tabs>
          <w:tab w:val="right" w:leader="dot" w:pos="4143"/>
        </w:tabs>
        <w:rPr>
          <w:noProof/>
        </w:rPr>
      </w:pPr>
      <w:r>
        <w:rPr>
          <w:noProof/>
        </w:rPr>
        <w:t>economic, 19</w:t>
      </w:r>
    </w:p>
    <w:p w:rsidR="00034039" w:rsidRDefault="00034039">
      <w:pPr>
        <w:pStyle w:val="Index2"/>
        <w:tabs>
          <w:tab w:val="right" w:leader="dot" w:pos="4143"/>
        </w:tabs>
        <w:rPr>
          <w:noProof/>
        </w:rPr>
      </w:pPr>
      <w:r>
        <w:rPr>
          <w:noProof/>
        </w:rPr>
        <w:t>policy, 19</w:t>
      </w:r>
    </w:p>
    <w:p w:rsidR="00034039" w:rsidRDefault="00034039">
      <w:pPr>
        <w:pStyle w:val="Index2"/>
        <w:tabs>
          <w:tab w:val="right" w:leader="dot" w:pos="4143"/>
        </w:tabs>
        <w:rPr>
          <w:noProof/>
        </w:rPr>
      </w:pPr>
      <w:r>
        <w:rPr>
          <w:noProof/>
        </w:rPr>
        <w:t>political, 19</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Schumpeter</w:t>
      </w:r>
      <w:r>
        <w:rPr>
          <w:noProof/>
        </w:rPr>
        <w:t>, 91</w:t>
      </w:r>
    </w:p>
    <w:p w:rsidR="00034039" w:rsidRDefault="00034039">
      <w:pPr>
        <w:pStyle w:val="Index1"/>
        <w:tabs>
          <w:tab w:val="right" w:leader="dot" w:pos="4143"/>
        </w:tabs>
        <w:rPr>
          <w:noProof/>
        </w:rPr>
      </w:pPr>
      <w:r w:rsidRPr="00466536">
        <w:rPr>
          <w:rFonts w:ascii="Times New Roman" w:hAnsi="Times New Roman" w:cs="Times New Roman"/>
          <w:noProof/>
        </w:rPr>
        <w:t>SCIE</w:t>
      </w:r>
      <w:r>
        <w:rPr>
          <w:noProof/>
        </w:rPr>
        <w:t>, 84, 86</w:t>
      </w:r>
    </w:p>
    <w:p w:rsidR="00034039" w:rsidRDefault="00034039">
      <w:pPr>
        <w:pStyle w:val="Index1"/>
        <w:tabs>
          <w:tab w:val="right" w:leader="dot" w:pos="4143"/>
        </w:tabs>
        <w:rPr>
          <w:noProof/>
        </w:rPr>
      </w:pPr>
      <w:r w:rsidRPr="00466536">
        <w:rPr>
          <w:rFonts w:ascii="Times New Roman" w:hAnsi="Times New Roman" w:cs="Times New Roman"/>
          <w:noProof/>
        </w:rPr>
        <w:t>service sector</w:t>
      </w:r>
      <w:r>
        <w:rPr>
          <w:noProof/>
        </w:rPr>
        <w:t>, 98</w:t>
      </w:r>
    </w:p>
    <w:p w:rsidR="00034039" w:rsidRDefault="00034039">
      <w:pPr>
        <w:pStyle w:val="Index1"/>
        <w:tabs>
          <w:tab w:val="right" w:leader="dot" w:pos="4143"/>
        </w:tabs>
        <w:rPr>
          <w:noProof/>
        </w:rPr>
      </w:pPr>
      <w:r>
        <w:rPr>
          <w:noProof/>
        </w:rPr>
        <w:t>short-term crisis, 11, 24, 28, 50, 57, 91, 92, 93, 103</w:t>
      </w:r>
    </w:p>
    <w:p w:rsidR="00034039" w:rsidRDefault="00034039">
      <w:pPr>
        <w:pStyle w:val="Index1"/>
        <w:tabs>
          <w:tab w:val="right" w:leader="dot" w:pos="4143"/>
        </w:tabs>
        <w:rPr>
          <w:noProof/>
        </w:rPr>
      </w:pPr>
      <w:r w:rsidRPr="00466536">
        <w:rPr>
          <w:rFonts w:ascii="Times New Roman" w:hAnsi="Times New Roman" w:cs="Times New Roman"/>
          <w:noProof/>
        </w:rPr>
        <w:t>Skidelsky</w:t>
      </w:r>
      <w:r>
        <w:rPr>
          <w:noProof/>
        </w:rPr>
        <w:t>, 14, 41</w:t>
      </w:r>
    </w:p>
    <w:p w:rsidR="00034039" w:rsidRDefault="00034039">
      <w:pPr>
        <w:pStyle w:val="Index1"/>
        <w:tabs>
          <w:tab w:val="right" w:leader="dot" w:pos="4143"/>
        </w:tabs>
        <w:rPr>
          <w:noProof/>
        </w:rPr>
      </w:pPr>
      <w:r w:rsidRPr="00466536">
        <w:rPr>
          <w:rFonts w:ascii="Times New Roman" w:hAnsi="Times New Roman" w:cs="Times New Roman"/>
          <w:noProof/>
        </w:rPr>
        <w:t>social care</w:t>
      </w:r>
      <w:r>
        <w:rPr>
          <w:noProof/>
        </w:rPr>
        <w:t>, vi, 11, 17, 22, 23, 25, 28, 39, 59, 64, 74, 82, 92, 99, 102</w:t>
      </w:r>
    </w:p>
    <w:p w:rsidR="00034039" w:rsidRDefault="00034039">
      <w:pPr>
        <w:pStyle w:val="Index1"/>
        <w:tabs>
          <w:tab w:val="right" w:leader="dot" w:pos="4143"/>
        </w:tabs>
        <w:rPr>
          <w:noProof/>
        </w:rPr>
      </w:pPr>
      <w:r>
        <w:rPr>
          <w:noProof/>
        </w:rPr>
        <w:t>social class, 38, 42, 50, 63, 75, 80, 93, 98, 104</w:t>
      </w:r>
    </w:p>
    <w:p w:rsidR="00034039" w:rsidRDefault="00034039">
      <w:pPr>
        <w:pStyle w:val="Index1"/>
        <w:tabs>
          <w:tab w:val="right" w:leader="dot" w:pos="4143"/>
        </w:tabs>
        <w:rPr>
          <w:noProof/>
        </w:rPr>
      </w:pPr>
      <w:r w:rsidRPr="00466536">
        <w:rPr>
          <w:rFonts w:ascii="Times New Roman" w:hAnsi="Times New Roman" w:cs="Times New Roman"/>
          <w:noProof/>
        </w:rPr>
        <w:t>social insurance</w:t>
      </w:r>
      <w:r>
        <w:rPr>
          <w:noProof/>
        </w:rPr>
        <w:t>, 11, 35</w:t>
      </w:r>
    </w:p>
    <w:p w:rsidR="00034039" w:rsidRDefault="00034039">
      <w:pPr>
        <w:pStyle w:val="Index1"/>
        <w:tabs>
          <w:tab w:val="right" w:leader="dot" w:pos="4143"/>
        </w:tabs>
        <w:rPr>
          <w:noProof/>
        </w:rPr>
      </w:pPr>
      <w:r>
        <w:rPr>
          <w:noProof/>
        </w:rPr>
        <w:t>social investment, 97, 98</w:t>
      </w:r>
    </w:p>
    <w:p w:rsidR="00034039" w:rsidRDefault="00034039">
      <w:pPr>
        <w:pStyle w:val="Index2"/>
        <w:tabs>
          <w:tab w:val="right" w:leader="dot" w:pos="4143"/>
        </w:tabs>
        <w:rPr>
          <w:noProof/>
        </w:rPr>
      </w:pPr>
      <w:r>
        <w:rPr>
          <w:noProof/>
        </w:rPr>
        <w:t>health care and education, 79</w:t>
      </w:r>
    </w:p>
    <w:p w:rsidR="00034039" w:rsidRDefault="00034039">
      <w:pPr>
        <w:pStyle w:val="Index1"/>
        <w:tabs>
          <w:tab w:val="right" w:leader="dot" w:pos="4143"/>
        </w:tabs>
        <w:rPr>
          <w:noProof/>
        </w:rPr>
      </w:pPr>
      <w:r w:rsidRPr="00466536">
        <w:rPr>
          <w:rFonts w:ascii="Times New Roman" w:hAnsi="Times New Roman" w:cs="Times New Roman"/>
          <w:noProof/>
        </w:rPr>
        <w:t>Southern Cross</w:t>
      </w:r>
      <w:r>
        <w:rPr>
          <w:noProof/>
        </w:rPr>
        <w:t>, 86</w:t>
      </w:r>
    </w:p>
    <w:p w:rsidR="00034039" w:rsidRDefault="00034039">
      <w:pPr>
        <w:pStyle w:val="Index1"/>
        <w:tabs>
          <w:tab w:val="right" w:leader="dot" w:pos="4143"/>
        </w:tabs>
        <w:rPr>
          <w:noProof/>
        </w:rPr>
      </w:pPr>
      <w:r w:rsidRPr="00466536">
        <w:rPr>
          <w:rFonts w:ascii="Times New Roman" w:hAnsi="Times New Roman" w:cs="Times New Roman"/>
          <w:noProof/>
        </w:rPr>
        <w:t>Spending Review 2007</w:t>
      </w:r>
      <w:r>
        <w:rPr>
          <w:noProof/>
        </w:rPr>
        <w:t>, 43</w:t>
      </w:r>
    </w:p>
    <w:p w:rsidR="00034039" w:rsidRDefault="00034039">
      <w:pPr>
        <w:pStyle w:val="Index1"/>
        <w:tabs>
          <w:tab w:val="right" w:leader="dot" w:pos="4143"/>
        </w:tabs>
        <w:rPr>
          <w:noProof/>
        </w:rPr>
      </w:pPr>
      <w:r w:rsidRPr="00466536">
        <w:rPr>
          <w:rFonts w:ascii="Times New Roman" w:hAnsi="Times New Roman" w:cs="Times New Roman"/>
          <w:noProof/>
        </w:rPr>
        <w:t>standards</w:t>
      </w:r>
      <w:r>
        <w:rPr>
          <w:noProof/>
        </w:rPr>
        <w:t>, 27</w:t>
      </w:r>
    </w:p>
    <w:p w:rsidR="00034039" w:rsidRDefault="00034039">
      <w:pPr>
        <w:pStyle w:val="Index1"/>
        <w:tabs>
          <w:tab w:val="right" w:leader="dot" w:pos="4143"/>
        </w:tabs>
        <w:rPr>
          <w:noProof/>
        </w:rPr>
      </w:pPr>
      <w:r w:rsidRPr="00466536">
        <w:rPr>
          <w:rFonts w:ascii="Times New Roman" w:hAnsi="Times New Roman" w:cs="Times New Roman"/>
          <w:noProof/>
        </w:rPr>
        <w:t>stigma</w:t>
      </w:r>
      <w:r>
        <w:rPr>
          <w:noProof/>
        </w:rPr>
        <w:t>, 23, 37, 44, 52, 91, 105</w:t>
      </w:r>
    </w:p>
    <w:p w:rsidR="00034039" w:rsidRDefault="00034039">
      <w:pPr>
        <w:pStyle w:val="Index2"/>
        <w:tabs>
          <w:tab w:val="right" w:leader="dot" w:pos="4143"/>
        </w:tabs>
        <w:rPr>
          <w:noProof/>
        </w:rPr>
      </w:pPr>
      <w:r>
        <w:rPr>
          <w:noProof/>
        </w:rPr>
        <w:t>identity, 54</w:t>
      </w:r>
    </w:p>
    <w:p w:rsidR="00034039" w:rsidRDefault="00034039">
      <w:pPr>
        <w:pStyle w:val="Index2"/>
        <w:tabs>
          <w:tab w:val="right" w:leader="dot" w:pos="4143"/>
        </w:tabs>
        <w:rPr>
          <w:noProof/>
        </w:rPr>
      </w:pPr>
      <w:r>
        <w:rPr>
          <w:noProof/>
        </w:rPr>
        <w:lastRenderedPageBreak/>
        <w:t>need, 53</w:t>
      </w:r>
    </w:p>
    <w:p w:rsidR="00034039" w:rsidRDefault="00034039">
      <w:pPr>
        <w:pStyle w:val="Index2"/>
        <w:tabs>
          <w:tab w:val="right" w:leader="dot" w:pos="4143"/>
        </w:tabs>
        <w:rPr>
          <w:noProof/>
        </w:rPr>
      </w:pPr>
      <w:r>
        <w:rPr>
          <w:noProof/>
        </w:rPr>
        <w:t>paid work, 54</w:t>
      </w:r>
    </w:p>
    <w:p w:rsidR="00034039" w:rsidRDefault="00034039">
      <w:pPr>
        <w:pStyle w:val="Index2"/>
        <w:tabs>
          <w:tab w:val="right" w:leader="dot" w:pos="4143"/>
        </w:tabs>
        <w:rPr>
          <w:noProof/>
        </w:rPr>
      </w:pPr>
      <w:r>
        <w:rPr>
          <w:noProof/>
        </w:rPr>
        <w:t>reciprocity, 54, 58</w:t>
      </w:r>
    </w:p>
    <w:p w:rsidR="00034039" w:rsidRDefault="00034039">
      <w:pPr>
        <w:pStyle w:val="Index2"/>
        <w:tabs>
          <w:tab w:val="right" w:leader="dot" w:pos="4143"/>
        </w:tabs>
        <w:rPr>
          <w:noProof/>
        </w:rPr>
      </w:pPr>
      <w:r>
        <w:rPr>
          <w:noProof/>
        </w:rPr>
        <w:t>responsibility, 53</w:t>
      </w:r>
    </w:p>
    <w:p w:rsidR="00034039" w:rsidRDefault="00034039">
      <w:pPr>
        <w:pStyle w:val="Index1"/>
        <w:tabs>
          <w:tab w:val="right" w:leader="dot" w:pos="4143"/>
        </w:tabs>
        <w:rPr>
          <w:noProof/>
        </w:rPr>
      </w:pPr>
      <w:r w:rsidRPr="00466536">
        <w:rPr>
          <w:rFonts w:ascii="Times New Roman" w:hAnsi="Times New Roman" w:cs="Times New Roman"/>
          <w:noProof/>
        </w:rPr>
        <w:t>Stoker</w:t>
      </w:r>
      <w:r>
        <w:rPr>
          <w:noProof/>
        </w:rPr>
        <w:t>, 20</w:t>
      </w:r>
    </w:p>
    <w:p w:rsidR="00034039" w:rsidRDefault="00034039">
      <w:pPr>
        <w:pStyle w:val="Index1"/>
        <w:tabs>
          <w:tab w:val="right" w:leader="dot" w:pos="4143"/>
        </w:tabs>
        <w:rPr>
          <w:noProof/>
        </w:rPr>
      </w:pPr>
      <w:r w:rsidRPr="00466536">
        <w:rPr>
          <w:rFonts w:ascii="Times New Roman" w:hAnsi="Times New Roman" w:cs="Times New Roman"/>
          <w:noProof/>
        </w:rPr>
        <w:t>Sure Start</w:t>
      </w:r>
      <w:r>
        <w:rPr>
          <w:noProof/>
        </w:rPr>
        <w:t>, 23</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targets</w:t>
      </w:r>
      <w:r>
        <w:rPr>
          <w:noProof/>
        </w:rPr>
        <w:t>, 20, 26, 96</w:t>
      </w:r>
    </w:p>
    <w:p w:rsidR="00034039" w:rsidRDefault="00034039">
      <w:pPr>
        <w:pStyle w:val="Index1"/>
        <w:tabs>
          <w:tab w:val="right" w:leader="dot" w:pos="4143"/>
        </w:tabs>
        <w:rPr>
          <w:noProof/>
        </w:rPr>
      </w:pPr>
      <w:r w:rsidRPr="00466536">
        <w:rPr>
          <w:rFonts w:ascii="Times New Roman" w:hAnsi="Times New Roman" w:cs="Times New Roman"/>
          <w:noProof/>
        </w:rPr>
        <w:t>tax</w:t>
      </w:r>
      <w:r>
        <w:rPr>
          <w:noProof/>
        </w:rPr>
        <w:t>, 11, 17, 97</w:t>
      </w:r>
    </w:p>
    <w:p w:rsidR="00034039" w:rsidRDefault="00034039">
      <w:pPr>
        <w:pStyle w:val="Index2"/>
        <w:tabs>
          <w:tab w:val="right" w:leader="dot" w:pos="4143"/>
        </w:tabs>
        <w:rPr>
          <w:noProof/>
        </w:rPr>
      </w:pPr>
      <w:r>
        <w:rPr>
          <w:noProof/>
        </w:rPr>
        <w:t>attitudes, 55</w:t>
      </w:r>
    </w:p>
    <w:p w:rsidR="00034039" w:rsidRDefault="00034039">
      <w:pPr>
        <w:pStyle w:val="Index2"/>
        <w:tabs>
          <w:tab w:val="right" w:leader="dot" w:pos="4143"/>
        </w:tabs>
        <w:rPr>
          <w:noProof/>
        </w:rPr>
      </w:pPr>
      <w:r>
        <w:rPr>
          <w:noProof/>
        </w:rPr>
        <w:t>avoidance, 97</w:t>
      </w:r>
    </w:p>
    <w:p w:rsidR="00034039" w:rsidRDefault="00034039">
      <w:pPr>
        <w:pStyle w:val="Index2"/>
        <w:tabs>
          <w:tab w:val="right" w:leader="dot" w:pos="4143"/>
        </w:tabs>
        <w:rPr>
          <w:noProof/>
        </w:rPr>
      </w:pPr>
      <w:r>
        <w:rPr>
          <w:noProof/>
        </w:rPr>
        <w:t>tax subsidies, 81</w:t>
      </w:r>
    </w:p>
    <w:p w:rsidR="00034039" w:rsidRDefault="00034039">
      <w:pPr>
        <w:pStyle w:val="Index1"/>
        <w:tabs>
          <w:tab w:val="right" w:leader="dot" w:pos="4143"/>
        </w:tabs>
        <w:rPr>
          <w:noProof/>
        </w:rPr>
      </w:pPr>
      <w:r w:rsidRPr="00466536">
        <w:rPr>
          <w:rFonts w:ascii="Times New Roman" w:hAnsi="Times New Roman" w:cs="Times New Roman"/>
          <w:noProof/>
        </w:rPr>
        <w:t>tax credit</w:t>
      </w:r>
      <w:r>
        <w:rPr>
          <w:noProof/>
        </w:rPr>
        <w:t>, 18, 23, 33, 53, 61, 64, 80, 95, 99, 102</w:t>
      </w:r>
    </w:p>
    <w:p w:rsidR="00034039" w:rsidRDefault="00034039">
      <w:pPr>
        <w:pStyle w:val="Index1"/>
        <w:tabs>
          <w:tab w:val="right" w:leader="dot" w:pos="4143"/>
        </w:tabs>
        <w:rPr>
          <w:noProof/>
        </w:rPr>
      </w:pPr>
      <w:r w:rsidRPr="00466536">
        <w:rPr>
          <w:rFonts w:ascii="Times New Roman" w:hAnsi="Times New Roman" w:cs="Times New Roman"/>
          <w:noProof/>
        </w:rPr>
        <w:t>Taylor-Gooby</w:t>
      </w:r>
      <w:r>
        <w:rPr>
          <w:noProof/>
        </w:rPr>
        <w:t>, 20, 37, 54, 98, 102</w:t>
      </w:r>
    </w:p>
    <w:p w:rsidR="00034039" w:rsidRDefault="00034039">
      <w:pPr>
        <w:pStyle w:val="Index1"/>
        <w:tabs>
          <w:tab w:val="right" w:leader="dot" w:pos="4143"/>
        </w:tabs>
        <w:rPr>
          <w:noProof/>
        </w:rPr>
      </w:pPr>
      <w:r>
        <w:rPr>
          <w:noProof/>
        </w:rPr>
        <w:t>t</w:t>
      </w:r>
      <w:r w:rsidRPr="00466536">
        <w:rPr>
          <w:rFonts w:ascii="Times New Roman" w:hAnsi="Times New Roman" w:cs="Times New Roman"/>
          <w:noProof/>
        </w:rPr>
        <w:t>hird sector</w:t>
      </w:r>
      <w:r>
        <w:rPr>
          <w:noProof/>
        </w:rPr>
        <w:t>, 22, 82</w:t>
      </w:r>
    </w:p>
    <w:p w:rsidR="00034039" w:rsidRDefault="00034039">
      <w:pPr>
        <w:pStyle w:val="Index1"/>
        <w:tabs>
          <w:tab w:val="right" w:leader="dot" w:pos="4143"/>
        </w:tabs>
        <w:rPr>
          <w:noProof/>
        </w:rPr>
      </w:pPr>
      <w:r w:rsidRPr="00466536">
        <w:rPr>
          <w:rFonts w:ascii="Times New Roman" w:hAnsi="Times New Roman" w:cs="Times New Roman"/>
          <w:noProof/>
        </w:rPr>
        <w:t>Third Way</w:t>
      </w:r>
      <w:r>
        <w:rPr>
          <w:noProof/>
        </w:rPr>
        <w:t>, 50, 63</w:t>
      </w:r>
    </w:p>
    <w:p w:rsidR="00034039" w:rsidRDefault="00034039">
      <w:pPr>
        <w:pStyle w:val="Index1"/>
        <w:tabs>
          <w:tab w:val="right" w:leader="dot" w:pos="4143"/>
        </w:tabs>
        <w:rPr>
          <w:noProof/>
        </w:rPr>
      </w:pPr>
      <w:r w:rsidRPr="00466536">
        <w:rPr>
          <w:rFonts w:ascii="Times New Roman" w:hAnsi="Times New Roman" w:cs="Times New Roman"/>
          <w:noProof/>
        </w:rPr>
        <w:t>Titmuss</w:t>
      </w:r>
      <w:r>
        <w:rPr>
          <w:noProof/>
        </w:rPr>
        <w:t>, 59, 75</w:t>
      </w:r>
    </w:p>
    <w:p w:rsidR="00034039" w:rsidRDefault="00034039">
      <w:pPr>
        <w:pStyle w:val="Index1"/>
        <w:tabs>
          <w:tab w:val="right" w:leader="dot" w:pos="4143"/>
        </w:tabs>
        <w:rPr>
          <w:noProof/>
        </w:rPr>
      </w:pPr>
      <w:r w:rsidRPr="00466536">
        <w:rPr>
          <w:rFonts w:ascii="Times New Roman" w:hAnsi="Times New Roman" w:cs="Times New Roman"/>
          <w:noProof/>
        </w:rPr>
        <w:t>Townsend</w:t>
      </w:r>
      <w:r>
        <w:rPr>
          <w:noProof/>
        </w:rPr>
        <w:t>, 75</w:t>
      </w:r>
    </w:p>
    <w:p w:rsidR="00034039" w:rsidRDefault="00034039">
      <w:pPr>
        <w:pStyle w:val="Index1"/>
        <w:tabs>
          <w:tab w:val="right" w:leader="dot" w:pos="4143"/>
        </w:tabs>
        <w:rPr>
          <w:noProof/>
        </w:rPr>
      </w:pPr>
      <w:r w:rsidRPr="00466536">
        <w:rPr>
          <w:rFonts w:ascii="Times New Roman" w:hAnsi="Times New Roman" w:cs="Times New Roman"/>
          <w:noProof/>
        </w:rPr>
        <w:t>trade union</w:t>
      </w:r>
      <w:r>
        <w:rPr>
          <w:noProof/>
        </w:rPr>
        <w:t>, 34, 43, 44, 66, 94, 99</w:t>
      </w:r>
    </w:p>
    <w:p w:rsidR="00034039" w:rsidRDefault="00034039">
      <w:pPr>
        <w:pStyle w:val="Index1"/>
        <w:tabs>
          <w:tab w:val="right" w:leader="dot" w:pos="4143"/>
        </w:tabs>
        <w:rPr>
          <w:noProof/>
        </w:rPr>
      </w:pPr>
      <w:r w:rsidRPr="00466536">
        <w:rPr>
          <w:rFonts w:ascii="Times New Roman" w:hAnsi="Times New Roman" w:cs="Times New Roman"/>
          <w:noProof/>
        </w:rPr>
        <w:t>Treasury</w:t>
      </w:r>
      <w:r>
        <w:rPr>
          <w:noProof/>
        </w:rPr>
        <w:t>, 13, 50, 67, 72</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unemployment</w:t>
      </w:r>
      <w:r>
        <w:rPr>
          <w:noProof/>
        </w:rPr>
        <w:t>, 25, 36, 37, 53, 60, 72, 91</w:t>
      </w:r>
    </w:p>
    <w:p w:rsidR="00034039" w:rsidRDefault="00034039">
      <w:pPr>
        <w:pStyle w:val="Index1"/>
        <w:tabs>
          <w:tab w:val="right" w:leader="dot" w:pos="4143"/>
        </w:tabs>
        <w:rPr>
          <w:noProof/>
        </w:rPr>
      </w:pPr>
      <w:r w:rsidRPr="00466536">
        <w:rPr>
          <w:rFonts w:ascii="Times New Roman" w:hAnsi="Times New Roman" w:cs="Times New Roman"/>
          <w:noProof/>
        </w:rPr>
        <w:t>Universal Credit</w:t>
      </w:r>
      <w:r>
        <w:rPr>
          <w:noProof/>
        </w:rPr>
        <w:t>, 15, 18, 23, 39, 54, 58</w:t>
      </w:r>
    </w:p>
    <w:p w:rsidR="00034039" w:rsidRDefault="00034039">
      <w:pPr>
        <w:pStyle w:val="Index1"/>
        <w:tabs>
          <w:tab w:val="right" w:leader="dot" w:pos="4143"/>
        </w:tabs>
        <w:rPr>
          <w:noProof/>
        </w:rPr>
      </w:pPr>
      <w:r>
        <w:rPr>
          <w:noProof/>
        </w:rPr>
        <w:t>universalism, 74, 96</w:t>
      </w:r>
    </w:p>
    <w:p w:rsidR="00034039" w:rsidRDefault="00034039">
      <w:pPr>
        <w:pStyle w:val="Index1"/>
        <w:tabs>
          <w:tab w:val="right" w:leader="dot" w:pos="4143"/>
        </w:tabs>
        <w:rPr>
          <w:noProof/>
        </w:rPr>
      </w:pPr>
      <w:r w:rsidRPr="00466536">
        <w:rPr>
          <w:rFonts w:ascii="Times New Roman" w:hAnsi="Times New Roman" w:cs="Times New Roman"/>
          <w:noProof/>
        </w:rPr>
        <w:t>US</w:t>
      </w:r>
      <w:r>
        <w:rPr>
          <w:noProof/>
        </w:rPr>
        <w:t>, viii, 12, 20, 33, 34, 40, 41, 45, 96, 98</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van Oorschot</w:t>
      </w:r>
      <w:r>
        <w:rPr>
          <w:noProof/>
        </w:rPr>
        <w:t>, 53, 54</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wage pressure</w:t>
      </w:r>
      <w:r>
        <w:rPr>
          <w:noProof/>
        </w:rPr>
        <w:t>, vi, 24, 29, 85, 92, 105</w:t>
      </w:r>
    </w:p>
    <w:p w:rsidR="00034039" w:rsidRDefault="00034039">
      <w:pPr>
        <w:pStyle w:val="Index1"/>
        <w:tabs>
          <w:tab w:val="right" w:leader="dot" w:pos="4143"/>
        </w:tabs>
        <w:rPr>
          <w:noProof/>
        </w:rPr>
      </w:pPr>
      <w:r w:rsidRPr="00466536">
        <w:rPr>
          <w:rFonts w:ascii="Times New Roman" w:hAnsi="Times New Roman" w:cs="Times New Roman"/>
          <w:noProof/>
        </w:rPr>
        <w:t>Wanless Review</w:t>
      </w:r>
      <w:r>
        <w:rPr>
          <w:noProof/>
        </w:rPr>
        <w:t>, 72</w:t>
      </w:r>
    </w:p>
    <w:p w:rsidR="00034039" w:rsidRDefault="00034039">
      <w:pPr>
        <w:pStyle w:val="Index1"/>
        <w:tabs>
          <w:tab w:val="right" w:leader="dot" w:pos="4143"/>
        </w:tabs>
        <w:rPr>
          <w:noProof/>
        </w:rPr>
      </w:pPr>
      <w:r w:rsidRPr="00466536">
        <w:rPr>
          <w:rFonts w:ascii="Times New Roman" w:hAnsi="Times New Roman" w:cs="Times New Roman"/>
          <w:noProof/>
        </w:rPr>
        <w:t>WBG</w:t>
      </w:r>
      <w:r>
        <w:rPr>
          <w:noProof/>
        </w:rPr>
        <w:t>, 15, 18, 64</w:t>
      </w:r>
    </w:p>
    <w:p w:rsidR="00034039" w:rsidRDefault="00034039">
      <w:pPr>
        <w:pStyle w:val="Index1"/>
        <w:tabs>
          <w:tab w:val="right" w:leader="dot" w:pos="4143"/>
        </w:tabs>
        <w:rPr>
          <w:noProof/>
        </w:rPr>
      </w:pPr>
      <w:r>
        <w:rPr>
          <w:noProof/>
        </w:rPr>
        <w:t>welfare reform, 50, 93</w:t>
      </w:r>
    </w:p>
    <w:p w:rsidR="00034039" w:rsidRDefault="00034039">
      <w:pPr>
        <w:pStyle w:val="Index2"/>
        <w:tabs>
          <w:tab w:val="right" w:leader="dot" w:pos="4143"/>
        </w:tabs>
        <w:rPr>
          <w:noProof/>
        </w:rPr>
      </w:pPr>
      <w:r>
        <w:rPr>
          <w:noProof/>
        </w:rPr>
        <w:t>area-based, 95</w:t>
      </w:r>
    </w:p>
    <w:p w:rsidR="00034039" w:rsidRDefault="00034039">
      <w:pPr>
        <w:pStyle w:val="Index2"/>
        <w:tabs>
          <w:tab w:val="right" w:leader="dot" w:pos="4143"/>
        </w:tabs>
        <w:rPr>
          <w:noProof/>
        </w:rPr>
      </w:pPr>
      <w:r>
        <w:rPr>
          <w:noProof/>
        </w:rPr>
        <w:t>child poverty, 61</w:t>
      </w:r>
    </w:p>
    <w:p w:rsidR="00034039" w:rsidRDefault="00034039">
      <w:pPr>
        <w:pStyle w:val="Index2"/>
        <w:tabs>
          <w:tab w:val="right" w:leader="dot" w:pos="4143"/>
        </w:tabs>
        <w:rPr>
          <w:noProof/>
        </w:rPr>
      </w:pPr>
      <w:r>
        <w:rPr>
          <w:noProof/>
        </w:rPr>
        <w:t>childcare, 64</w:t>
      </w:r>
    </w:p>
    <w:p w:rsidR="00034039" w:rsidRDefault="00034039">
      <w:pPr>
        <w:pStyle w:val="Index2"/>
        <w:tabs>
          <w:tab w:val="right" w:leader="dot" w:pos="4143"/>
        </w:tabs>
        <w:rPr>
          <w:noProof/>
        </w:rPr>
      </w:pPr>
      <w:r>
        <w:rPr>
          <w:noProof/>
        </w:rPr>
        <w:t>contribution, 58, 94, 98</w:t>
      </w:r>
    </w:p>
    <w:p w:rsidR="00034039" w:rsidRDefault="00034039">
      <w:pPr>
        <w:pStyle w:val="Index2"/>
        <w:tabs>
          <w:tab w:val="right" w:leader="dot" w:pos="4143"/>
        </w:tabs>
        <w:rPr>
          <w:noProof/>
        </w:rPr>
      </w:pPr>
      <w:r>
        <w:rPr>
          <w:noProof/>
        </w:rPr>
        <w:t>education, 64</w:t>
      </w:r>
    </w:p>
    <w:p w:rsidR="00034039" w:rsidRDefault="00034039">
      <w:pPr>
        <w:pStyle w:val="Index2"/>
        <w:tabs>
          <w:tab w:val="right" w:leader="dot" w:pos="4143"/>
        </w:tabs>
        <w:rPr>
          <w:noProof/>
        </w:rPr>
      </w:pPr>
      <w:r>
        <w:rPr>
          <w:noProof/>
        </w:rPr>
        <w:t>elder care, 64</w:t>
      </w:r>
    </w:p>
    <w:p w:rsidR="00034039" w:rsidRDefault="00034039">
      <w:pPr>
        <w:pStyle w:val="Index2"/>
        <w:tabs>
          <w:tab w:val="right" w:leader="dot" w:pos="4143"/>
        </w:tabs>
        <w:rPr>
          <w:noProof/>
        </w:rPr>
      </w:pPr>
      <w:r>
        <w:rPr>
          <w:noProof/>
        </w:rPr>
        <w:t>living wage, 67, 105</w:t>
      </w:r>
    </w:p>
    <w:p w:rsidR="00034039" w:rsidRDefault="00034039">
      <w:pPr>
        <w:pStyle w:val="Index2"/>
        <w:tabs>
          <w:tab w:val="right" w:leader="dot" w:pos="4143"/>
        </w:tabs>
        <w:rPr>
          <w:noProof/>
        </w:rPr>
      </w:pPr>
      <w:r>
        <w:rPr>
          <w:noProof/>
        </w:rPr>
        <w:t>national insurance, 60</w:t>
      </w:r>
    </w:p>
    <w:p w:rsidR="00034039" w:rsidRDefault="00034039">
      <w:pPr>
        <w:pStyle w:val="Index2"/>
        <w:tabs>
          <w:tab w:val="right" w:leader="dot" w:pos="4143"/>
        </w:tabs>
        <w:rPr>
          <w:noProof/>
        </w:rPr>
      </w:pPr>
      <w:r>
        <w:rPr>
          <w:noProof/>
        </w:rPr>
        <w:t>national salary insurance, 60</w:t>
      </w:r>
    </w:p>
    <w:p w:rsidR="00034039" w:rsidRDefault="00034039">
      <w:pPr>
        <w:pStyle w:val="Index2"/>
        <w:tabs>
          <w:tab w:val="right" w:leader="dot" w:pos="4143"/>
        </w:tabs>
        <w:rPr>
          <w:noProof/>
        </w:rPr>
      </w:pPr>
      <w:r>
        <w:rPr>
          <w:noProof/>
        </w:rPr>
        <w:t>politics, 97</w:t>
      </w:r>
    </w:p>
    <w:p w:rsidR="00034039" w:rsidRDefault="00034039">
      <w:pPr>
        <w:pStyle w:val="Index2"/>
        <w:tabs>
          <w:tab w:val="right" w:leader="dot" w:pos="4143"/>
        </w:tabs>
        <w:rPr>
          <w:noProof/>
        </w:rPr>
      </w:pPr>
      <w:r>
        <w:rPr>
          <w:noProof/>
        </w:rPr>
        <w:t>pre-distribution, 66, 97</w:t>
      </w:r>
    </w:p>
    <w:p w:rsidR="00034039" w:rsidRDefault="00034039">
      <w:pPr>
        <w:pStyle w:val="Index2"/>
        <w:tabs>
          <w:tab w:val="right" w:leader="dot" w:pos="4143"/>
        </w:tabs>
        <w:rPr>
          <w:noProof/>
        </w:rPr>
      </w:pPr>
      <w:r>
        <w:rPr>
          <w:noProof/>
        </w:rPr>
        <w:t>prevention, 65</w:t>
      </w:r>
    </w:p>
    <w:p w:rsidR="00034039" w:rsidRDefault="00034039">
      <w:pPr>
        <w:pStyle w:val="Index2"/>
        <w:tabs>
          <w:tab w:val="right" w:leader="dot" w:pos="4143"/>
        </w:tabs>
        <w:rPr>
          <w:noProof/>
        </w:rPr>
      </w:pPr>
      <w:r>
        <w:rPr>
          <w:noProof/>
        </w:rPr>
        <w:t>social investment, 62, 94</w:t>
      </w:r>
    </w:p>
    <w:p w:rsidR="00034039" w:rsidRDefault="00034039">
      <w:pPr>
        <w:pStyle w:val="Index2"/>
        <w:tabs>
          <w:tab w:val="right" w:leader="dot" w:pos="4143"/>
        </w:tabs>
        <w:rPr>
          <w:noProof/>
        </w:rPr>
      </w:pPr>
      <w:r>
        <w:rPr>
          <w:noProof/>
        </w:rPr>
        <w:t>targeted measures, 63, 79, 82, 89, 95</w:t>
      </w:r>
    </w:p>
    <w:p w:rsidR="00034039" w:rsidRDefault="00034039">
      <w:pPr>
        <w:pStyle w:val="Index2"/>
        <w:tabs>
          <w:tab w:val="right" w:leader="dot" w:pos="4143"/>
        </w:tabs>
        <w:rPr>
          <w:noProof/>
        </w:rPr>
      </w:pPr>
      <w:r>
        <w:rPr>
          <w:noProof/>
        </w:rPr>
        <w:t>targeting, vii</w:t>
      </w:r>
    </w:p>
    <w:p w:rsidR="00034039" w:rsidRDefault="00034039">
      <w:pPr>
        <w:pStyle w:val="Index2"/>
        <w:tabs>
          <w:tab w:val="right" w:leader="dot" w:pos="4143"/>
        </w:tabs>
        <w:rPr>
          <w:noProof/>
        </w:rPr>
      </w:pPr>
      <w:r>
        <w:rPr>
          <w:noProof/>
        </w:rPr>
        <w:t>trade union rights, 66</w:t>
      </w:r>
    </w:p>
    <w:p w:rsidR="00034039" w:rsidRDefault="00034039">
      <w:pPr>
        <w:pStyle w:val="Index2"/>
        <w:tabs>
          <w:tab w:val="right" w:leader="dot" w:pos="4143"/>
        </w:tabs>
        <w:rPr>
          <w:noProof/>
        </w:rPr>
      </w:pPr>
      <w:r>
        <w:rPr>
          <w:noProof/>
        </w:rPr>
        <w:t>universalism, 61</w:t>
      </w:r>
    </w:p>
    <w:p w:rsidR="00034039" w:rsidRDefault="00034039">
      <w:pPr>
        <w:pStyle w:val="Index1"/>
        <w:tabs>
          <w:tab w:val="right" w:leader="dot" w:pos="4143"/>
        </w:tabs>
        <w:rPr>
          <w:noProof/>
        </w:rPr>
      </w:pPr>
      <w:r w:rsidRPr="00466536">
        <w:rPr>
          <w:rFonts w:ascii="Times New Roman" w:hAnsi="Times New Roman" w:cs="Times New Roman"/>
          <w:noProof/>
        </w:rPr>
        <w:lastRenderedPageBreak/>
        <w:t>welfare state</w:t>
      </w:r>
    </w:p>
    <w:p w:rsidR="00034039" w:rsidRDefault="00034039">
      <w:pPr>
        <w:pStyle w:val="Index2"/>
        <w:tabs>
          <w:tab w:val="right" w:leader="dot" w:pos="4143"/>
        </w:tabs>
        <w:rPr>
          <w:noProof/>
        </w:rPr>
      </w:pPr>
      <w:r>
        <w:rPr>
          <w:noProof/>
        </w:rPr>
        <w:t>litigation, 28</w:t>
      </w:r>
    </w:p>
    <w:p w:rsidR="00034039" w:rsidRDefault="00034039">
      <w:pPr>
        <w:pStyle w:val="Index2"/>
        <w:tabs>
          <w:tab w:val="right" w:leader="dot" w:pos="4143"/>
        </w:tabs>
        <w:rPr>
          <w:noProof/>
        </w:rPr>
      </w:pPr>
      <w:r>
        <w:rPr>
          <w:noProof/>
        </w:rPr>
        <w:t>work-centred, 23</w:t>
      </w:r>
    </w:p>
    <w:p w:rsidR="00034039" w:rsidRDefault="00034039">
      <w:pPr>
        <w:pStyle w:val="Index1"/>
        <w:tabs>
          <w:tab w:val="right" w:leader="dot" w:pos="4143"/>
        </w:tabs>
        <w:rPr>
          <w:noProof/>
        </w:rPr>
      </w:pPr>
      <w:r w:rsidRPr="00466536">
        <w:rPr>
          <w:rFonts w:ascii="Times New Roman" w:hAnsi="Times New Roman" w:cs="Times New Roman"/>
          <w:noProof/>
        </w:rPr>
        <w:t>welfare state trilemma</w:t>
      </w:r>
      <w:r>
        <w:rPr>
          <w:noProof/>
        </w:rPr>
        <w:t>, vi, 51, 92, 107</w:t>
      </w:r>
    </w:p>
    <w:p w:rsidR="00034039" w:rsidRDefault="00034039">
      <w:pPr>
        <w:pStyle w:val="Index2"/>
        <w:tabs>
          <w:tab w:val="right" w:leader="dot" w:pos="4143"/>
        </w:tabs>
        <w:rPr>
          <w:noProof/>
        </w:rPr>
      </w:pPr>
      <w:r>
        <w:rPr>
          <w:noProof/>
        </w:rPr>
        <w:t>feasibility, 57</w:t>
      </w:r>
    </w:p>
    <w:p w:rsidR="00034039" w:rsidRDefault="00034039">
      <w:pPr>
        <w:pStyle w:val="Index1"/>
        <w:tabs>
          <w:tab w:val="right" w:leader="dot" w:pos="4143"/>
        </w:tabs>
        <w:rPr>
          <w:noProof/>
        </w:rPr>
      </w:pPr>
      <w:r w:rsidRPr="00466536">
        <w:rPr>
          <w:rFonts w:ascii="Times New Roman" w:hAnsi="Times New Roman" w:cs="Times New Roman"/>
          <w:noProof/>
        </w:rPr>
        <w:t>white heat of technology</w:t>
      </w:r>
      <w:r>
        <w:rPr>
          <w:noProof/>
        </w:rPr>
        <w:t>, 41</w:t>
      </w:r>
    </w:p>
    <w:p w:rsidR="00034039" w:rsidRDefault="00034039">
      <w:pPr>
        <w:pStyle w:val="Index1"/>
        <w:tabs>
          <w:tab w:val="right" w:leader="dot" w:pos="4143"/>
        </w:tabs>
        <w:rPr>
          <w:noProof/>
        </w:rPr>
      </w:pPr>
      <w:r w:rsidRPr="00466536">
        <w:rPr>
          <w:rFonts w:ascii="Times New Roman" w:hAnsi="Times New Roman" w:cs="Times New Roman"/>
          <w:noProof/>
        </w:rPr>
        <w:lastRenderedPageBreak/>
        <w:t>women</w:t>
      </w:r>
      <w:r>
        <w:rPr>
          <w:noProof/>
        </w:rPr>
        <w:t>, vi, 15, 22, 27, 35, 58, 74, 78, 81, 93, 101, 104</w:t>
      </w:r>
    </w:p>
    <w:p w:rsidR="00034039" w:rsidRDefault="00034039">
      <w:pPr>
        <w:pStyle w:val="Index2"/>
        <w:tabs>
          <w:tab w:val="right" w:leader="dot" w:pos="4143"/>
        </w:tabs>
        <w:rPr>
          <w:noProof/>
        </w:rPr>
      </w:pPr>
      <w:r>
        <w:rPr>
          <w:noProof/>
        </w:rPr>
        <w:t>paid work, 98</w:t>
      </w:r>
    </w:p>
    <w:p w:rsidR="00034039" w:rsidRDefault="00034039">
      <w:pPr>
        <w:pStyle w:val="Index1"/>
        <w:tabs>
          <w:tab w:val="right" w:leader="dot" w:pos="4143"/>
        </w:tabs>
        <w:rPr>
          <w:noProof/>
        </w:rPr>
      </w:pPr>
      <w:r w:rsidRPr="00466536">
        <w:rPr>
          <w:rFonts w:ascii="Times New Roman" w:hAnsi="Times New Roman" w:cs="Times New Roman"/>
          <w:noProof/>
        </w:rPr>
        <w:t>Work Programme</w:t>
      </w:r>
      <w:r>
        <w:rPr>
          <w:noProof/>
        </w:rPr>
        <w:t>, 102</w:t>
      </w:r>
    </w:p>
    <w:p w:rsidR="00034039" w:rsidRDefault="00034039">
      <w:pPr>
        <w:pStyle w:val="Index1"/>
        <w:tabs>
          <w:tab w:val="right" w:leader="dot" w:pos="4143"/>
        </w:tabs>
        <w:rPr>
          <w:noProof/>
        </w:rPr>
      </w:pPr>
      <w:r w:rsidRPr="00466536">
        <w:rPr>
          <w:rFonts w:ascii="Times New Roman" w:hAnsi="Times New Roman" w:cs="Times New Roman"/>
          <w:noProof/>
        </w:rPr>
        <w:t>work test</w:t>
      </w:r>
      <w:r>
        <w:rPr>
          <w:noProof/>
        </w:rPr>
        <w:t>, 12, 15, 54, 62</w:t>
      </w:r>
    </w:p>
    <w:p w:rsidR="00034039" w:rsidRDefault="00034039">
      <w:pPr>
        <w:pStyle w:val="IndexHeading"/>
        <w:keepNext/>
        <w:tabs>
          <w:tab w:val="right" w:leader="dot" w:pos="4143"/>
        </w:tabs>
        <w:rPr>
          <w:rFonts w:eastAsiaTheme="minorEastAsia"/>
          <w:b/>
          <w:bCs/>
          <w:noProof/>
        </w:rPr>
      </w:pPr>
      <w:r>
        <w:rPr>
          <w:noProof/>
        </w:rPr>
        <w:t xml:space="preserve"> </w:t>
      </w:r>
    </w:p>
    <w:p w:rsidR="00034039" w:rsidRDefault="00034039">
      <w:pPr>
        <w:pStyle w:val="Index1"/>
        <w:tabs>
          <w:tab w:val="right" w:leader="dot" w:pos="4143"/>
        </w:tabs>
        <w:rPr>
          <w:noProof/>
        </w:rPr>
      </w:pPr>
      <w:r w:rsidRPr="00466536">
        <w:rPr>
          <w:rFonts w:ascii="Times New Roman" w:hAnsi="Times New Roman" w:cs="Times New Roman"/>
          <w:noProof/>
        </w:rPr>
        <w:t>YouGov</w:t>
      </w:r>
      <w:r>
        <w:rPr>
          <w:noProof/>
        </w:rPr>
        <w:t>, 38</w:t>
      </w:r>
    </w:p>
    <w:p w:rsidR="00034039" w:rsidRDefault="00034039" w:rsidP="00D34B4A">
      <w:pPr>
        <w:spacing w:line="240" w:lineRule="auto"/>
        <w:jc w:val="both"/>
        <w:rPr>
          <w:rFonts w:ascii="Times New Roman" w:hAnsi="Times New Roman" w:cs="Times New Roman"/>
          <w:noProof/>
          <w:sz w:val="24"/>
          <w:szCs w:val="24"/>
        </w:rPr>
        <w:sectPr w:rsidR="00034039" w:rsidSect="00034039">
          <w:type w:val="continuous"/>
          <w:pgSz w:w="11906" w:h="16838"/>
          <w:pgMar w:top="1440" w:right="1440" w:bottom="1440" w:left="1440" w:header="708" w:footer="708" w:gutter="0"/>
          <w:cols w:num="2" w:space="720"/>
          <w:docGrid w:linePitch="360"/>
        </w:sectPr>
      </w:pPr>
    </w:p>
    <w:p w:rsidR="00D76399" w:rsidRPr="00D76399" w:rsidRDefault="005E0406" w:rsidP="00D34B4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fldChar w:fldCharType="end"/>
      </w:r>
    </w:p>
    <w:p w:rsidR="001F22E4" w:rsidRDefault="001F22E4" w:rsidP="00F34DAD">
      <w:pPr>
        <w:jc w:val="left"/>
        <w:rPr>
          <w:rFonts w:ascii="Times New Roman" w:hAnsi="Times New Roman" w:cs="Times New Roman"/>
          <w:sz w:val="24"/>
          <w:szCs w:val="24"/>
        </w:rPr>
      </w:pPr>
    </w:p>
    <w:sectPr w:rsidR="001F22E4" w:rsidSect="0003403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D27" w:rsidRDefault="009A6D27" w:rsidP="00383AFB">
      <w:pPr>
        <w:spacing w:line="240" w:lineRule="auto"/>
      </w:pPr>
      <w:r>
        <w:separator/>
      </w:r>
    </w:p>
  </w:endnote>
  <w:endnote w:type="continuationSeparator" w:id="0">
    <w:p w:rsidR="009A6D27" w:rsidRDefault="009A6D27" w:rsidP="00383A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 Std Thin">
    <w:altName w:val="HelveticaNeueLT Std Th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703347"/>
      <w:docPartObj>
        <w:docPartGallery w:val="Page Numbers (Bottom of Page)"/>
        <w:docPartUnique/>
      </w:docPartObj>
    </w:sdtPr>
    <w:sdtEndPr/>
    <w:sdtContent>
      <w:p w:rsidR="00367790" w:rsidRDefault="00367790">
        <w:pPr>
          <w:pStyle w:val="Footer"/>
        </w:pPr>
      </w:p>
      <w:p w:rsidR="00367790" w:rsidRDefault="007A33CC">
        <w:pPr>
          <w:pStyle w:val="Footer"/>
        </w:pPr>
      </w:p>
    </w:sdtContent>
  </w:sdt>
  <w:p w:rsidR="00367790" w:rsidRDefault="00367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D27" w:rsidRDefault="009A6D27" w:rsidP="00383AFB">
      <w:pPr>
        <w:spacing w:line="240" w:lineRule="auto"/>
      </w:pPr>
      <w:r>
        <w:separator/>
      </w:r>
    </w:p>
  </w:footnote>
  <w:footnote w:type="continuationSeparator" w:id="0">
    <w:p w:rsidR="009A6D27" w:rsidRDefault="009A6D27" w:rsidP="00383A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2841"/>
      <w:docPartObj>
        <w:docPartGallery w:val="Page Numbers (Top of Page)"/>
        <w:docPartUnique/>
      </w:docPartObj>
    </w:sdtPr>
    <w:sdtEndPr/>
    <w:sdtContent>
      <w:p w:rsidR="00367790" w:rsidRDefault="007C4097">
        <w:pPr>
          <w:pStyle w:val="Header"/>
        </w:pPr>
        <w:r>
          <w:fldChar w:fldCharType="begin"/>
        </w:r>
        <w:r>
          <w:instrText xml:space="preserve"> PAGE   \* MERGEFORMAT </w:instrText>
        </w:r>
        <w:r>
          <w:fldChar w:fldCharType="separate"/>
        </w:r>
        <w:r w:rsidR="007A33CC">
          <w:rPr>
            <w:noProof/>
          </w:rPr>
          <w:t>2</w:t>
        </w:r>
        <w:r>
          <w:rPr>
            <w:noProof/>
          </w:rPr>
          <w:fldChar w:fldCharType="end"/>
        </w:r>
      </w:p>
    </w:sdtContent>
  </w:sdt>
  <w:p w:rsidR="00367790" w:rsidRDefault="003677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1DBB"/>
    <w:multiLevelType w:val="hybridMultilevel"/>
    <w:tmpl w:val="30B4F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D436C0"/>
    <w:multiLevelType w:val="hybridMultilevel"/>
    <w:tmpl w:val="1CC06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181295"/>
    <w:multiLevelType w:val="hybridMultilevel"/>
    <w:tmpl w:val="0E0432F2"/>
    <w:lvl w:ilvl="0" w:tplc="3CA4AC4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397D6E"/>
    <w:multiLevelType w:val="hybridMultilevel"/>
    <w:tmpl w:val="F71CB70A"/>
    <w:lvl w:ilvl="0" w:tplc="1FA4526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273AA6"/>
    <w:multiLevelType w:val="hybridMultilevel"/>
    <w:tmpl w:val="93DC0D98"/>
    <w:lvl w:ilvl="0" w:tplc="08090001">
      <w:start w:val="1"/>
      <w:numFmt w:val="bullet"/>
      <w:lvlText w:val=""/>
      <w:lvlJc w:val="left"/>
      <w:pPr>
        <w:ind w:left="1287" w:hanging="360"/>
      </w:pPr>
      <w:rPr>
        <w:rFonts w:ascii="Symbol" w:hAnsi="Symbol" w:hint="default"/>
      </w:rPr>
    </w:lvl>
    <w:lvl w:ilvl="1" w:tplc="03F65700">
      <w:numFmt w:val="bullet"/>
      <w:lvlText w:val="•"/>
      <w:lvlJc w:val="left"/>
      <w:pPr>
        <w:ind w:left="2007" w:hanging="360"/>
      </w:pPr>
      <w:rPr>
        <w:rFonts w:ascii="Times New Roman" w:eastAsiaTheme="minorHAnsi"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18AA6C80"/>
    <w:multiLevelType w:val="hybridMultilevel"/>
    <w:tmpl w:val="CDA6D2E6"/>
    <w:lvl w:ilvl="0" w:tplc="B7EA14A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305C72"/>
    <w:multiLevelType w:val="singleLevel"/>
    <w:tmpl w:val="845635E2"/>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7">
    <w:nsid w:val="24BF7223"/>
    <w:multiLevelType w:val="hybridMultilevel"/>
    <w:tmpl w:val="F31C4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B03FDB"/>
    <w:multiLevelType w:val="hybridMultilevel"/>
    <w:tmpl w:val="27CAD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A37E27"/>
    <w:multiLevelType w:val="hybridMultilevel"/>
    <w:tmpl w:val="E58CD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CE3C1B"/>
    <w:multiLevelType w:val="hybridMultilevel"/>
    <w:tmpl w:val="4B8EF70C"/>
    <w:lvl w:ilvl="0" w:tplc="03F6570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4322DC"/>
    <w:multiLevelType w:val="hybridMultilevel"/>
    <w:tmpl w:val="02D02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F705D9"/>
    <w:multiLevelType w:val="hybridMultilevel"/>
    <w:tmpl w:val="5A12DB52"/>
    <w:lvl w:ilvl="0" w:tplc="03F65700">
      <w:numFmt w:val="bullet"/>
      <w:lvlText w:val="•"/>
      <w:lvlJc w:val="left"/>
      <w:pPr>
        <w:ind w:left="720" w:hanging="360"/>
      </w:pPr>
      <w:rPr>
        <w:rFonts w:ascii="Times New Roman" w:eastAsiaTheme="minorHAnsi" w:hAnsi="Times New Roman" w:cs="Times New Roman" w:hint="default"/>
      </w:rPr>
    </w:lvl>
    <w:lvl w:ilvl="1" w:tplc="03F65700">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FB4202"/>
    <w:multiLevelType w:val="hybridMultilevel"/>
    <w:tmpl w:val="1226AC82"/>
    <w:lvl w:ilvl="0" w:tplc="72B27A7A">
      <w:start w:val="1"/>
      <w:numFmt w:val="upp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BAA6EE4"/>
    <w:multiLevelType w:val="hybridMultilevel"/>
    <w:tmpl w:val="E348E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BF0747E"/>
    <w:multiLevelType w:val="hybridMultilevel"/>
    <w:tmpl w:val="374CD570"/>
    <w:lvl w:ilvl="0" w:tplc="3176C370">
      <w:start w:val="1"/>
      <w:numFmt w:val="upperRoman"/>
      <w:lvlText w:val="%1."/>
      <w:lvlJc w:val="left"/>
      <w:pPr>
        <w:ind w:left="1080" w:hanging="72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6AF36C9"/>
    <w:multiLevelType w:val="hybridMultilevel"/>
    <w:tmpl w:val="E39A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92061AC"/>
    <w:multiLevelType w:val="hybridMultilevel"/>
    <w:tmpl w:val="A37422C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E0C39F8"/>
    <w:multiLevelType w:val="hybridMultilevel"/>
    <w:tmpl w:val="1FA8F41A"/>
    <w:lvl w:ilvl="0" w:tplc="3CA4AC4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1333D0E"/>
    <w:multiLevelType w:val="hybridMultilevel"/>
    <w:tmpl w:val="9C865B1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CCD35D0"/>
    <w:multiLevelType w:val="multilevel"/>
    <w:tmpl w:val="4ADE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B7634C"/>
    <w:multiLevelType w:val="hybridMultilevel"/>
    <w:tmpl w:val="812CF536"/>
    <w:lvl w:ilvl="0" w:tplc="64D23B0A">
      <w:start w:val="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7CFC14FD"/>
    <w:multiLevelType w:val="hybridMultilevel"/>
    <w:tmpl w:val="44223B04"/>
    <w:lvl w:ilvl="0" w:tplc="6C9AEF12">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17"/>
  </w:num>
  <w:num w:numId="5">
    <w:abstractNumId w:val="0"/>
  </w:num>
  <w:num w:numId="6">
    <w:abstractNumId w:val="18"/>
  </w:num>
  <w:num w:numId="7">
    <w:abstractNumId w:val="9"/>
  </w:num>
  <w:num w:numId="8">
    <w:abstractNumId w:val="1"/>
  </w:num>
  <w:num w:numId="9">
    <w:abstractNumId w:val="21"/>
  </w:num>
  <w:num w:numId="10">
    <w:abstractNumId w:val="2"/>
  </w:num>
  <w:num w:numId="11">
    <w:abstractNumId w:val="14"/>
  </w:num>
  <w:num w:numId="12">
    <w:abstractNumId w:val="16"/>
  </w:num>
  <w:num w:numId="13">
    <w:abstractNumId w:val="20"/>
  </w:num>
  <w:num w:numId="14">
    <w:abstractNumId w:val="7"/>
  </w:num>
  <w:num w:numId="15">
    <w:abstractNumId w:val="13"/>
  </w:num>
  <w:num w:numId="16">
    <w:abstractNumId w:val="3"/>
  </w:num>
  <w:num w:numId="17">
    <w:abstractNumId w:val="22"/>
  </w:num>
  <w:num w:numId="18">
    <w:abstractNumId w:val="4"/>
  </w:num>
  <w:num w:numId="19">
    <w:abstractNumId w:val="10"/>
  </w:num>
  <w:num w:numId="20">
    <w:abstractNumId w:val="12"/>
  </w:num>
  <w:num w:numId="21">
    <w:abstractNumId w:val="5"/>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743"/>
    <w:rsid w:val="0000207A"/>
    <w:rsid w:val="00002D8B"/>
    <w:rsid w:val="000105E5"/>
    <w:rsid w:val="000120AF"/>
    <w:rsid w:val="000135F1"/>
    <w:rsid w:val="00014C9C"/>
    <w:rsid w:val="00020974"/>
    <w:rsid w:val="00022AC7"/>
    <w:rsid w:val="0003024B"/>
    <w:rsid w:val="00034039"/>
    <w:rsid w:val="000369E8"/>
    <w:rsid w:val="00045601"/>
    <w:rsid w:val="00046E5A"/>
    <w:rsid w:val="000557C0"/>
    <w:rsid w:val="0005616E"/>
    <w:rsid w:val="00057E76"/>
    <w:rsid w:val="000746EB"/>
    <w:rsid w:val="000758A0"/>
    <w:rsid w:val="00077DA5"/>
    <w:rsid w:val="0008113F"/>
    <w:rsid w:val="00083517"/>
    <w:rsid w:val="00095104"/>
    <w:rsid w:val="000A1D3D"/>
    <w:rsid w:val="000A2CDF"/>
    <w:rsid w:val="000A799D"/>
    <w:rsid w:val="000C2F18"/>
    <w:rsid w:val="000C5EEB"/>
    <w:rsid w:val="000D1551"/>
    <w:rsid w:val="000D49D5"/>
    <w:rsid w:val="000F1083"/>
    <w:rsid w:val="000F1754"/>
    <w:rsid w:val="000F1A84"/>
    <w:rsid w:val="000F2042"/>
    <w:rsid w:val="000F24B8"/>
    <w:rsid w:val="00100AA8"/>
    <w:rsid w:val="00102997"/>
    <w:rsid w:val="001160DE"/>
    <w:rsid w:val="00117257"/>
    <w:rsid w:val="00117432"/>
    <w:rsid w:val="00122557"/>
    <w:rsid w:val="00127951"/>
    <w:rsid w:val="00131591"/>
    <w:rsid w:val="001316EA"/>
    <w:rsid w:val="00132434"/>
    <w:rsid w:val="00142FA1"/>
    <w:rsid w:val="001439FB"/>
    <w:rsid w:val="0015126D"/>
    <w:rsid w:val="00164297"/>
    <w:rsid w:val="00165FDC"/>
    <w:rsid w:val="00167CB1"/>
    <w:rsid w:val="00172F66"/>
    <w:rsid w:val="00175594"/>
    <w:rsid w:val="00175FDB"/>
    <w:rsid w:val="00177CF2"/>
    <w:rsid w:val="0018300D"/>
    <w:rsid w:val="00193646"/>
    <w:rsid w:val="001952E4"/>
    <w:rsid w:val="001A226F"/>
    <w:rsid w:val="001A3455"/>
    <w:rsid w:val="001A492D"/>
    <w:rsid w:val="001B027E"/>
    <w:rsid w:val="001B1C12"/>
    <w:rsid w:val="001C0D22"/>
    <w:rsid w:val="001D0006"/>
    <w:rsid w:val="001D0E05"/>
    <w:rsid w:val="001D41FB"/>
    <w:rsid w:val="001F22E4"/>
    <w:rsid w:val="001F3A25"/>
    <w:rsid w:val="001F43C9"/>
    <w:rsid w:val="002009AA"/>
    <w:rsid w:val="0020423A"/>
    <w:rsid w:val="002256DC"/>
    <w:rsid w:val="00230C8E"/>
    <w:rsid w:val="00230E0D"/>
    <w:rsid w:val="00230E30"/>
    <w:rsid w:val="00233D25"/>
    <w:rsid w:val="00237B67"/>
    <w:rsid w:val="002430A3"/>
    <w:rsid w:val="00243F50"/>
    <w:rsid w:val="00244757"/>
    <w:rsid w:val="00256943"/>
    <w:rsid w:val="002578E2"/>
    <w:rsid w:val="00260EE1"/>
    <w:rsid w:val="002658E6"/>
    <w:rsid w:val="00272F44"/>
    <w:rsid w:val="00276C9C"/>
    <w:rsid w:val="0028113C"/>
    <w:rsid w:val="00284DA6"/>
    <w:rsid w:val="00286FED"/>
    <w:rsid w:val="00287166"/>
    <w:rsid w:val="002A27C8"/>
    <w:rsid w:val="002A7776"/>
    <w:rsid w:val="002B77B5"/>
    <w:rsid w:val="002C157E"/>
    <w:rsid w:val="002C1AE3"/>
    <w:rsid w:val="002C1CCA"/>
    <w:rsid w:val="002C47A9"/>
    <w:rsid w:val="002C5947"/>
    <w:rsid w:val="002D2086"/>
    <w:rsid w:val="002F32DB"/>
    <w:rsid w:val="002F64DB"/>
    <w:rsid w:val="003034C0"/>
    <w:rsid w:val="0030618A"/>
    <w:rsid w:val="0031207F"/>
    <w:rsid w:val="00316B5D"/>
    <w:rsid w:val="003468CA"/>
    <w:rsid w:val="00355233"/>
    <w:rsid w:val="00357E4B"/>
    <w:rsid w:val="00367790"/>
    <w:rsid w:val="00367DA4"/>
    <w:rsid w:val="00373F42"/>
    <w:rsid w:val="003821C4"/>
    <w:rsid w:val="00383AFB"/>
    <w:rsid w:val="00387A47"/>
    <w:rsid w:val="003926E3"/>
    <w:rsid w:val="003A096E"/>
    <w:rsid w:val="003A16D3"/>
    <w:rsid w:val="003A39FD"/>
    <w:rsid w:val="003A4198"/>
    <w:rsid w:val="003B20AA"/>
    <w:rsid w:val="003C0140"/>
    <w:rsid w:val="003C1C8B"/>
    <w:rsid w:val="003D1F71"/>
    <w:rsid w:val="003D4720"/>
    <w:rsid w:val="003D5E11"/>
    <w:rsid w:val="003D6665"/>
    <w:rsid w:val="003E0665"/>
    <w:rsid w:val="003E1115"/>
    <w:rsid w:val="003E65EF"/>
    <w:rsid w:val="003F07C9"/>
    <w:rsid w:val="0040508B"/>
    <w:rsid w:val="00406435"/>
    <w:rsid w:val="00414BB7"/>
    <w:rsid w:val="00414BEA"/>
    <w:rsid w:val="004152F7"/>
    <w:rsid w:val="004167A0"/>
    <w:rsid w:val="00422DE3"/>
    <w:rsid w:val="004256BD"/>
    <w:rsid w:val="00425E64"/>
    <w:rsid w:val="00432806"/>
    <w:rsid w:val="00436D0F"/>
    <w:rsid w:val="004371EA"/>
    <w:rsid w:val="00437E79"/>
    <w:rsid w:val="0044240D"/>
    <w:rsid w:val="00445D6D"/>
    <w:rsid w:val="00453096"/>
    <w:rsid w:val="0046796D"/>
    <w:rsid w:val="004732B5"/>
    <w:rsid w:val="00474ADA"/>
    <w:rsid w:val="00477340"/>
    <w:rsid w:val="004813AD"/>
    <w:rsid w:val="004820FE"/>
    <w:rsid w:val="004833EA"/>
    <w:rsid w:val="00483E8F"/>
    <w:rsid w:val="004A0506"/>
    <w:rsid w:val="004A1D13"/>
    <w:rsid w:val="004A20C1"/>
    <w:rsid w:val="004B02A7"/>
    <w:rsid w:val="004B163F"/>
    <w:rsid w:val="004B1BED"/>
    <w:rsid w:val="004B384E"/>
    <w:rsid w:val="004B576C"/>
    <w:rsid w:val="004B5CF5"/>
    <w:rsid w:val="004C0D76"/>
    <w:rsid w:val="004C1840"/>
    <w:rsid w:val="004C1FA9"/>
    <w:rsid w:val="004C5788"/>
    <w:rsid w:val="004C640E"/>
    <w:rsid w:val="004D1C39"/>
    <w:rsid w:val="004D7AC8"/>
    <w:rsid w:val="004E54F8"/>
    <w:rsid w:val="004F22B6"/>
    <w:rsid w:val="004F524F"/>
    <w:rsid w:val="00501EDB"/>
    <w:rsid w:val="00504FA7"/>
    <w:rsid w:val="005074E6"/>
    <w:rsid w:val="00525884"/>
    <w:rsid w:val="00525F85"/>
    <w:rsid w:val="005267ED"/>
    <w:rsid w:val="0052757A"/>
    <w:rsid w:val="00534F9A"/>
    <w:rsid w:val="00536B4E"/>
    <w:rsid w:val="0054482E"/>
    <w:rsid w:val="00545FDA"/>
    <w:rsid w:val="00546E57"/>
    <w:rsid w:val="00555932"/>
    <w:rsid w:val="0056052F"/>
    <w:rsid w:val="00573ED4"/>
    <w:rsid w:val="005759E5"/>
    <w:rsid w:val="00581E72"/>
    <w:rsid w:val="00582E70"/>
    <w:rsid w:val="005847F9"/>
    <w:rsid w:val="005A00D0"/>
    <w:rsid w:val="005A163D"/>
    <w:rsid w:val="005A2986"/>
    <w:rsid w:val="005B03AA"/>
    <w:rsid w:val="005B2DCA"/>
    <w:rsid w:val="005C5B8A"/>
    <w:rsid w:val="005D2FF4"/>
    <w:rsid w:val="005D5B84"/>
    <w:rsid w:val="005D5C77"/>
    <w:rsid w:val="005D6E31"/>
    <w:rsid w:val="005E0406"/>
    <w:rsid w:val="005E2AAF"/>
    <w:rsid w:val="005E6CEE"/>
    <w:rsid w:val="005F1C27"/>
    <w:rsid w:val="005F5B57"/>
    <w:rsid w:val="006073FF"/>
    <w:rsid w:val="006125C7"/>
    <w:rsid w:val="00620A1A"/>
    <w:rsid w:val="006276D5"/>
    <w:rsid w:val="00630127"/>
    <w:rsid w:val="006310AA"/>
    <w:rsid w:val="0063150E"/>
    <w:rsid w:val="00633516"/>
    <w:rsid w:val="00637EDF"/>
    <w:rsid w:val="00642A30"/>
    <w:rsid w:val="00642BC1"/>
    <w:rsid w:val="00654D98"/>
    <w:rsid w:val="006556A0"/>
    <w:rsid w:val="0066263F"/>
    <w:rsid w:val="00670D85"/>
    <w:rsid w:val="00671D8F"/>
    <w:rsid w:val="00673DB1"/>
    <w:rsid w:val="00684777"/>
    <w:rsid w:val="006848DE"/>
    <w:rsid w:val="00693711"/>
    <w:rsid w:val="006A48FE"/>
    <w:rsid w:val="006A6356"/>
    <w:rsid w:val="006A6E39"/>
    <w:rsid w:val="006A6E91"/>
    <w:rsid w:val="006B2987"/>
    <w:rsid w:val="006B3EC9"/>
    <w:rsid w:val="006B7F6B"/>
    <w:rsid w:val="006C570E"/>
    <w:rsid w:val="006C6C27"/>
    <w:rsid w:val="006D26AD"/>
    <w:rsid w:val="006D4D63"/>
    <w:rsid w:val="006E00A1"/>
    <w:rsid w:val="006E16AC"/>
    <w:rsid w:val="00701107"/>
    <w:rsid w:val="00703A96"/>
    <w:rsid w:val="007047D9"/>
    <w:rsid w:val="007162F0"/>
    <w:rsid w:val="00723C82"/>
    <w:rsid w:val="00724027"/>
    <w:rsid w:val="00725648"/>
    <w:rsid w:val="007319BC"/>
    <w:rsid w:val="00733F2C"/>
    <w:rsid w:val="00735640"/>
    <w:rsid w:val="0074029C"/>
    <w:rsid w:val="007416C0"/>
    <w:rsid w:val="007539A7"/>
    <w:rsid w:val="00754B72"/>
    <w:rsid w:val="007777FF"/>
    <w:rsid w:val="0078466D"/>
    <w:rsid w:val="00787D2F"/>
    <w:rsid w:val="007909E4"/>
    <w:rsid w:val="00793E7B"/>
    <w:rsid w:val="00797518"/>
    <w:rsid w:val="007A33CC"/>
    <w:rsid w:val="007B19F9"/>
    <w:rsid w:val="007B6A85"/>
    <w:rsid w:val="007C4097"/>
    <w:rsid w:val="007C5D9F"/>
    <w:rsid w:val="007C74F5"/>
    <w:rsid w:val="007D0106"/>
    <w:rsid w:val="007D21B1"/>
    <w:rsid w:val="007D5E0A"/>
    <w:rsid w:val="007D68E1"/>
    <w:rsid w:val="007E18DA"/>
    <w:rsid w:val="007F1ADE"/>
    <w:rsid w:val="007F1CB1"/>
    <w:rsid w:val="007F34E2"/>
    <w:rsid w:val="007F392B"/>
    <w:rsid w:val="007F76FC"/>
    <w:rsid w:val="00804596"/>
    <w:rsid w:val="008054CB"/>
    <w:rsid w:val="00805D0E"/>
    <w:rsid w:val="00812EF4"/>
    <w:rsid w:val="0081416F"/>
    <w:rsid w:val="008150AE"/>
    <w:rsid w:val="00833CC6"/>
    <w:rsid w:val="008359E9"/>
    <w:rsid w:val="00837A65"/>
    <w:rsid w:val="008442CB"/>
    <w:rsid w:val="00846AE8"/>
    <w:rsid w:val="00850EB1"/>
    <w:rsid w:val="008574C5"/>
    <w:rsid w:val="00864BB0"/>
    <w:rsid w:val="008737C4"/>
    <w:rsid w:val="00875112"/>
    <w:rsid w:val="00880224"/>
    <w:rsid w:val="00880AC3"/>
    <w:rsid w:val="00893E4B"/>
    <w:rsid w:val="008971E8"/>
    <w:rsid w:val="008A4428"/>
    <w:rsid w:val="008B01F8"/>
    <w:rsid w:val="008C54B8"/>
    <w:rsid w:val="008D27BE"/>
    <w:rsid w:val="008D2D53"/>
    <w:rsid w:val="008E4BD3"/>
    <w:rsid w:val="008E7351"/>
    <w:rsid w:val="008F0D6B"/>
    <w:rsid w:val="00906714"/>
    <w:rsid w:val="00906A11"/>
    <w:rsid w:val="00907A08"/>
    <w:rsid w:val="00907CA5"/>
    <w:rsid w:val="00911743"/>
    <w:rsid w:val="00914212"/>
    <w:rsid w:val="00914B2A"/>
    <w:rsid w:val="00922F17"/>
    <w:rsid w:val="00925824"/>
    <w:rsid w:val="00925FC2"/>
    <w:rsid w:val="00926D8B"/>
    <w:rsid w:val="00930687"/>
    <w:rsid w:val="0093496F"/>
    <w:rsid w:val="00936F2A"/>
    <w:rsid w:val="009447C9"/>
    <w:rsid w:val="00946C7E"/>
    <w:rsid w:val="00947636"/>
    <w:rsid w:val="00951F0E"/>
    <w:rsid w:val="009624DF"/>
    <w:rsid w:val="00964A48"/>
    <w:rsid w:val="009661CF"/>
    <w:rsid w:val="00970782"/>
    <w:rsid w:val="009760CA"/>
    <w:rsid w:val="00976CF6"/>
    <w:rsid w:val="009820B7"/>
    <w:rsid w:val="00985960"/>
    <w:rsid w:val="00985BB5"/>
    <w:rsid w:val="00990304"/>
    <w:rsid w:val="009A041F"/>
    <w:rsid w:val="009A25B3"/>
    <w:rsid w:val="009A6D27"/>
    <w:rsid w:val="009A704D"/>
    <w:rsid w:val="009A726D"/>
    <w:rsid w:val="009B0E1C"/>
    <w:rsid w:val="009B31BD"/>
    <w:rsid w:val="009D0C4D"/>
    <w:rsid w:val="009D2C24"/>
    <w:rsid w:val="009E2DFD"/>
    <w:rsid w:val="009F6148"/>
    <w:rsid w:val="00A1490C"/>
    <w:rsid w:val="00A16418"/>
    <w:rsid w:val="00A20259"/>
    <w:rsid w:val="00A2140D"/>
    <w:rsid w:val="00A2392F"/>
    <w:rsid w:val="00A3365B"/>
    <w:rsid w:val="00A34D87"/>
    <w:rsid w:val="00A35E6C"/>
    <w:rsid w:val="00A52DDC"/>
    <w:rsid w:val="00A567B3"/>
    <w:rsid w:val="00A60191"/>
    <w:rsid w:val="00A60DAE"/>
    <w:rsid w:val="00A63924"/>
    <w:rsid w:val="00A671D6"/>
    <w:rsid w:val="00A671D8"/>
    <w:rsid w:val="00A67BBF"/>
    <w:rsid w:val="00A74DDC"/>
    <w:rsid w:val="00A76D5F"/>
    <w:rsid w:val="00A81614"/>
    <w:rsid w:val="00A9313F"/>
    <w:rsid w:val="00AA31C0"/>
    <w:rsid w:val="00AC1C56"/>
    <w:rsid w:val="00AD2EC9"/>
    <w:rsid w:val="00AD5028"/>
    <w:rsid w:val="00AE29AE"/>
    <w:rsid w:val="00AE2B37"/>
    <w:rsid w:val="00AE5DE3"/>
    <w:rsid w:val="00AE7C70"/>
    <w:rsid w:val="00AE7CBC"/>
    <w:rsid w:val="00AF6CB2"/>
    <w:rsid w:val="00B0407A"/>
    <w:rsid w:val="00B125FF"/>
    <w:rsid w:val="00B22CE5"/>
    <w:rsid w:val="00B23437"/>
    <w:rsid w:val="00B25D4D"/>
    <w:rsid w:val="00B2797E"/>
    <w:rsid w:val="00B314DE"/>
    <w:rsid w:val="00B36662"/>
    <w:rsid w:val="00B4006C"/>
    <w:rsid w:val="00B4105B"/>
    <w:rsid w:val="00B433BF"/>
    <w:rsid w:val="00B44EA6"/>
    <w:rsid w:val="00B50807"/>
    <w:rsid w:val="00B5549B"/>
    <w:rsid w:val="00B638C3"/>
    <w:rsid w:val="00B6693B"/>
    <w:rsid w:val="00B67F50"/>
    <w:rsid w:val="00B7531C"/>
    <w:rsid w:val="00B80308"/>
    <w:rsid w:val="00B81FF9"/>
    <w:rsid w:val="00B856B0"/>
    <w:rsid w:val="00B87699"/>
    <w:rsid w:val="00B92D17"/>
    <w:rsid w:val="00B9386D"/>
    <w:rsid w:val="00B94356"/>
    <w:rsid w:val="00B946BF"/>
    <w:rsid w:val="00B948A4"/>
    <w:rsid w:val="00BA15F3"/>
    <w:rsid w:val="00BA5337"/>
    <w:rsid w:val="00BB11DD"/>
    <w:rsid w:val="00BC198C"/>
    <w:rsid w:val="00BC1A9E"/>
    <w:rsid w:val="00BC5ACD"/>
    <w:rsid w:val="00BC6F7A"/>
    <w:rsid w:val="00BC785E"/>
    <w:rsid w:val="00BD0601"/>
    <w:rsid w:val="00BE2087"/>
    <w:rsid w:val="00BE30B5"/>
    <w:rsid w:val="00BE4FC6"/>
    <w:rsid w:val="00BF3101"/>
    <w:rsid w:val="00BF5A92"/>
    <w:rsid w:val="00C1054B"/>
    <w:rsid w:val="00C11044"/>
    <w:rsid w:val="00C13EAE"/>
    <w:rsid w:val="00C143B9"/>
    <w:rsid w:val="00C1454E"/>
    <w:rsid w:val="00C2309E"/>
    <w:rsid w:val="00C25CE9"/>
    <w:rsid w:val="00C262AE"/>
    <w:rsid w:val="00C26658"/>
    <w:rsid w:val="00C27BB1"/>
    <w:rsid w:val="00C37B78"/>
    <w:rsid w:val="00C425F3"/>
    <w:rsid w:val="00C450DB"/>
    <w:rsid w:val="00C53967"/>
    <w:rsid w:val="00C5596A"/>
    <w:rsid w:val="00C60969"/>
    <w:rsid w:val="00C668C7"/>
    <w:rsid w:val="00C66A91"/>
    <w:rsid w:val="00C7189D"/>
    <w:rsid w:val="00C84158"/>
    <w:rsid w:val="00C84163"/>
    <w:rsid w:val="00C85454"/>
    <w:rsid w:val="00C9259D"/>
    <w:rsid w:val="00C92967"/>
    <w:rsid w:val="00CA0BFF"/>
    <w:rsid w:val="00CB0097"/>
    <w:rsid w:val="00CB1968"/>
    <w:rsid w:val="00CB2F29"/>
    <w:rsid w:val="00CB42D1"/>
    <w:rsid w:val="00CC0954"/>
    <w:rsid w:val="00CC1475"/>
    <w:rsid w:val="00CC1CA6"/>
    <w:rsid w:val="00CC5639"/>
    <w:rsid w:val="00CC70DF"/>
    <w:rsid w:val="00CD1EC3"/>
    <w:rsid w:val="00CD2B24"/>
    <w:rsid w:val="00CD4619"/>
    <w:rsid w:val="00CD4C3B"/>
    <w:rsid w:val="00CF6357"/>
    <w:rsid w:val="00D14A13"/>
    <w:rsid w:val="00D1573E"/>
    <w:rsid w:val="00D233D0"/>
    <w:rsid w:val="00D34B4A"/>
    <w:rsid w:val="00D35CDB"/>
    <w:rsid w:val="00D402E6"/>
    <w:rsid w:val="00D4374C"/>
    <w:rsid w:val="00D46057"/>
    <w:rsid w:val="00D464C8"/>
    <w:rsid w:val="00D47AE6"/>
    <w:rsid w:val="00D47D16"/>
    <w:rsid w:val="00D51A87"/>
    <w:rsid w:val="00D553FF"/>
    <w:rsid w:val="00D55813"/>
    <w:rsid w:val="00D640B0"/>
    <w:rsid w:val="00D66889"/>
    <w:rsid w:val="00D74576"/>
    <w:rsid w:val="00D76399"/>
    <w:rsid w:val="00D83849"/>
    <w:rsid w:val="00D840CD"/>
    <w:rsid w:val="00D84BC2"/>
    <w:rsid w:val="00D862CE"/>
    <w:rsid w:val="00D90499"/>
    <w:rsid w:val="00D95C49"/>
    <w:rsid w:val="00DA2E26"/>
    <w:rsid w:val="00DA6B4E"/>
    <w:rsid w:val="00DA6C07"/>
    <w:rsid w:val="00DA7A58"/>
    <w:rsid w:val="00DB0E80"/>
    <w:rsid w:val="00DB1387"/>
    <w:rsid w:val="00DB17D7"/>
    <w:rsid w:val="00DE1DCF"/>
    <w:rsid w:val="00DE27DA"/>
    <w:rsid w:val="00DE72A9"/>
    <w:rsid w:val="00DF0119"/>
    <w:rsid w:val="00DF2D79"/>
    <w:rsid w:val="00DF648C"/>
    <w:rsid w:val="00DF6CD2"/>
    <w:rsid w:val="00DF7897"/>
    <w:rsid w:val="00E01B79"/>
    <w:rsid w:val="00E058E3"/>
    <w:rsid w:val="00E100FA"/>
    <w:rsid w:val="00E23C96"/>
    <w:rsid w:val="00E24235"/>
    <w:rsid w:val="00E255B1"/>
    <w:rsid w:val="00E27A65"/>
    <w:rsid w:val="00E343B0"/>
    <w:rsid w:val="00E34668"/>
    <w:rsid w:val="00E37672"/>
    <w:rsid w:val="00E43CAA"/>
    <w:rsid w:val="00E47733"/>
    <w:rsid w:val="00E47750"/>
    <w:rsid w:val="00E538A0"/>
    <w:rsid w:val="00E541E9"/>
    <w:rsid w:val="00E54B4B"/>
    <w:rsid w:val="00E55001"/>
    <w:rsid w:val="00E67DF0"/>
    <w:rsid w:val="00E756F0"/>
    <w:rsid w:val="00E75F42"/>
    <w:rsid w:val="00E76A5B"/>
    <w:rsid w:val="00E77FE8"/>
    <w:rsid w:val="00E81105"/>
    <w:rsid w:val="00E83547"/>
    <w:rsid w:val="00E841E3"/>
    <w:rsid w:val="00E91FE5"/>
    <w:rsid w:val="00E93817"/>
    <w:rsid w:val="00EA53C0"/>
    <w:rsid w:val="00EB3314"/>
    <w:rsid w:val="00EB36F8"/>
    <w:rsid w:val="00EB3B45"/>
    <w:rsid w:val="00EB5905"/>
    <w:rsid w:val="00EB6B23"/>
    <w:rsid w:val="00EC0134"/>
    <w:rsid w:val="00EC2CDC"/>
    <w:rsid w:val="00EC3D04"/>
    <w:rsid w:val="00ED12C7"/>
    <w:rsid w:val="00EE4E0B"/>
    <w:rsid w:val="00EE533B"/>
    <w:rsid w:val="00EE776A"/>
    <w:rsid w:val="00F017A1"/>
    <w:rsid w:val="00F11DA6"/>
    <w:rsid w:val="00F27953"/>
    <w:rsid w:val="00F31BD1"/>
    <w:rsid w:val="00F33600"/>
    <w:rsid w:val="00F34DAD"/>
    <w:rsid w:val="00F3708F"/>
    <w:rsid w:val="00F567C2"/>
    <w:rsid w:val="00F56F7A"/>
    <w:rsid w:val="00F618AB"/>
    <w:rsid w:val="00F62298"/>
    <w:rsid w:val="00F747C9"/>
    <w:rsid w:val="00F81B14"/>
    <w:rsid w:val="00F81BC7"/>
    <w:rsid w:val="00F843EA"/>
    <w:rsid w:val="00F91D1A"/>
    <w:rsid w:val="00F93600"/>
    <w:rsid w:val="00F979DD"/>
    <w:rsid w:val="00FA48CB"/>
    <w:rsid w:val="00FA6159"/>
    <w:rsid w:val="00FB25F2"/>
    <w:rsid w:val="00FB3F85"/>
    <w:rsid w:val="00FC1D97"/>
    <w:rsid w:val="00FC6CDD"/>
    <w:rsid w:val="00FC702C"/>
    <w:rsid w:val="00FD3C7B"/>
    <w:rsid w:val="00FD6E74"/>
    <w:rsid w:val="00FD78B9"/>
    <w:rsid w:val="00FE0313"/>
    <w:rsid w:val="00FE0BCA"/>
    <w:rsid w:val="00FE1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AFB"/>
    <w:pPr>
      <w:tabs>
        <w:tab w:val="center" w:pos="4513"/>
        <w:tab w:val="right" w:pos="9026"/>
      </w:tabs>
      <w:spacing w:line="240" w:lineRule="auto"/>
    </w:pPr>
  </w:style>
  <w:style w:type="character" w:customStyle="1" w:styleId="HeaderChar">
    <w:name w:val="Header Char"/>
    <w:basedOn w:val="DefaultParagraphFont"/>
    <w:link w:val="Header"/>
    <w:uiPriority w:val="99"/>
    <w:rsid w:val="00383AFB"/>
  </w:style>
  <w:style w:type="paragraph" w:styleId="Footer">
    <w:name w:val="footer"/>
    <w:basedOn w:val="Normal"/>
    <w:link w:val="FooterChar"/>
    <w:uiPriority w:val="99"/>
    <w:unhideWhenUsed/>
    <w:rsid w:val="00383AFB"/>
    <w:pPr>
      <w:tabs>
        <w:tab w:val="center" w:pos="4513"/>
        <w:tab w:val="right" w:pos="9026"/>
      </w:tabs>
      <w:spacing w:line="240" w:lineRule="auto"/>
    </w:pPr>
  </w:style>
  <w:style w:type="character" w:customStyle="1" w:styleId="FooterChar">
    <w:name w:val="Footer Char"/>
    <w:basedOn w:val="DefaultParagraphFont"/>
    <w:link w:val="Footer"/>
    <w:uiPriority w:val="99"/>
    <w:rsid w:val="00383AFB"/>
  </w:style>
  <w:style w:type="table" w:styleId="TableGrid">
    <w:name w:val="Table Grid"/>
    <w:basedOn w:val="TableNormal"/>
    <w:uiPriority w:val="59"/>
    <w:rsid w:val="00CC1CA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3A96"/>
    <w:pPr>
      <w:spacing w:after="200"/>
      <w:ind w:left="720"/>
      <w:contextualSpacing/>
      <w:jc w:val="left"/>
    </w:pPr>
  </w:style>
  <w:style w:type="paragraph" w:styleId="BalloonText">
    <w:name w:val="Balloon Text"/>
    <w:basedOn w:val="Normal"/>
    <w:link w:val="BalloonTextChar"/>
    <w:uiPriority w:val="99"/>
    <w:semiHidden/>
    <w:unhideWhenUsed/>
    <w:rsid w:val="00703A96"/>
    <w:pPr>
      <w:spacing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A96"/>
    <w:rPr>
      <w:rFonts w:ascii="Tahoma" w:hAnsi="Tahoma" w:cs="Tahoma"/>
      <w:sz w:val="16"/>
      <w:szCs w:val="16"/>
    </w:rPr>
  </w:style>
  <w:style w:type="character" w:styleId="Hyperlink">
    <w:name w:val="Hyperlink"/>
    <w:basedOn w:val="DefaultParagraphFont"/>
    <w:uiPriority w:val="99"/>
    <w:unhideWhenUsed/>
    <w:rsid w:val="00703A96"/>
    <w:rPr>
      <w:color w:val="0000FF" w:themeColor="hyperlink"/>
      <w:u w:val="single"/>
    </w:rPr>
  </w:style>
  <w:style w:type="character" w:styleId="FollowedHyperlink">
    <w:name w:val="FollowedHyperlink"/>
    <w:basedOn w:val="DefaultParagraphFont"/>
    <w:uiPriority w:val="99"/>
    <w:semiHidden/>
    <w:unhideWhenUsed/>
    <w:rsid w:val="00703A96"/>
    <w:rPr>
      <w:color w:val="800080" w:themeColor="followedHyperlink"/>
      <w:u w:val="single"/>
    </w:rPr>
  </w:style>
  <w:style w:type="paragraph" w:customStyle="1" w:styleId="Default">
    <w:name w:val="Default"/>
    <w:rsid w:val="00703A96"/>
    <w:pPr>
      <w:autoSpaceDE w:val="0"/>
      <w:autoSpaceDN w:val="0"/>
      <w:adjustRightInd w:val="0"/>
      <w:spacing w:line="240" w:lineRule="auto"/>
      <w:jc w:val="left"/>
    </w:pPr>
    <w:rPr>
      <w:rFonts w:ascii="HelveticaNeueLT Std Thin" w:hAnsi="HelveticaNeueLT Std Thin" w:cs="HelveticaNeueLT Std Thin"/>
      <w:color w:val="000000"/>
      <w:sz w:val="24"/>
      <w:szCs w:val="24"/>
    </w:rPr>
  </w:style>
  <w:style w:type="character" w:styleId="CommentReference">
    <w:name w:val="annotation reference"/>
    <w:basedOn w:val="DefaultParagraphFont"/>
    <w:uiPriority w:val="99"/>
    <w:semiHidden/>
    <w:unhideWhenUsed/>
    <w:rsid w:val="00703A96"/>
    <w:rPr>
      <w:sz w:val="16"/>
      <w:szCs w:val="16"/>
    </w:rPr>
  </w:style>
  <w:style w:type="paragraph" w:styleId="CommentText">
    <w:name w:val="annotation text"/>
    <w:basedOn w:val="Normal"/>
    <w:link w:val="CommentTextChar"/>
    <w:uiPriority w:val="99"/>
    <w:semiHidden/>
    <w:unhideWhenUsed/>
    <w:rsid w:val="00703A96"/>
    <w:pPr>
      <w:spacing w:after="200" w:line="240" w:lineRule="auto"/>
      <w:jc w:val="left"/>
    </w:pPr>
    <w:rPr>
      <w:sz w:val="20"/>
      <w:szCs w:val="20"/>
    </w:rPr>
  </w:style>
  <w:style w:type="character" w:customStyle="1" w:styleId="CommentTextChar">
    <w:name w:val="Comment Text Char"/>
    <w:basedOn w:val="DefaultParagraphFont"/>
    <w:link w:val="CommentText"/>
    <w:uiPriority w:val="99"/>
    <w:semiHidden/>
    <w:rsid w:val="00703A96"/>
    <w:rPr>
      <w:sz w:val="20"/>
      <w:szCs w:val="20"/>
    </w:rPr>
  </w:style>
  <w:style w:type="paragraph" w:styleId="CommentSubject">
    <w:name w:val="annotation subject"/>
    <w:basedOn w:val="CommentText"/>
    <w:next w:val="CommentText"/>
    <w:link w:val="CommentSubjectChar"/>
    <w:uiPriority w:val="99"/>
    <w:semiHidden/>
    <w:unhideWhenUsed/>
    <w:rsid w:val="00703A96"/>
    <w:rPr>
      <w:b/>
      <w:bCs/>
    </w:rPr>
  </w:style>
  <w:style w:type="character" w:customStyle="1" w:styleId="CommentSubjectChar">
    <w:name w:val="Comment Subject Char"/>
    <w:basedOn w:val="CommentTextChar"/>
    <w:link w:val="CommentSubject"/>
    <w:uiPriority w:val="99"/>
    <w:semiHidden/>
    <w:rsid w:val="00703A96"/>
    <w:rPr>
      <w:b/>
      <w:bCs/>
      <w:sz w:val="20"/>
      <w:szCs w:val="20"/>
    </w:rPr>
  </w:style>
  <w:style w:type="character" w:styleId="Strong">
    <w:name w:val="Strong"/>
    <w:basedOn w:val="DefaultParagraphFont"/>
    <w:uiPriority w:val="22"/>
    <w:qFormat/>
    <w:rsid w:val="00703A96"/>
    <w:rPr>
      <w:b/>
      <w:bCs/>
    </w:rPr>
  </w:style>
  <w:style w:type="character" w:styleId="Emphasis">
    <w:name w:val="Emphasis"/>
    <w:basedOn w:val="DefaultParagraphFont"/>
    <w:uiPriority w:val="20"/>
    <w:qFormat/>
    <w:rsid w:val="00703A96"/>
    <w:rPr>
      <w:i/>
      <w:iCs/>
    </w:rPr>
  </w:style>
  <w:style w:type="character" w:customStyle="1" w:styleId="apple-converted-space">
    <w:name w:val="apple-converted-space"/>
    <w:basedOn w:val="DefaultParagraphFont"/>
    <w:rsid w:val="00985960"/>
  </w:style>
  <w:style w:type="paragraph" w:styleId="EndnoteText">
    <w:name w:val="endnote text"/>
    <w:basedOn w:val="Normal"/>
    <w:link w:val="EndnoteTextChar"/>
    <w:uiPriority w:val="99"/>
    <w:semiHidden/>
    <w:unhideWhenUsed/>
    <w:rsid w:val="00131591"/>
    <w:pPr>
      <w:spacing w:line="240" w:lineRule="auto"/>
    </w:pPr>
    <w:rPr>
      <w:sz w:val="20"/>
      <w:szCs w:val="20"/>
    </w:rPr>
  </w:style>
  <w:style w:type="character" w:customStyle="1" w:styleId="EndnoteTextChar">
    <w:name w:val="Endnote Text Char"/>
    <w:basedOn w:val="DefaultParagraphFont"/>
    <w:link w:val="EndnoteText"/>
    <w:uiPriority w:val="99"/>
    <w:semiHidden/>
    <w:rsid w:val="00131591"/>
    <w:rPr>
      <w:sz w:val="20"/>
      <w:szCs w:val="20"/>
    </w:rPr>
  </w:style>
  <w:style w:type="character" w:styleId="EndnoteReference">
    <w:name w:val="endnote reference"/>
    <w:basedOn w:val="DefaultParagraphFont"/>
    <w:uiPriority w:val="99"/>
    <w:semiHidden/>
    <w:unhideWhenUsed/>
    <w:rsid w:val="00131591"/>
    <w:rPr>
      <w:vertAlign w:val="superscript"/>
    </w:rPr>
  </w:style>
  <w:style w:type="character" w:customStyle="1" w:styleId="slug-pop-date">
    <w:name w:val="slug-pop-date"/>
    <w:basedOn w:val="DefaultParagraphFont"/>
    <w:rsid w:val="00B856B0"/>
  </w:style>
  <w:style w:type="character" w:customStyle="1" w:styleId="pop-slug">
    <w:name w:val="pop-slug"/>
    <w:basedOn w:val="DefaultParagraphFont"/>
    <w:rsid w:val="00B856B0"/>
  </w:style>
  <w:style w:type="paragraph" w:styleId="Index1">
    <w:name w:val="index 1"/>
    <w:basedOn w:val="Normal"/>
    <w:next w:val="Normal"/>
    <w:autoRedefine/>
    <w:uiPriority w:val="99"/>
    <w:unhideWhenUsed/>
    <w:rsid w:val="00D34B4A"/>
    <w:pPr>
      <w:ind w:left="220" w:hanging="220"/>
      <w:jc w:val="left"/>
    </w:pPr>
    <w:rPr>
      <w:sz w:val="20"/>
      <w:szCs w:val="20"/>
    </w:rPr>
  </w:style>
  <w:style w:type="paragraph" w:styleId="Index2">
    <w:name w:val="index 2"/>
    <w:basedOn w:val="Normal"/>
    <w:next w:val="Normal"/>
    <w:autoRedefine/>
    <w:uiPriority w:val="99"/>
    <w:unhideWhenUsed/>
    <w:rsid w:val="00D34B4A"/>
    <w:pPr>
      <w:ind w:left="440" w:hanging="220"/>
      <w:jc w:val="left"/>
    </w:pPr>
    <w:rPr>
      <w:sz w:val="20"/>
      <w:szCs w:val="20"/>
    </w:rPr>
  </w:style>
  <w:style w:type="paragraph" w:styleId="Index3">
    <w:name w:val="index 3"/>
    <w:basedOn w:val="Normal"/>
    <w:next w:val="Normal"/>
    <w:autoRedefine/>
    <w:uiPriority w:val="99"/>
    <w:unhideWhenUsed/>
    <w:rsid w:val="00D34B4A"/>
    <w:pPr>
      <w:ind w:left="660" w:hanging="220"/>
      <w:jc w:val="left"/>
    </w:pPr>
    <w:rPr>
      <w:sz w:val="20"/>
      <w:szCs w:val="20"/>
    </w:rPr>
  </w:style>
  <w:style w:type="paragraph" w:styleId="Index4">
    <w:name w:val="index 4"/>
    <w:basedOn w:val="Normal"/>
    <w:next w:val="Normal"/>
    <w:autoRedefine/>
    <w:uiPriority w:val="99"/>
    <w:unhideWhenUsed/>
    <w:rsid w:val="00D34B4A"/>
    <w:pPr>
      <w:ind w:left="880" w:hanging="220"/>
      <w:jc w:val="left"/>
    </w:pPr>
    <w:rPr>
      <w:sz w:val="20"/>
      <w:szCs w:val="20"/>
    </w:rPr>
  </w:style>
  <w:style w:type="paragraph" w:styleId="Index5">
    <w:name w:val="index 5"/>
    <w:basedOn w:val="Normal"/>
    <w:next w:val="Normal"/>
    <w:autoRedefine/>
    <w:uiPriority w:val="99"/>
    <w:unhideWhenUsed/>
    <w:rsid w:val="00D34B4A"/>
    <w:pPr>
      <w:ind w:left="1100" w:hanging="220"/>
      <w:jc w:val="left"/>
    </w:pPr>
    <w:rPr>
      <w:sz w:val="20"/>
      <w:szCs w:val="20"/>
    </w:rPr>
  </w:style>
  <w:style w:type="paragraph" w:styleId="Index6">
    <w:name w:val="index 6"/>
    <w:basedOn w:val="Normal"/>
    <w:next w:val="Normal"/>
    <w:autoRedefine/>
    <w:uiPriority w:val="99"/>
    <w:unhideWhenUsed/>
    <w:rsid w:val="00D34B4A"/>
    <w:pPr>
      <w:ind w:left="1320" w:hanging="220"/>
      <w:jc w:val="left"/>
    </w:pPr>
    <w:rPr>
      <w:sz w:val="20"/>
      <w:szCs w:val="20"/>
    </w:rPr>
  </w:style>
  <w:style w:type="paragraph" w:styleId="Index7">
    <w:name w:val="index 7"/>
    <w:basedOn w:val="Normal"/>
    <w:next w:val="Normal"/>
    <w:autoRedefine/>
    <w:uiPriority w:val="99"/>
    <w:unhideWhenUsed/>
    <w:rsid w:val="00D34B4A"/>
    <w:pPr>
      <w:ind w:left="1540" w:hanging="220"/>
      <w:jc w:val="left"/>
    </w:pPr>
    <w:rPr>
      <w:sz w:val="20"/>
      <w:szCs w:val="20"/>
    </w:rPr>
  </w:style>
  <w:style w:type="paragraph" w:styleId="Index8">
    <w:name w:val="index 8"/>
    <w:basedOn w:val="Normal"/>
    <w:next w:val="Normal"/>
    <w:autoRedefine/>
    <w:uiPriority w:val="99"/>
    <w:unhideWhenUsed/>
    <w:rsid w:val="00D34B4A"/>
    <w:pPr>
      <w:ind w:left="1760" w:hanging="220"/>
      <w:jc w:val="left"/>
    </w:pPr>
    <w:rPr>
      <w:sz w:val="20"/>
      <w:szCs w:val="20"/>
    </w:rPr>
  </w:style>
  <w:style w:type="paragraph" w:styleId="Index9">
    <w:name w:val="index 9"/>
    <w:basedOn w:val="Normal"/>
    <w:next w:val="Normal"/>
    <w:autoRedefine/>
    <w:uiPriority w:val="99"/>
    <w:unhideWhenUsed/>
    <w:rsid w:val="00D34B4A"/>
    <w:pPr>
      <w:ind w:left="1980" w:hanging="220"/>
      <w:jc w:val="left"/>
    </w:pPr>
    <w:rPr>
      <w:sz w:val="20"/>
      <w:szCs w:val="20"/>
    </w:rPr>
  </w:style>
  <w:style w:type="paragraph" w:styleId="IndexHeading">
    <w:name w:val="index heading"/>
    <w:basedOn w:val="Normal"/>
    <w:next w:val="Index1"/>
    <w:uiPriority w:val="99"/>
    <w:unhideWhenUsed/>
    <w:rsid w:val="00D34B4A"/>
    <w:pPr>
      <w:jc w:val="lef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AFB"/>
    <w:pPr>
      <w:tabs>
        <w:tab w:val="center" w:pos="4513"/>
        <w:tab w:val="right" w:pos="9026"/>
      </w:tabs>
      <w:spacing w:line="240" w:lineRule="auto"/>
    </w:pPr>
  </w:style>
  <w:style w:type="character" w:customStyle="1" w:styleId="HeaderChar">
    <w:name w:val="Header Char"/>
    <w:basedOn w:val="DefaultParagraphFont"/>
    <w:link w:val="Header"/>
    <w:uiPriority w:val="99"/>
    <w:rsid w:val="00383AFB"/>
  </w:style>
  <w:style w:type="paragraph" w:styleId="Footer">
    <w:name w:val="footer"/>
    <w:basedOn w:val="Normal"/>
    <w:link w:val="FooterChar"/>
    <w:uiPriority w:val="99"/>
    <w:unhideWhenUsed/>
    <w:rsid w:val="00383AFB"/>
    <w:pPr>
      <w:tabs>
        <w:tab w:val="center" w:pos="4513"/>
        <w:tab w:val="right" w:pos="9026"/>
      </w:tabs>
      <w:spacing w:line="240" w:lineRule="auto"/>
    </w:pPr>
  </w:style>
  <w:style w:type="character" w:customStyle="1" w:styleId="FooterChar">
    <w:name w:val="Footer Char"/>
    <w:basedOn w:val="DefaultParagraphFont"/>
    <w:link w:val="Footer"/>
    <w:uiPriority w:val="99"/>
    <w:rsid w:val="00383AFB"/>
  </w:style>
  <w:style w:type="table" w:styleId="TableGrid">
    <w:name w:val="Table Grid"/>
    <w:basedOn w:val="TableNormal"/>
    <w:uiPriority w:val="59"/>
    <w:rsid w:val="00CC1CA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3A96"/>
    <w:pPr>
      <w:spacing w:after="200"/>
      <w:ind w:left="720"/>
      <w:contextualSpacing/>
      <w:jc w:val="left"/>
    </w:pPr>
  </w:style>
  <w:style w:type="paragraph" w:styleId="BalloonText">
    <w:name w:val="Balloon Text"/>
    <w:basedOn w:val="Normal"/>
    <w:link w:val="BalloonTextChar"/>
    <w:uiPriority w:val="99"/>
    <w:semiHidden/>
    <w:unhideWhenUsed/>
    <w:rsid w:val="00703A96"/>
    <w:pPr>
      <w:spacing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A96"/>
    <w:rPr>
      <w:rFonts w:ascii="Tahoma" w:hAnsi="Tahoma" w:cs="Tahoma"/>
      <w:sz w:val="16"/>
      <w:szCs w:val="16"/>
    </w:rPr>
  </w:style>
  <w:style w:type="character" w:styleId="Hyperlink">
    <w:name w:val="Hyperlink"/>
    <w:basedOn w:val="DefaultParagraphFont"/>
    <w:uiPriority w:val="99"/>
    <w:unhideWhenUsed/>
    <w:rsid w:val="00703A96"/>
    <w:rPr>
      <w:color w:val="0000FF" w:themeColor="hyperlink"/>
      <w:u w:val="single"/>
    </w:rPr>
  </w:style>
  <w:style w:type="character" w:styleId="FollowedHyperlink">
    <w:name w:val="FollowedHyperlink"/>
    <w:basedOn w:val="DefaultParagraphFont"/>
    <w:uiPriority w:val="99"/>
    <w:semiHidden/>
    <w:unhideWhenUsed/>
    <w:rsid w:val="00703A96"/>
    <w:rPr>
      <w:color w:val="800080" w:themeColor="followedHyperlink"/>
      <w:u w:val="single"/>
    </w:rPr>
  </w:style>
  <w:style w:type="paragraph" w:customStyle="1" w:styleId="Default">
    <w:name w:val="Default"/>
    <w:rsid w:val="00703A96"/>
    <w:pPr>
      <w:autoSpaceDE w:val="0"/>
      <w:autoSpaceDN w:val="0"/>
      <w:adjustRightInd w:val="0"/>
      <w:spacing w:line="240" w:lineRule="auto"/>
      <w:jc w:val="left"/>
    </w:pPr>
    <w:rPr>
      <w:rFonts w:ascii="HelveticaNeueLT Std Thin" w:hAnsi="HelveticaNeueLT Std Thin" w:cs="HelveticaNeueLT Std Thin"/>
      <w:color w:val="000000"/>
      <w:sz w:val="24"/>
      <w:szCs w:val="24"/>
    </w:rPr>
  </w:style>
  <w:style w:type="character" w:styleId="CommentReference">
    <w:name w:val="annotation reference"/>
    <w:basedOn w:val="DefaultParagraphFont"/>
    <w:uiPriority w:val="99"/>
    <w:semiHidden/>
    <w:unhideWhenUsed/>
    <w:rsid w:val="00703A96"/>
    <w:rPr>
      <w:sz w:val="16"/>
      <w:szCs w:val="16"/>
    </w:rPr>
  </w:style>
  <w:style w:type="paragraph" w:styleId="CommentText">
    <w:name w:val="annotation text"/>
    <w:basedOn w:val="Normal"/>
    <w:link w:val="CommentTextChar"/>
    <w:uiPriority w:val="99"/>
    <w:semiHidden/>
    <w:unhideWhenUsed/>
    <w:rsid w:val="00703A96"/>
    <w:pPr>
      <w:spacing w:after="200" w:line="240" w:lineRule="auto"/>
      <w:jc w:val="left"/>
    </w:pPr>
    <w:rPr>
      <w:sz w:val="20"/>
      <w:szCs w:val="20"/>
    </w:rPr>
  </w:style>
  <w:style w:type="character" w:customStyle="1" w:styleId="CommentTextChar">
    <w:name w:val="Comment Text Char"/>
    <w:basedOn w:val="DefaultParagraphFont"/>
    <w:link w:val="CommentText"/>
    <w:uiPriority w:val="99"/>
    <w:semiHidden/>
    <w:rsid w:val="00703A96"/>
    <w:rPr>
      <w:sz w:val="20"/>
      <w:szCs w:val="20"/>
    </w:rPr>
  </w:style>
  <w:style w:type="paragraph" w:styleId="CommentSubject">
    <w:name w:val="annotation subject"/>
    <w:basedOn w:val="CommentText"/>
    <w:next w:val="CommentText"/>
    <w:link w:val="CommentSubjectChar"/>
    <w:uiPriority w:val="99"/>
    <w:semiHidden/>
    <w:unhideWhenUsed/>
    <w:rsid w:val="00703A96"/>
    <w:rPr>
      <w:b/>
      <w:bCs/>
    </w:rPr>
  </w:style>
  <w:style w:type="character" w:customStyle="1" w:styleId="CommentSubjectChar">
    <w:name w:val="Comment Subject Char"/>
    <w:basedOn w:val="CommentTextChar"/>
    <w:link w:val="CommentSubject"/>
    <w:uiPriority w:val="99"/>
    <w:semiHidden/>
    <w:rsid w:val="00703A96"/>
    <w:rPr>
      <w:b/>
      <w:bCs/>
      <w:sz w:val="20"/>
      <w:szCs w:val="20"/>
    </w:rPr>
  </w:style>
  <w:style w:type="character" w:styleId="Strong">
    <w:name w:val="Strong"/>
    <w:basedOn w:val="DefaultParagraphFont"/>
    <w:uiPriority w:val="22"/>
    <w:qFormat/>
    <w:rsid w:val="00703A96"/>
    <w:rPr>
      <w:b/>
      <w:bCs/>
    </w:rPr>
  </w:style>
  <w:style w:type="character" w:styleId="Emphasis">
    <w:name w:val="Emphasis"/>
    <w:basedOn w:val="DefaultParagraphFont"/>
    <w:uiPriority w:val="20"/>
    <w:qFormat/>
    <w:rsid w:val="00703A96"/>
    <w:rPr>
      <w:i/>
      <w:iCs/>
    </w:rPr>
  </w:style>
  <w:style w:type="character" w:customStyle="1" w:styleId="apple-converted-space">
    <w:name w:val="apple-converted-space"/>
    <w:basedOn w:val="DefaultParagraphFont"/>
    <w:rsid w:val="00985960"/>
  </w:style>
  <w:style w:type="paragraph" w:styleId="EndnoteText">
    <w:name w:val="endnote text"/>
    <w:basedOn w:val="Normal"/>
    <w:link w:val="EndnoteTextChar"/>
    <w:uiPriority w:val="99"/>
    <w:semiHidden/>
    <w:unhideWhenUsed/>
    <w:rsid w:val="00131591"/>
    <w:pPr>
      <w:spacing w:line="240" w:lineRule="auto"/>
    </w:pPr>
    <w:rPr>
      <w:sz w:val="20"/>
      <w:szCs w:val="20"/>
    </w:rPr>
  </w:style>
  <w:style w:type="character" w:customStyle="1" w:styleId="EndnoteTextChar">
    <w:name w:val="Endnote Text Char"/>
    <w:basedOn w:val="DefaultParagraphFont"/>
    <w:link w:val="EndnoteText"/>
    <w:uiPriority w:val="99"/>
    <w:semiHidden/>
    <w:rsid w:val="00131591"/>
    <w:rPr>
      <w:sz w:val="20"/>
      <w:szCs w:val="20"/>
    </w:rPr>
  </w:style>
  <w:style w:type="character" w:styleId="EndnoteReference">
    <w:name w:val="endnote reference"/>
    <w:basedOn w:val="DefaultParagraphFont"/>
    <w:uiPriority w:val="99"/>
    <w:semiHidden/>
    <w:unhideWhenUsed/>
    <w:rsid w:val="00131591"/>
    <w:rPr>
      <w:vertAlign w:val="superscript"/>
    </w:rPr>
  </w:style>
  <w:style w:type="character" w:customStyle="1" w:styleId="slug-pop-date">
    <w:name w:val="slug-pop-date"/>
    <w:basedOn w:val="DefaultParagraphFont"/>
    <w:rsid w:val="00B856B0"/>
  </w:style>
  <w:style w:type="character" w:customStyle="1" w:styleId="pop-slug">
    <w:name w:val="pop-slug"/>
    <w:basedOn w:val="DefaultParagraphFont"/>
    <w:rsid w:val="00B856B0"/>
  </w:style>
  <w:style w:type="paragraph" w:styleId="Index1">
    <w:name w:val="index 1"/>
    <w:basedOn w:val="Normal"/>
    <w:next w:val="Normal"/>
    <w:autoRedefine/>
    <w:uiPriority w:val="99"/>
    <w:unhideWhenUsed/>
    <w:rsid w:val="00D34B4A"/>
    <w:pPr>
      <w:ind w:left="220" w:hanging="220"/>
      <w:jc w:val="left"/>
    </w:pPr>
    <w:rPr>
      <w:sz w:val="20"/>
      <w:szCs w:val="20"/>
    </w:rPr>
  </w:style>
  <w:style w:type="paragraph" w:styleId="Index2">
    <w:name w:val="index 2"/>
    <w:basedOn w:val="Normal"/>
    <w:next w:val="Normal"/>
    <w:autoRedefine/>
    <w:uiPriority w:val="99"/>
    <w:unhideWhenUsed/>
    <w:rsid w:val="00D34B4A"/>
    <w:pPr>
      <w:ind w:left="440" w:hanging="220"/>
      <w:jc w:val="left"/>
    </w:pPr>
    <w:rPr>
      <w:sz w:val="20"/>
      <w:szCs w:val="20"/>
    </w:rPr>
  </w:style>
  <w:style w:type="paragraph" w:styleId="Index3">
    <w:name w:val="index 3"/>
    <w:basedOn w:val="Normal"/>
    <w:next w:val="Normal"/>
    <w:autoRedefine/>
    <w:uiPriority w:val="99"/>
    <w:unhideWhenUsed/>
    <w:rsid w:val="00D34B4A"/>
    <w:pPr>
      <w:ind w:left="660" w:hanging="220"/>
      <w:jc w:val="left"/>
    </w:pPr>
    <w:rPr>
      <w:sz w:val="20"/>
      <w:szCs w:val="20"/>
    </w:rPr>
  </w:style>
  <w:style w:type="paragraph" w:styleId="Index4">
    <w:name w:val="index 4"/>
    <w:basedOn w:val="Normal"/>
    <w:next w:val="Normal"/>
    <w:autoRedefine/>
    <w:uiPriority w:val="99"/>
    <w:unhideWhenUsed/>
    <w:rsid w:val="00D34B4A"/>
    <w:pPr>
      <w:ind w:left="880" w:hanging="220"/>
      <w:jc w:val="left"/>
    </w:pPr>
    <w:rPr>
      <w:sz w:val="20"/>
      <w:szCs w:val="20"/>
    </w:rPr>
  </w:style>
  <w:style w:type="paragraph" w:styleId="Index5">
    <w:name w:val="index 5"/>
    <w:basedOn w:val="Normal"/>
    <w:next w:val="Normal"/>
    <w:autoRedefine/>
    <w:uiPriority w:val="99"/>
    <w:unhideWhenUsed/>
    <w:rsid w:val="00D34B4A"/>
    <w:pPr>
      <w:ind w:left="1100" w:hanging="220"/>
      <w:jc w:val="left"/>
    </w:pPr>
    <w:rPr>
      <w:sz w:val="20"/>
      <w:szCs w:val="20"/>
    </w:rPr>
  </w:style>
  <w:style w:type="paragraph" w:styleId="Index6">
    <w:name w:val="index 6"/>
    <w:basedOn w:val="Normal"/>
    <w:next w:val="Normal"/>
    <w:autoRedefine/>
    <w:uiPriority w:val="99"/>
    <w:unhideWhenUsed/>
    <w:rsid w:val="00D34B4A"/>
    <w:pPr>
      <w:ind w:left="1320" w:hanging="220"/>
      <w:jc w:val="left"/>
    </w:pPr>
    <w:rPr>
      <w:sz w:val="20"/>
      <w:szCs w:val="20"/>
    </w:rPr>
  </w:style>
  <w:style w:type="paragraph" w:styleId="Index7">
    <w:name w:val="index 7"/>
    <w:basedOn w:val="Normal"/>
    <w:next w:val="Normal"/>
    <w:autoRedefine/>
    <w:uiPriority w:val="99"/>
    <w:unhideWhenUsed/>
    <w:rsid w:val="00D34B4A"/>
    <w:pPr>
      <w:ind w:left="1540" w:hanging="220"/>
      <w:jc w:val="left"/>
    </w:pPr>
    <w:rPr>
      <w:sz w:val="20"/>
      <w:szCs w:val="20"/>
    </w:rPr>
  </w:style>
  <w:style w:type="paragraph" w:styleId="Index8">
    <w:name w:val="index 8"/>
    <w:basedOn w:val="Normal"/>
    <w:next w:val="Normal"/>
    <w:autoRedefine/>
    <w:uiPriority w:val="99"/>
    <w:unhideWhenUsed/>
    <w:rsid w:val="00D34B4A"/>
    <w:pPr>
      <w:ind w:left="1760" w:hanging="220"/>
      <w:jc w:val="left"/>
    </w:pPr>
    <w:rPr>
      <w:sz w:val="20"/>
      <w:szCs w:val="20"/>
    </w:rPr>
  </w:style>
  <w:style w:type="paragraph" w:styleId="Index9">
    <w:name w:val="index 9"/>
    <w:basedOn w:val="Normal"/>
    <w:next w:val="Normal"/>
    <w:autoRedefine/>
    <w:uiPriority w:val="99"/>
    <w:unhideWhenUsed/>
    <w:rsid w:val="00D34B4A"/>
    <w:pPr>
      <w:ind w:left="1980" w:hanging="220"/>
      <w:jc w:val="left"/>
    </w:pPr>
    <w:rPr>
      <w:sz w:val="20"/>
      <w:szCs w:val="20"/>
    </w:rPr>
  </w:style>
  <w:style w:type="paragraph" w:styleId="IndexHeading">
    <w:name w:val="index heading"/>
    <w:basedOn w:val="Normal"/>
    <w:next w:val="Index1"/>
    <w:uiPriority w:val="99"/>
    <w:unhideWhenUsed/>
    <w:rsid w:val="00D34B4A"/>
    <w:pPr>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3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ad.kent.ac.uk\dfs\sspssr\sspssr-staff\ptg\WPDOCS\A%20Pivot%20Book\More%20data%20ch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ad.kent.ac.uk\dfs\sspssr\sspssr-staff\ptg\WPDOCS\A%20Pivot%20Book\data%20for%20ch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eter\Downloads\IFS%20stuff%20on%20impact%20of%20tax%20and%20bens%20on%20diff%20hh%20typ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78512028619667E-2"/>
          <c:y val="5.7901738935917296E-2"/>
          <c:w val="0.74012499007685562"/>
          <c:h val="0.85114541087575013"/>
        </c:manualLayout>
      </c:layout>
      <c:lineChart>
        <c:grouping val="standard"/>
        <c:varyColors val="0"/>
        <c:ser>
          <c:idx val="0"/>
          <c:order val="0"/>
          <c:tx>
            <c:strRef>
              <c:f>Sheet1!$A$21</c:f>
              <c:strCache>
                <c:ptCount val="1"/>
                <c:pt idx="0">
                  <c:v>G7</c:v>
                </c:pt>
              </c:strCache>
            </c:strRef>
          </c:tx>
          <c:cat>
            <c:numRef>
              <c:f>Sheet1!$B$20:$H$20</c:f>
              <c:numCache>
                <c:formatCode>General</c:formatCode>
                <c:ptCount val="7"/>
                <c:pt idx="0">
                  <c:v>2007</c:v>
                </c:pt>
                <c:pt idx="1">
                  <c:v>2008</c:v>
                </c:pt>
                <c:pt idx="2">
                  <c:v>2009</c:v>
                </c:pt>
                <c:pt idx="3">
                  <c:v>2010</c:v>
                </c:pt>
                <c:pt idx="4">
                  <c:v>2011</c:v>
                </c:pt>
                <c:pt idx="5">
                  <c:v>2012</c:v>
                </c:pt>
                <c:pt idx="6">
                  <c:v>2013</c:v>
                </c:pt>
              </c:numCache>
            </c:numRef>
          </c:cat>
          <c:val>
            <c:numRef>
              <c:f>Sheet1!$B$21:$H$21</c:f>
              <c:numCache>
                <c:formatCode>General</c:formatCode>
                <c:ptCount val="7"/>
                <c:pt idx="0">
                  <c:v>0</c:v>
                </c:pt>
                <c:pt idx="1">
                  <c:v>-0.36300000000000032</c:v>
                </c:pt>
                <c:pt idx="2">
                  <c:v>-4.2050000000000001</c:v>
                </c:pt>
                <c:pt idx="3">
                  <c:v>-1.4249999999999992</c:v>
                </c:pt>
                <c:pt idx="4">
                  <c:v>-4.0000000000002308E-3</c:v>
                </c:pt>
                <c:pt idx="5">
                  <c:v>1.4399999999999975</c:v>
                </c:pt>
                <c:pt idx="6">
                  <c:v>2.9299999999999997</c:v>
                </c:pt>
              </c:numCache>
            </c:numRef>
          </c:val>
          <c:smooth val="0"/>
        </c:ser>
        <c:ser>
          <c:idx val="1"/>
          <c:order val="1"/>
          <c:tx>
            <c:strRef>
              <c:f>Sheet1!$A$22</c:f>
              <c:strCache>
                <c:ptCount val="1"/>
                <c:pt idx="0">
                  <c:v>EU</c:v>
                </c:pt>
              </c:strCache>
            </c:strRef>
          </c:tx>
          <c:cat>
            <c:numRef>
              <c:f>Sheet1!$B$20:$H$20</c:f>
              <c:numCache>
                <c:formatCode>General</c:formatCode>
                <c:ptCount val="7"/>
                <c:pt idx="0">
                  <c:v>2007</c:v>
                </c:pt>
                <c:pt idx="1">
                  <c:v>2008</c:v>
                </c:pt>
                <c:pt idx="2">
                  <c:v>2009</c:v>
                </c:pt>
                <c:pt idx="3">
                  <c:v>2010</c:v>
                </c:pt>
                <c:pt idx="4">
                  <c:v>2011</c:v>
                </c:pt>
                <c:pt idx="5">
                  <c:v>2012</c:v>
                </c:pt>
                <c:pt idx="6">
                  <c:v>2013</c:v>
                </c:pt>
              </c:numCache>
            </c:numRef>
          </c:cat>
          <c:val>
            <c:numRef>
              <c:f>Sheet1!$B$22:$H$22</c:f>
              <c:numCache>
                <c:formatCode>General</c:formatCode>
                <c:ptCount val="7"/>
                <c:pt idx="0">
                  <c:v>0</c:v>
                </c:pt>
                <c:pt idx="1">
                  <c:v>0.55500000000000005</c:v>
                </c:pt>
                <c:pt idx="2">
                  <c:v>-3.6590000000000003</c:v>
                </c:pt>
                <c:pt idx="3">
                  <c:v>-1.6040000000000001</c:v>
                </c:pt>
                <c:pt idx="4">
                  <c:v>-1.0000000000000021E-2</c:v>
                </c:pt>
                <c:pt idx="5">
                  <c:v>-0.21700000000000014</c:v>
                </c:pt>
                <c:pt idx="6">
                  <c:v>0.27500000000000002</c:v>
                </c:pt>
              </c:numCache>
            </c:numRef>
          </c:val>
          <c:smooth val="0"/>
        </c:ser>
        <c:ser>
          <c:idx val="2"/>
          <c:order val="2"/>
          <c:tx>
            <c:strRef>
              <c:f>Sheet1!$A$23</c:f>
              <c:strCache>
                <c:ptCount val="1"/>
                <c:pt idx="0">
                  <c:v>France</c:v>
                </c:pt>
              </c:strCache>
            </c:strRef>
          </c:tx>
          <c:cat>
            <c:numRef>
              <c:f>Sheet1!$B$20:$H$20</c:f>
              <c:numCache>
                <c:formatCode>General</c:formatCode>
                <c:ptCount val="7"/>
                <c:pt idx="0">
                  <c:v>2007</c:v>
                </c:pt>
                <c:pt idx="1">
                  <c:v>2008</c:v>
                </c:pt>
                <c:pt idx="2">
                  <c:v>2009</c:v>
                </c:pt>
                <c:pt idx="3">
                  <c:v>2010</c:v>
                </c:pt>
                <c:pt idx="4">
                  <c:v>2011</c:v>
                </c:pt>
                <c:pt idx="5">
                  <c:v>2012</c:v>
                </c:pt>
                <c:pt idx="6">
                  <c:v>2013</c:v>
                </c:pt>
              </c:numCache>
            </c:numRef>
          </c:cat>
          <c:val>
            <c:numRef>
              <c:f>Sheet1!$B$23:$H$23</c:f>
              <c:numCache>
                <c:formatCode>General</c:formatCode>
                <c:ptCount val="7"/>
                <c:pt idx="0">
                  <c:v>0</c:v>
                </c:pt>
                <c:pt idx="1">
                  <c:v>-8.3000000000000074E-2</c:v>
                </c:pt>
                <c:pt idx="2">
                  <c:v>-3.2290000000000001</c:v>
                </c:pt>
                <c:pt idx="3">
                  <c:v>-1.5650000000000002</c:v>
                </c:pt>
                <c:pt idx="4">
                  <c:v>0.128</c:v>
                </c:pt>
                <c:pt idx="5">
                  <c:v>0.25</c:v>
                </c:pt>
                <c:pt idx="6">
                  <c:v>0.61600000000000044</c:v>
                </c:pt>
              </c:numCache>
            </c:numRef>
          </c:val>
          <c:smooth val="0"/>
        </c:ser>
        <c:ser>
          <c:idx val="3"/>
          <c:order val="3"/>
          <c:tx>
            <c:strRef>
              <c:f>Sheet1!$A$24</c:f>
              <c:strCache>
                <c:ptCount val="1"/>
                <c:pt idx="0">
                  <c:v>Germany</c:v>
                </c:pt>
              </c:strCache>
            </c:strRef>
          </c:tx>
          <c:cat>
            <c:numRef>
              <c:f>Sheet1!$B$20:$H$20</c:f>
              <c:numCache>
                <c:formatCode>General</c:formatCode>
                <c:ptCount val="7"/>
                <c:pt idx="0">
                  <c:v>2007</c:v>
                </c:pt>
                <c:pt idx="1">
                  <c:v>2008</c:v>
                </c:pt>
                <c:pt idx="2">
                  <c:v>2009</c:v>
                </c:pt>
                <c:pt idx="3">
                  <c:v>2010</c:v>
                </c:pt>
                <c:pt idx="4">
                  <c:v>2011</c:v>
                </c:pt>
                <c:pt idx="5">
                  <c:v>2012</c:v>
                </c:pt>
                <c:pt idx="6">
                  <c:v>2013</c:v>
                </c:pt>
              </c:numCache>
            </c:numRef>
          </c:cat>
          <c:val>
            <c:numRef>
              <c:f>Sheet1!$B$24:$H$24</c:f>
              <c:numCache>
                <c:formatCode>General</c:formatCode>
                <c:ptCount val="7"/>
                <c:pt idx="0">
                  <c:v>0</c:v>
                </c:pt>
                <c:pt idx="1">
                  <c:v>0.80200000000000005</c:v>
                </c:pt>
                <c:pt idx="2">
                  <c:v>-4.2710000000000052</c:v>
                </c:pt>
                <c:pt idx="3">
                  <c:v>-0.24700000000000091</c:v>
                </c:pt>
                <c:pt idx="4">
                  <c:v>2.8489999999999993</c:v>
                </c:pt>
                <c:pt idx="5">
                  <c:v>3.7850000000000001</c:v>
                </c:pt>
                <c:pt idx="6">
                  <c:v>4.6369999999999996</c:v>
                </c:pt>
              </c:numCache>
            </c:numRef>
          </c:val>
          <c:smooth val="0"/>
        </c:ser>
        <c:ser>
          <c:idx val="4"/>
          <c:order val="4"/>
          <c:tx>
            <c:strRef>
              <c:f>Sheet1!$A$25</c:f>
              <c:strCache>
                <c:ptCount val="1"/>
                <c:pt idx="0">
                  <c:v>UK</c:v>
                </c:pt>
              </c:strCache>
            </c:strRef>
          </c:tx>
          <c:spPr>
            <a:ln cmpd="sng">
              <a:solidFill>
                <a:srgbClr val="FF0000"/>
              </a:solidFill>
              <a:prstDash val="lgDash"/>
            </a:ln>
          </c:spPr>
          <c:marker>
            <c:spPr>
              <a:ln>
                <a:solidFill>
                  <a:srgbClr val="FF0000"/>
                </a:solidFill>
              </a:ln>
            </c:spPr>
          </c:marker>
          <c:cat>
            <c:numRef>
              <c:f>Sheet1!$B$20:$H$20</c:f>
              <c:numCache>
                <c:formatCode>General</c:formatCode>
                <c:ptCount val="7"/>
                <c:pt idx="0">
                  <c:v>2007</c:v>
                </c:pt>
                <c:pt idx="1">
                  <c:v>2008</c:v>
                </c:pt>
                <c:pt idx="2">
                  <c:v>2009</c:v>
                </c:pt>
                <c:pt idx="3">
                  <c:v>2010</c:v>
                </c:pt>
                <c:pt idx="4">
                  <c:v>2011</c:v>
                </c:pt>
                <c:pt idx="5">
                  <c:v>2012</c:v>
                </c:pt>
                <c:pt idx="6">
                  <c:v>2013</c:v>
                </c:pt>
              </c:numCache>
            </c:numRef>
          </c:cat>
          <c:val>
            <c:numRef>
              <c:f>Sheet1!$B$25:$H$25</c:f>
              <c:numCache>
                <c:formatCode>General</c:formatCode>
                <c:ptCount val="7"/>
                <c:pt idx="0">
                  <c:v>0</c:v>
                </c:pt>
                <c:pt idx="1">
                  <c:v>-0.96800000000000053</c:v>
                </c:pt>
                <c:pt idx="2">
                  <c:v>-4.9420000000000002</c:v>
                </c:pt>
                <c:pt idx="3">
                  <c:v>-3.1430000000000002</c:v>
                </c:pt>
                <c:pt idx="4">
                  <c:v>-2.3849999999999998</c:v>
                </c:pt>
                <c:pt idx="5">
                  <c:v>-2.4850000000000003</c:v>
                </c:pt>
                <c:pt idx="6">
                  <c:v>-1.3700000000000003</c:v>
                </c:pt>
              </c:numCache>
            </c:numRef>
          </c:val>
          <c:smooth val="0"/>
        </c:ser>
        <c:ser>
          <c:idx val="5"/>
          <c:order val="5"/>
          <c:tx>
            <c:strRef>
              <c:f>Sheet1!$A$26</c:f>
              <c:strCache>
                <c:ptCount val="1"/>
                <c:pt idx="0">
                  <c:v>US</c:v>
                </c:pt>
              </c:strCache>
            </c:strRef>
          </c:tx>
          <c:cat>
            <c:numRef>
              <c:f>Sheet1!$B$20:$H$20</c:f>
              <c:numCache>
                <c:formatCode>General</c:formatCode>
                <c:ptCount val="7"/>
                <c:pt idx="0">
                  <c:v>2007</c:v>
                </c:pt>
                <c:pt idx="1">
                  <c:v>2008</c:v>
                </c:pt>
                <c:pt idx="2">
                  <c:v>2009</c:v>
                </c:pt>
                <c:pt idx="3">
                  <c:v>2010</c:v>
                </c:pt>
                <c:pt idx="4">
                  <c:v>2011</c:v>
                </c:pt>
                <c:pt idx="5">
                  <c:v>2012</c:v>
                </c:pt>
                <c:pt idx="6">
                  <c:v>2013</c:v>
                </c:pt>
              </c:numCache>
            </c:numRef>
          </c:cat>
          <c:val>
            <c:numRef>
              <c:f>Sheet1!$B$26:$H$26</c:f>
              <c:numCache>
                <c:formatCode>General</c:formatCode>
                <c:ptCount val="7"/>
                <c:pt idx="0">
                  <c:v>0</c:v>
                </c:pt>
                <c:pt idx="1">
                  <c:v>-0.33700000000000041</c:v>
                </c:pt>
                <c:pt idx="2">
                  <c:v>-3.4059999999999997</c:v>
                </c:pt>
                <c:pt idx="3">
                  <c:v>-1.014999999999999</c:v>
                </c:pt>
                <c:pt idx="4">
                  <c:v>0.79299999999999993</c:v>
                </c:pt>
                <c:pt idx="5">
                  <c:v>2.9630000000000001</c:v>
                </c:pt>
                <c:pt idx="6">
                  <c:v>5.0790000000000024</c:v>
                </c:pt>
              </c:numCache>
            </c:numRef>
          </c:val>
          <c:smooth val="0"/>
        </c:ser>
        <c:dLbls>
          <c:showLegendKey val="0"/>
          <c:showVal val="0"/>
          <c:showCatName val="0"/>
          <c:showSerName val="0"/>
          <c:showPercent val="0"/>
          <c:showBubbleSize val="0"/>
        </c:dLbls>
        <c:marker val="1"/>
        <c:smooth val="0"/>
        <c:axId val="64486784"/>
        <c:axId val="79029376"/>
      </c:lineChart>
      <c:catAx>
        <c:axId val="64486784"/>
        <c:scaling>
          <c:orientation val="minMax"/>
        </c:scaling>
        <c:delete val="0"/>
        <c:axPos val="b"/>
        <c:numFmt formatCode="General" sourceLinked="1"/>
        <c:majorTickMark val="out"/>
        <c:minorTickMark val="none"/>
        <c:tickLblPos val="nextTo"/>
        <c:crossAx val="79029376"/>
        <c:crosses val="autoZero"/>
        <c:auto val="1"/>
        <c:lblAlgn val="ctr"/>
        <c:lblOffset val="100"/>
        <c:noMultiLvlLbl val="0"/>
      </c:catAx>
      <c:valAx>
        <c:axId val="79029376"/>
        <c:scaling>
          <c:orientation val="minMax"/>
        </c:scaling>
        <c:delete val="0"/>
        <c:axPos val="l"/>
        <c:majorGridlines/>
        <c:numFmt formatCode="General" sourceLinked="1"/>
        <c:majorTickMark val="out"/>
        <c:minorTickMark val="none"/>
        <c:tickLblPos val="nextTo"/>
        <c:crossAx val="64486784"/>
        <c:crosses val="autoZero"/>
        <c:crossBetween val="between"/>
      </c:valAx>
      <c:spPr>
        <a:ln w="12700">
          <a:solidFill>
            <a:schemeClr val="tx1"/>
          </a:solidFill>
        </a:ln>
      </c:spPr>
    </c:plotArea>
    <c:legend>
      <c:legendPos val="r"/>
      <c:layout/>
      <c:overlay val="0"/>
    </c:legend>
    <c:plotVisOnly val="1"/>
    <c:dispBlanksAs val="gap"/>
    <c:showDLblsOverMax val="0"/>
  </c:chart>
  <c:spPr>
    <a:ln cmpd="sng">
      <a:solidFill>
        <a:schemeClr val="tx1"/>
      </a:solid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'[data for ch1.xlsx]Sheet1'!$A$52</c:f>
              <c:strCache>
                <c:ptCount val="1"/>
                <c:pt idx="0">
                  <c:v>France</c:v>
                </c:pt>
              </c:strCache>
            </c:strRef>
          </c:tx>
          <c:cat>
            <c:numRef>
              <c:f>'[data for ch1.xlsx]Sheet1'!$B$51:$N$51</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'[data for ch1.xlsx]Sheet1'!$B$52:$N$52</c:f>
              <c:numCache>
                <c:formatCode>General</c:formatCode>
                <c:ptCount val="13"/>
                <c:pt idx="0">
                  <c:v>53.571000000000005</c:v>
                </c:pt>
                <c:pt idx="1">
                  <c:v>52.976000000000006</c:v>
                </c:pt>
                <c:pt idx="2">
                  <c:v>52.609000000000002</c:v>
                </c:pt>
                <c:pt idx="3">
                  <c:v>53.281000000000006</c:v>
                </c:pt>
                <c:pt idx="4">
                  <c:v>56.771000000000001</c:v>
                </c:pt>
                <c:pt idx="5">
                  <c:v>56.553000000000004</c:v>
                </c:pt>
                <c:pt idx="6">
                  <c:v>56.016999999999996</c:v>
                </c:pt>
                <c:pt idx="7">
                  <c:v>56.171000000000006</c:v>
                </c:pt>
                <c:pt idx="8">
                  <c:v>56.124000000000002</c:v>
                </c:pt>
                <c:pt idx="9">
                  <c:v>55.48</c:v>
                </c:pt>
                <c:pt idx="10">
                  <c:v>54.681000000000004</c:v>
                </c:pt>
                <c:pt idx="11">
                  <c:v>53.724000000000011</c:v>
                </c:pt>
                <c:pt idx="12">
                  <c:v>52.709000000000003</c:v>
                </c:pt>
              </c:numCache>
            </c:numRef>
          </c:val>
          <c:smooth val="0"/>
        </c:ser>
        <c:ser>
          <c:idx val="1"/>
          <c:order val="1"/>
          <c:tx>
            <c:strRef>
              <c:f>'[data for ch1.xlsx]Sheet1'!$A$53</c:f>
              <c:strCache>
                <c:ptCount val="1"/>
                <c:pt idx="0">
                  <c:v>Germany</c:v>
                </c:pt>
              </c:strCache>
            </c:strRef>
          </c:tx>
          <c:marker>
            <c:symbol val="triangle"/>
            <c:size val="7"/>
          </c:marker>
          <c:cat>
            <c:numRef>
              <c:f>'[data for ch1.xlsx]Sheet1'!$B$51:$N$51</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'[data for ch1.xlsx]Sheet1'!$B$53:$N$53</c:f>
              <c:numCache>
                <c:formatCode>General</c:formatCode>
                <c:ptCount val="13"/>
                <c:pt idx="0">
                  <c:v>47.215000000000003</c:v>
                </c:pt>
                <c:pt idx="1">
                  <c:v>45.559000000000005</c:v>
                </c:pt>
                <c:pt idx="2">
                  <c:v>43.506</c:v>
                </c:pt>
                <c:pt idx="3">
                  <c:v>44.046000000000006</c:v>
                </c:pt>
                <c:pt idx="4">
                  <c:v>48.104000000000006</c:v>
                </c:pt>
                <c:pt idx="5">
                  <c:v>47.705000000000013</c:v>
                </c:pt>
                <c:pt idx="6">
                  <c:v>45.326000000000001</c:v>
                </c:pt>
                <c:pt idx="7">
                  <c:v>44.927</c:v>
                </c:pt>
                <c:pt idx="8">
                  <c:v>44.786000000000001</c:v>
                </c:pt>
                <c:pt idx="9">
                  <c:v>44.728000000000037</c:v>
                </c:pt>
                <c:pt idx="10">
                  <c:v>44.382999999999996</c:v>
                </c:pt>
                <c:pt idx="11">
                  <c:v>44.179000000000002</c:v>
                </c:pt>
                <c:pt idx="12">
                  <c:v>44.109000000000002</c:v>
                </c:pt>
              </c:numCache>
            </c:numRef>
          </c:val>
          <c:smooth val="0"/>
        </c:ser>
        <c:ser>
          <c:idx val="2"/>
          <c:order val="2"/>
          <c:tx>
            <c:strRef>
              <c:f>'[data for ch1.xlsx]Sheet1'!$A$54</c:f>
              <c:strCache>
                <c:ptCount val="1"/>
                <c:pt idx="0">
                  <c:v>UK</c:v>
                </c:pt>
              </c:strCache>
            </c:strRef>
          </c:tx>
          <c:spPr>
            <a:ln cmpd="sng">
              <a:solidFill>
                <a:srgbClr val="FF0000"/>
              </a:solidFill>
              <a:prstDash val="lgDash"/>
            </a:ln>
          </c:spPr>
          <c:marker>
            <c:symbol val="square"/>
            <c:size val="7"/>
            <c:spPr>
              <a:solidFill>
                <a:srgbClr val="FF0000"/>
              </a:solidFill>
              <a:ln>
                <a:noFill/>
              </a:ln>
            </c:spPr>
          </c:marker>
          <c:cat>
            <c:numRef>
              <c:f>'[data for ch1.xlsx]Sheet1'!$B$51:$N$51</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'[data for ch1.xlsx]Sheet1'!$B$54:$N$54</c:f>
              <c:numCache>
                <c:formatCode>General</c:formatCode>
                <c:ptCount val="13"/>
                <c:pt idx="0">
                  <c:v>40.32</c:v>
                </c:pt>
                <c:pt idx="1">
                  <c:v>40.465000000000003</c:v>
                </c:pt>
                <c:pt idx="2">
                  <c:v>40.153000000000006</c:v>
                </c:pt>
                <c:pt idx="3">
                  <c:v>42.924000000000007</c:v>
                </c:pt>
                <c:pt idx="4">
                  <c:v>46.979000000000006</c:v>
                </c:pt>
                <c:pt idx="5">
                  <c:v>46.356999999999999</c:v>
                </c:pt>
                <c:pt idx="6">
                  <c:v>45.335000000000001</c:v>
                </c:pt>
                <c:pt idx="7">
                  <c:v>45.458999999999996</c:v>
                </c:pt>
                <c:pt idx="8">
                  <c:v>44.425000000000011</c:v>
                </c:pt>
                <c:pt idx="9">
                  <c:v>43.133000000000003</c:v>
                </c:pt>
                <c:pt idx="10">
                  <c:v>41.556000000000004</c:v>
                </c:pt>
                <c:pt idx="11">
                  <c:v>40.251000000000005</c:v>
                </c:pt>
                <c:pt idx="12">
                  <c:v>39.167000000000002</c:v>
                </c:pt>
              </c:numCache>
            </c:numRef>
          </c:val>
          <c:smooth val="0"/>
        </c:ser>
        <c:ser>
          <c:idx val="3"/>
          <c:order val="3"/>
          <c:tx>
            <c:strRef>
              <c:f>'[data for ch1.xlsx]Sheet1'!$A$55</c:f>
              <c:strCache>
                <c:ptCount val="1"/>
                <c:pt idx="0">
                  <c:v>US</c:v>
                </c:pt>
              </c:strCache>
            </c:strRef>
          </c:tx>
          <c:cat>
            <c:numRef>
              <c:f>'[data for ch1.xlsx]Sheet1'!$B$51:$N$51</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'[data for ch1.xlsx]Sheet1'!$B$55:$N$55</c:f>
              <c:numCache>
                <c:formatCode>General</c:formatCode>
                <c:ptCount val="13"/>
                <c:pt idx="0">
                  <c:v>36.150999999999996</c:v>
                </c:pt>
                <c:pt idx="1">
                  <c:v>35.851999999999997</c:v>
                </c:pt>
                <c:pt idx="2">
                  <c:v>36.672000000000011</c:v>
                </c:pt>
                <c:pt idx="3">
                  <c:v>39.196000000000012</c:v>
                </c:pt>
                <c:pt idx="4">
                  <c:v>44.205000000000013</c:v>
                </c:pt>
                <c:pt idx="5">
                  <c:v>42.866</c:v>
                </c:pt>
                <c:pt idx="6">
                  <c:v>41.452999999999996</c:v>
                </c:pt>
                <c:pt idx="7">
                  <c:v>40.649000000000001</c:v>
                </c:pt>
                <c:pt idx="8">
                  <c:v>40.469000000000001</c:v>
                </c:pt>
                <c:pt idx="9">
                  <c:v>39.754000000000005</c:v>
                </c:pt>
                <c:pt idx="10">
                  <c:v>39.599000000000011</c:v>
                </c:pt>
                <c:pt idx="11">
                  <c:v>39.722000000000037</c:v>
                </c:pt>
                <c:pt idx="12">
                  <c:v>39.386999999999993</c:v>
                </c:pt>
              </c:numCache>
            </c:numRef>
          </c:val>
          <c:smooth val="0"/>
        </c:ser>
        <c:ser>
          <c:idx val="4"/>
          <c:order val="4"/>
          <c:tx>
            <c:strRef>
              <c:f>'[data for ch1.xlsx]Sheet1'!$A$56</c:f>
              <c:strCache>
                <c:ptCount val="1"/>
                <c:pt idx="0">
                  <c:v>EU</c:v>
                </c:pt>
              </c:strCache>
            </c:strRef>
          </c:tx>
          <c:cat>
            <c:numRef>
              <c:f>'[data for ch1.xlsx]Sheet1'!$B$51:$N$51</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'[data for ch1.xlsx]Sheet1'!$B$56:$N$56</c:f>
              <c:numCache>
                <c:formatCode>General</c:formatCode>
                <c:ptCount val="13"/>
                <c:pt idx="0">
                  <c:v>46.149000000000001</c:v>
                </c:pt>
                <c:pt idx="1">
                  <c:v>45.596000000000011</c:v>
                </c:pt>
                <c:pt idx="2">
                  <c:v>44.876999999999995</c:v>
                </c:pt>
                <c:pt idx="3">
                  <c:v>46.267000000000003</c:v>
                </c:pt>
                <c:pt idx="4">
                  <c:v>50.252000000000002</c:v>
                </c:pt>
                <c:pt idx="5">
                  <c:v>49.828000000000003</c:v>
                </c:pt>
                <c:pt idx="6">
                  <c:v>48.436</c:v>
                </c:pt>
                <c:pt idx="7">
                  <c:v>48.327000000000005</c:v>
                </c:pt>
                <c:pt idx="8">
                  <c:v>47.895000000000003</c:v>
                </c:pt>
                <c:pt idx="9">
                  <c:v>47.231000000000002</c:v>
                </c:pt>
                <c:pt idx="10">
                  <c:v>46.465000000000003</c:v>
                </c:pt>
                <c:pt idx="11">
                  <c:v>45.870999999999995</c:v>
                </c:pt>
                <c:pt idx="12">
                  <c:v>45.37</c:v>
                </c:pt>
              </c:numCache>
            </c:numRef>
          </c:val>
          <c:smooth val="0"/>
        </c:ser>
        <c:ser>
          <c:idx val="5"/>
          <c:order val="5"/>
          <c:tx>
            <c:strRef>
              <c:f>'[data for ch1.xlsx]Sheet1'!$A$57</c:f>
              <c:strCache>
                <c:ptCount val="1"/>
                <c:pt idx="0">
                  <c:v>G7</c:v>
                </c:pt>
              </c:strCache>
            </c:strRef>
          </c:tx>
          <c:cat>
            <c:numRef>
              <c:f>'[data for ch1.xlsx]Sheet1'!$B$51:$N$51</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'[data for ch1.xlsx]Sheet1'!$B$57:$N$57</c:f>
              <c:numCache>
                <c:formatCode>General</c:formatCode>
                <c:ptCount val="13"/>
                <c:pt idx="0">
                  <c:v>39.542000000000002</c:v>
                </c:pt>
                <c:pt idx="1">
                  <c:v>39.368000000000002</c:v>
                </c:pt>
                <c:pt idx="2">
                  <c:v>39.480000000000004</c:v>
                </c:pt>
                <c:pt idx="3">
                  <c:v>41.489000000000004</c:v>
                </c:pt>
                <c:pt idx="4">
                  <c:v>45.741</c:v>
                </c:pt>
                <c:pt idx="5">
                  <c:v>44.61</c:v>
                </c:pt>
                <c:pt idx="6">
                  <c:v>43.771000000000001</c:v>
                </c:pt>
                <c:pt idx="7">
                  <c:v>43.370999999999995</c:v>
                </c:pt>
                <c:pt idx="8">
                  <c:v>43.001000000000005</c:v>
                </c:pt>
                <c:pt idx="9">
                  <c:v>42.356999999999999</c:v>
                </c:pt>
                <c:pt idx="10">
                  <c:v>42.009</c:v>
                </c:pt>
                <c:pt idx="11">
                  <c:v>41.873999999999995</c:v>
                </c:pt>
                <c:pt idx="12">
                  <c:v>41.52</c:v>
                </c:pt>
              </c:numCache>
            </c:numRef>
          </c:val>
          <c:smooth val="0"/>
        </c:ser>
        <c:dLbls>
          <c:showLegendKey val="0"/>
          <c:showVal val="0"/>
          <c:showCatName val="0"/>
          <c:showSerName val="0"/>
          <c:showPercent val="0"/>
          <c:showBubbleSize val="0"/>
        </c:dLbls>
        <c:marker val="1"/>
        <c:smooth val="0"/>
        <c:axId val="126550784"/>
        <c:axId val="126552320"/>
      </c:lineChart>
      <c:catAx>
        <c:axId val="126550784"/>
        <c:scaling>
          <c:orientation val="minMax"/>
        </c:scaling>
        <c:delete val="0"/>
        <c:axPos val="b"/>
        <c:numFmt formatCode="General" sourceLinked="1"/>
        <c:majorTickMark val="out"/>
        <c:minorTickMark val="none"/>
        <c:tickLblPos val="nextTo"/>
        <c:crossAx val="126552320"/>
        <c:crosses val="autoZero"/>
        <c:auto val="1"/>
        <c:lblAlgn val="ctr"/>
        <c:lblOffset val="100"/>
        <c:noMultiLvlLbl val="0"/>
      </c:catAx>
      <c:valAx>
        <c:axId val="126552320"/>
        <c:scaling>
          <c:orientation val="minMax"/>
          <c:min val="30"/>
        </c:scaling>
        <c:delete val="0"/>
        <c:axPos val="l"/>
        <c:majorGridlines/>
        <c:numFmt formatCode="General" sourceLinked="1"/>
        <c:majorTickMark val="out"/>
        <c:minorTickMark val="none"/>
        <c:tickLblPos val="nextTo"/>
        <c:crossAx val="12655078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488407699037617E-2"/>
          <c:y val="5.1400554097404488E-2"/>
          <c:w val="0.67244203849520046"/>
          <c:h val="0.89719889180519563"/>
        </c:manualLayout>
      </c:layout>
      <c:lineChart>
        <c:grouping val="standard"/>
        <c:varyColors val="0"/>
        <c:ser>
          <c:idx val="0"/>
          <c:order val="0"/>
          <c:tx>
            <c:strRef>
              <c:f>Sheet1!$A$2</c:f>
              <c:strCache>
                <c:ptCount val="1"/>
                <c:pt idx="0">
                  <c:v>Pensioners</c:v>
                </c:pt>
              </c:strCache>
            </c:strRef>
          </c:tx>
          <c:marker>
            <c:symbol val="star"/>
            <c:size val="5"/>
          </c:marker>
          <c:cat>
            <c:numRef>
              <c:f>Sheet1!$B$1:$K$1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Sheet1!$B$2:$K$2</c:f>
              <c:numCache>
                <c:formatCode>General</c:formatCode>
                <c:ptCount val="10"/>
                <c:pt idx="0">
                  <c:v>0</c:v>
                </c:pt>
                <c:pt idx="1">
                  <c:v>-0.60000000000000064</c:v>
                </c:pt>
                <c:pt idx="2">
                  <c:v>-1</c:v>
                </c:pt>
                <c:pt idx="3">
                  <c:v>-1.1000000000000001</c:v>
                </c:pt>
                <c:pt idx="4">
                  <c:v>-1.8</c:v>
                </c:pt>
                <c:pt idx="5">
                  <c:v>-2.2999999999999998</c:v>
                </c:pt>
                <c:pt idx="6">
                  <c:v>-1.700000000000004</c:v>
                </c:pt>
                <c:pt idx="7">
                  <c:v>-1.700000000000004</c:v>
                </c:pt>
                <c:pt idx="8">
                  <c:v>-1</c:v>
                </c:pt>
                <c:pt idx="9">
                  <c:v>-3</c:v>
                </c:pt>
              </c:numCache>
            </c:numRef>
          </c:val>
          <c:smooth val="0"/>
        </c:ser>
        <c:ser>
          <c:idx val="1"/>
          <c:order val="1"/>
          <c:tx>
            <c:strRef>
              <c:f>Sheet1!$A$3</c:f>
              <c:strCache>
                <c:ptCount val="1"/>
                <c:pt idx="0">
                  <c:v>Households with children</c:v>
                </c:pt>
              </c:strCache>
            </c:strRef>
          </c:tx>
          <c:marker>
            <c:symbol val="diamond"/>
            <c:size val="5"/>
          </c:marker>
          <c:cat>
            <c:numRef>
              <c:f>Sheet1!$B$1:$K$1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Sheet1!$B$3:$K$3</c:f>
              <c:numCache>
                <c:formatCode>General</c:formatCode>
                <c:ptCount val="10"/>
                <c:pt idx="0">
                  <c:v>-4.9000000000000004</c:v>
                </c:pt>
                <c:pt idx="1">
                  <c:v>-5.5</c:v>
                </c:pt>
                <c:pt idx="2">
                  <c:v>-5.8</c:v>
                </c:pt>
                <c:pt idx="3">
                  <c:v>-5</c:v>
                </c:pt>
                <c:pt idx="4">
                  <c:v>-4.3</c:v>
                </c:pt>
                <c:pt idx="5">
                  <c:v>-3.8</c:v>
                </c:pt>
                <c:pt idx="6">
                  <c:v>-3.8</c:v>
                </c:pt>
                <c:pt idx="7">
                  <c:v>-3.7</c:v>
                </c:pt>
                <c:pt idx="8">
                  <c:v>-4</c:v>
                </c:pt>
                <c:pt idx="9">
                  <c:v>-10.8</c:v>
                </c:pt>
              </c:numCache>
            </c:numRef>
          </c:val>
          <c:smooth val="0"/>
        </c:ser>
        <c:ser>
          <c:idx val="2"/>
          <c:order val="2"/>
          <c:tx>
            <c:strRef>
              <c:f>Sheet1!$A$4</c:f>
              <c:strCache>
                <c:ptCount val="1"/>
                <c:pt idx="0">
                  <c:v>Working age no children</c:v>
                </c:pt>
              </c:strCache>
            </c:strRef>
          </c:tx>
          <c:marker>
            <c:symbol val="square"/>
            <c:size val="5"/>
          </c:marker>
          <c:cat>
            <c:numRef>
              <c:f>Sheet1!$B$1:$K$1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Sheet1!$B$4:$K$4</c:f>
              <c:numCache>
                <c:formatCode>General</c:formatCode>
                <c:ptCount val="10"/>
                <c:pt idx="0">
                  <c:v>-6.9</c:v>
                </c:pt>
                <c:pt idx="1">
                  <c:v>-6</c:v>
                </c:pt>
                <c:pt idx="2">
                  <c:v>-3.8</c:v>
                </c:pt>
                <c:pt idx="3">
                  <c:v>-2.2000000000000002</c:v>
                </c:pt>
                <c:pt idx="4">
                  <c:v>-1.5</c:v>
                </c:pt>
                <c:pt idx="5">
                  <c:v>-0.8</c:v>
                </c:pt>
                <c:pt idx="6">
                  <c:v>-0.2</c:v>
                </c:pt>
                <c:pt idx="7">
                  <c:v>-0.4</c:v>
                </c:pt>
                <c:pt idx="8">
                  <c:v>-0.60000000000000064</c:v>
                </c:pt>
                <c:pt idx="9">
                  <c:v>-6.6</c:v>
                </c:pt>
              </c:numCache>
            </c:numRef>
          </c:val>
          <c:smooth val="0"/>
        </c:ser>
        <c:dLbls>
          <c:showLegendKey val="0"/>
          <c:showVal val="0"/>
          <c:showCatName val="0"/>
          <c:showSerName val="0"/>
          <c:showPercent val="0"/>
          <c:showBubbleSize val="0"/>
        </c:dLbls>
        <c:marker val="1"/>
        <c:smooth val="0"/>
        <c:axId val="126573952"/>
        <c:axId val="126579840"/>
      </c:lineChart>
      <c:catAx>
        <c:axId val="126573952"/>
        <c:scaling>
          <c:orientation val="minMax"/>
        </c:scaling>
        <c:delete val="0"/>
        <c:axPos val="b"/>
        <c:numFmt formatCode="General" sourceLinked="1"/>
        <c:majorTickMark val="out"/>
        <c:minorTickMark val="none"/>
        <c:tickLblPos val="nextTo"/>
        <c:crossAx val="126579840"/>
        <c:crosses val="autoZero"/>
        <c:auto val="1"/>
        <c:lblAlgn val="ctr"/>
        <c:lblOffset val="100"/>
        <c:noMultiLvlLbl val="0"/>
      </c:catAx>
      <c:valAx>
        <c:axId val="126579840"/>
        <c:scaling>
          <c:orientation val="minMax"/>
        </c:scaling>
        <c:delete val="0"/>
        <c:axPos val="l"/>
        <c:majorGridlines/>
        <c:numFmt formatCode="General" sourceLinked="1"/>
        <c:majorTickMark val="out"/>
        <c:minorTickMark val="none"/>
        <c:tickLblPos val="nextTo"/>
        <c:crossAx val="126573952"/>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A1358-4128-422D-9FCD-B2618F09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10178</Words>
  <Characters>58015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 Taylor-Gooby</cp:lastModifiedBy>
  <cp:revision>2</cp:revision>
  <cp:lastPrinted>2013-01-18T09:14:00Z</cp:lastPrinted>
  <dcterms:created xsi:type="dcterms:W3CDTF">2013-05-17T10:46:00Z</dcterms:created>
  <dcterms:modified xsi:type="dcterms:W3CDTF">2013-05-17T10:46:00Z</dcterms:modified>
</cp:coreProperties>
</file>